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2"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59"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1"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3960" w:type="dxa"/>
            <w:vAlign w:val="bottom"/>
            <w:gridSpan w:val="2"/>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w:t>
            </w:r>
          </w:p>
        </w:tc>
        <w:tc>
          <w:tcPr>
            <w:tcW w:w="3120" w:type="dxa"/>
            <w:vAlign w:val="bottom"/>
          </w:tcPr>
          <w:p>
            <w:pPr>
              <w:spacing w:after="0"/>
              <w:rPr>
                <w:sz w:val="16"/>
                <w:szCs w:val="16"/>
                <w:color w:val="auto"/>
              </w:rPr>
            </w:pPr>
          </w:p>
        </w:tc>
      </w:tr>
      <w:tr>
        <w:trPr>
          <w:trHeight w:val="393"/>
        </w:trPr>
        <w:tc>
          <w:tcPr>
            <w:tcW w:w="2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58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Commission file number: 001-38900</w:t>
            </w:r>
          </w:p>
        </w:tc>
        <w:tc>
          <w:tcPr>
            <w:tcW w:w="3120" w:type="dxa"/>
            <w:vAlign w:val="bottom"/>
          </w:tcPr>
          <w:p>
            <w:pPr>
              <w:spacing w:after="0"/>
              <w:rPr>
                <w:sz w:val="24"/>
                <w:szCs w:val="24"/>
                <w:color w:val="auto"/>
              </w:rPr>
            </w:pPr>
          </w:p>
        </w:tc>
      </w:tr>
      <w:tr>
        <w:trPr>
          <w:trHeight w:val="262"/>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960" w:type="dxa"/>
            <w:vAlign w:val="bottom"/>
            <w:gridSpan w:val="2"/>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c>
          <w:tcPr>
            <w:tcW w:w="3120" w:type="dxa"/>
            <w:vAlign w:val="bottom"/>
          </w:tcPr>
          <w:p>
            <w:pPr>
              <w:spacing w:after="0"/>
              <w:rPr>
                <w:sz w:val="22"/>
                <w:szCs w:val="22"/>
                <w:color w:val="auto"/>
              </w:rPr>
            </w:pPr>
          </w:p>
        </w:tc>
      </w:tr>
      <w:tr>
        <w:trPr>
          <w:trHeight w:val="593"/>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20" w:type="dxa"/>
            <w:vAlign w:val="bottom"/>
            <w:gridSpan w:val="6"/>
          </w:tcPr>
          <w:p>
            <w:pPr>
              <w:jc w:val="center"/>
              <w:ind w:right="1939"/>
              <w:spacing w:after="0"/>
              <w:rPr>
                <w:sz w:val="20"/>
                <w:szCs w:val="20"/>
                <w:color w:val="auto"/>
              </w:rPr>
            </w:pPr>
            <w:r>
              <w:rPr>
                <w:rFonts w:ascii="Times New Roman" w:cs="Times New Roman" w:eastAsia="Times New Roman" w:hAnsi="Times New Roman"/>
                <w:sz w:val="40"/>
                <w:szCs w:val="40"/>
                <w:b w:val="1"/>
                <w:bCs w:val="1"/>
                <w:color w:val="auto"/>
                <w:w w:val="98"/>
              </w:rPr>
              <w:t>THE PENNANT GROUP, INC.</w:t>
            </w:r>
          </w:p>
        </w:tc>
      </w:tr>
      <w:tr>
        <w:trPr>
          <w:trHeight w:val="441"/>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120" w:type="dxa"/>
            <w:vAlign w:val="bottom"/>
          </w:tcPr>
          <w:p>
            <w:pPr>
              <w:spacing w:after="0"/>
              <w:rPr>
                <w:sz w:val="24"/>
                <w:szCs w:val="24"/>
                <w:color w:val="auto"/>
              </w:rPr>
            </w:pPr>
          </w:p>
        </w:tc>
      </w:tr>
      <w:tr>
        <w:trPr>
          <w:trHeight w:val="229"/>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59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b w:val="1"/>
                <w:bCs w:val="1"/>
                <w:color w:val="auto"/>
              </w:rPr>
              <w:t>83-3349931</w:t>
            </w:r>
          </w:p>
        </w:tc>
      </w:tr>
      <w:tr>
        <w:trPr>
          <w:trHeight w:val="216"/>
        </w:trPr>
        <w:tc>
          <w:tcPr>
            <w:tcW w:w="3580" w:type="dxa"/>
            <w:vAlign w:val="bottom"/>
            <w:gridSpan w:val="5"/>
          </w:tcPr>
          <w:p>
            <w:pPr>
              <w:jc w:val="center"/>
              <w:ind w:left="14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3580" w:type="dxa"/>
            <w:vAlign w:val="bottom"/>
            <w:gridSpan w:val="5"/>
          </w:tcPr>
          <w:p>
            <w:pPr>
              <w:jc w:val="center"/>
              <w:ind w:left="14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6"/>
        </w:trPr>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1675 East Riverside Drive, Suite 150, Eagle, ID 83616</w:t>
            </w:r>
          </w:p>
        </w:tc>
        <w:tc>
          <w:tcPr>
            <w:tcW w:w="3120" w:type="dxa"/>
            <w:vAlign w:val="bottom"/>
          </w:tcPr>
          <w:p>
            <w:pPr>
              <w:spacing w:after="0"/>
              <w:rPr>
                <w:sz w:val="23"/>
                <w:szCs w:val="23"/>
                <w:color w:val="auto"/>
              </w:rPr>
            </w:pPr>
          </w:p>
        </w:tc>
      </w:tr>
      <w:tr>
        <w:trPr>
          <w:trHeight w:val="187"/>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3120" w:type="dxa"/>
            <w:vAlign w:val="bottom"/>
          </w:tcPr>
          <w:p>
            <w:pPr>
              <w:spacing w:after="0"/>
              <w:rPr>
                <w:sz w:val="16"/>
                <w:szCs w:val="16"/>
                <w:color w:val="auto"/>
              </w:rPr>
            </w:pPr>
          </w:p>
        </w:tc>
      </w:tr>
      <w:tr>
        <w:trPr>
          <w:trHeight w:val="205"/>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(208) 506-6100</w:t>
            </w:r>
          </w:p>
        </w:tc>
        <w:tc>
          <w:tcPr>
            <w:tcW w:w="3120" w:type="dxa"/>
            <w:vAlign w:val="bottom"/>
          </w:tcPr>
          <w:p>
            <w:pPr>
              <w:spacing w:after="0"/>
              <w:rPr>
                <w:sz w:val="17"/>
                <w:szCs w:val="17"/>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60" w:type="dxa"/>
            <w:vAlign w:val="bottom"/>
            <w:gridSpan w:val="2"/>
          </w:tcPr>
          <w:p>
            <w:pPr>
              <w:jc w:val="center"/>
              <w:ind w:right="159"/>
              <w:spacing w:after="0" w:line="175" w:lineRule="exact"/>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12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80" w:type="dxa"/>
            <w:vAlign w:val="bottom"/>
          </w:tcPr>
          <w:p>
            <w:pPr>
              <w:jc w:val="center"/>
              <w:ind w:right="539"/>
              <w:spacing w:after="0" w:line="175" w:lineRule="exact"/>
              <w:rPr>
                <w:sz w:val="20"/>
                <w:szCs w:val="20"/>
                <w:color w:val="auto"/>
              </w:rPr>
            </w:pPr>
            <w:r>
              <w:rPr>
                <w:rFonts w:ascii="Times New Roman" w:cs="Times New Roman" w:eastAsia="Times New Roman" w:hAnsi="Times New Roman"/>
                <w:sz w:val="16"/>
                <w:szCs w:val="16"/>
                <w:color w:val="auto"/>
              </w:rPr>
              <w:t>None</w:t>
            </w:r>
          </w:p>
        </w:tc>
        <w:tc>
          <w:tcPr>
            <w:tcW w:w="3120" w:type="dxa"/>
            <w:vAlign w:val="bottom"/>
          </w:tcPr>
          <w:p>
            <w:pPr>
              <w:spacing w:after="0"/>
              <w:rPr>
                <w:sz w:val="15"/>
                <w:szCs w:val="15"/>
                <w:color w:val="auto"/>
              </w:rPr>
            </w:pPr>
          </w:p>
        </w:tc>
      </w:t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20" w:type="dxa"/>
            <w:vAlign w:val="bottom"/>
            <w:gridSpan w:val="6"/>
          </w:tcPr>
          <w:p>
            <w:pPr>
              <w:jc w:val="center"/>
              <w:ind w:right="193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8"/>
                <w:szCs w:val="18"/>
                <w:color w:val="auto"/>
                <w:w w:val="99"/>
              </w:rPr>
              <w:t>________________</w:t>
            </w:r>
          </w:p>
        </w:tc>
        <w:tc>
          <w:tcPr>
            <w:tcW w:w="31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120" w:type="dxa"/>
            <w:vAlign w:val="bottom"/>
          </w:tcPr>
          <w:p>
            <w:pPr>
              <w:spacing w:after="0"/>
              <w:rPr>
                <w:sz w:val="20"/>
                <w:szCs w:val="20"/>
                <w:color w:val="auto"/>
              </w:rPr>
            </w:pPr>
          </w:p>
        </w:tc>
      </w:tr>
      <w:tr>
        <w:trPr>
          <w:trHeight w:val="237"/>
        </w:trPr>
        <w:tc>
          <w:tcPr>
            <w:tcW w:w="2240" w:type="dxa"/>
            <w:vAlign w:val="bottom"/>
            <w:gridSpan w:val="2"/>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1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580" w:type="dxa"/>
            <w:vAlign w:val="bottom"/>
            <w:gridSpan w:val="5"/>
          </w:tcPr>
          <w:p>
            <w:pPr>
              <w:jc w:val="center"/>
              <w:ind w:right="25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80" w:type="dxa"/>
            <w:vAlign w:val="bottom"/>
          </w:tcPr>
          <w:p>
            <w:pPr>
              <w:spacing w:after="0"/>
              <w:rPr>
                <w:sz w:val="18"/>
                <w:szCs w:val="18"/>
                <w:color w:val="auto"/>
              </w:rPr>
            </w:pPr>
          </w:p>
        </w:tc>
        <w:tc>
          <w:tcPr>
            <w:tcW w:w="3580" w:type="dxa"/>
            <w:vAlign w:val="bottom"/>
          </w:tcPr>
          <w:p>
            <w:pPr>
              <w:jc w:val="center"/>
              <w:ind w:right="759"/>
              <w:spacing w:after="0"/>
              <w:rPr>
                <w:sz w:val="20"/>
                <w:szCs w:val="20"/>
                <w:color w:val="auto"/>
              </w:rPr>
            </w:pPr>
            <w:r>
              <w:rPr>
                <w:rFonts w:ascii="Times New Roman" w:cs="Times New Roman" w:eastAsia="Times New Roman" w:hAnsi="Times New Roman"/>
                <w:sz w:val="16"/>
                <w:szCs w:val="16"/>
                <w:color w:val="auto"/>
              </w:rPr>
              <w:t>PNTG</w:t>
            </w:r>
          </w:p>
        </w:tc>
        <w:tc>
          <w:tcPr>
            <w:tcW w:w="3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8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00" w:lineRule="exact"/>
        <w:rPr>
          <w:sz w:val="24"/>
          <w:szCs w:val="24"/>
          <w:color w:val="auto"/>
        </w:rPr>
      </w:pPr>
    </w:p>
    <w:p>
      <w:pPr>
        <w:spacing w:after="0" w:line="237" w:lineRule="exact"/>
        <w:rPr>
          <w:sz w:val="24"/>
          <w:szCs w:val="24"/>
          <w:color w:val="auto"/>
        </w:rPr>
      </w:pPr>
    </w:p>
    <w:p>
      <w:pPr>
        <w:jc w:val="both"/>
        <w:ind w:firstLine="445"/>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73" w:lineRule="exact"/>
        <w:rPr>
          <w:sz w:val="24"/>
          <w:szCs w:val="24"/>
          <w:color w:val="auto"/>
        </w:rPr>
      </w:pPr>
    </w:p>
    <w:p>
      <w:pPr>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96" w:lineRule="exact"/>
        <w:rPr>
          <w:sz w:val="24"/>
          <w:szCs w:val="24"/>
          <w:color w:val="auto"/>
        </w:rPr>
      </w:pPr>
    </w:p>
    <w:p>
      <w:pPr>
        <w:jc w:val="both"/>
        <w:ind w:right="30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240"/>
        <w:spacing w:after="0" w:line="184" w:lineRule="exact"/>
        <w:tabs>
          <w:tab w:leader="none" w:pos="1980" w:val="left"/>
          <w:tab w:leader="none" w:pos="2620" w:val="left"/>
          <w:tab w:leader="none" w:pos="4200" w:val="left"/>
          <w:tab w:leader="none" w:pos="4720" w:val="left"/>
          <w:tab w:leader="none" w:pos="64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 xml:space="preserve">  ☐</w:t>
      </w:r>
    </w:p>
    <w:p>
      <w:pPr>
        <w:spacing w:after="0" w:line="375" w:lineRule="exact"/>
        <w:rPr>
          <w:sz w:val="24"/>
          <w:szCs w:val="24"/>
          <w:color w:val="auto"/>
        </w:rPr>
      </w:pPr>
    </w:p>
    <w:p>
      <w:pPr>
        <w:ind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5, 2024, 34,348,369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40" w:type="dxa"/>
            <w:vAlign w:val="bottom"/>
            <w:gridSpan w:val="11"/>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THE PENNANT GROUP,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40" w:type="dxa"/>
            <w:vAlign w:val="bottom"/>
            <w:gridSpan w:val="11"/>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80" w:type="dxa"/>
            <w:vAlign w:val="bottom"/>
            <w:gridSpan w:val="1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SEPTEMBER 30, 2024</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40" w:type="dxa"/>
            <w:vAlign w:val="bottom"/>
            <w:gridSpan w:val="11"/>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vMerge w:val="restart"/>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gridSpan w:val="10"/>
          </w:tcPr>
          <w:p>
            <w:pPr>
              <w:jc w:val="center"/>
              <w:ind w:right="326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0" w:type="dxa"/>
            <w:vAlign w:val="bottom"/>
          </w:tcPr>
          <w:p>
            <w:pPr>
              <w:spacing w:after="0"/>
              <w:rPr>
                <w:sz w:val="1"/>
                <w:szCs w:val="1"/>
                <w:color w:val="auto"/>
              </w:rPr>
            </w:pPr>
          </w:p>
        </w:tc>
      </w:tr>
      <w:tr>
        <w:trPr>
          <w:trHeight w:val="210"/>
        </w:trPr>
        <w:tc>
          <w:tcPr>
            <w:tcW w:w="5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40" w:type="dxa"/>
            <w:vAlign w:val="bottom"/>
            <w:tcBorders>
              <w:top w:val="single" w:sz="8" w:color="0000FF"/>
            </w:tcBorders>
            <w:gridSpan w:val="5"/>
          </w:tcPr>
          <w:p>
            <w:pPr>
              <w:spacing w:after="0"/>
              <w:rPr>
                <w:sz w:val="18"/>
                <w:szCs w:val="18"/>
                <w:color w:val="auto"/>
              </w:rPr>
            </w:pPr>
          </w:p>
        </w:tc>
        <w:tc>
          <w:tcPr>
            <w:tcW w:w="32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September 30, 2024 and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2024 and 2023</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80" w:type="dxa"/>
            <w:vAlign w:val="bottom"/>
            <w:gridSpan w:val="2"/>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21"/>
                <w:szCs w:val="21"/>
                <w:color w:val="auto"/>
              </w:rPr>
            </w:pPr>
          </w:p>
        </w:tc>
        <w:tc>
          <w:tcPr>
            <w:tcW w:w="6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gridSpan w:val="2"/>
          </w:tcPr>
          <w:p>
            <w:pPr>
              <w:spacing w:after="0"/>
              <w:rPr>
                <w:sz w:val="20"/>
                <w:szCs w:val="20"/>
                <w:color w:val="auto"/>
              </w:rPr>
            </w:pPr>
          </w:p>
        </w:tc>
        <w:tc>
          <w:tcPr>
            <w:tcW w:w="4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86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500" w:type="dxa"/>
            <w:vAlign w:val="bottom"/>
            <w:gridSpan w:val="10"/>
          </w:tcPr>
          <w:p>
            <w:pPr>
              <w:jc w:val="center"/>
              <w:ind w:right="326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0" w:type="dxa"/>
            <w:vAlign w:val="bottom"/>
          </w:tcPr>
          <w:p>
            <w:pPr>
              <w:spacing w:after="0"/>
              <w:rPr>
                <w:sz w:val="1"/>
                <w:szCs w:val="1"/>
                <w:color w:val="auto"/>
              </w:rPr>
            </w:pPr>
          </w:p>
        </w:tc>
      </w:tr>
      <w:tr>
        <w:trPr>
          <w:trHeight w:val="25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tcPr>
          <w:p>
            <w:pPr>
              <w:spacing w:after="0"/>
              <w:rPr>
                <w:sz w:val="22"/>
                <w:szCs w:val="22"/>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80" w:type="dxa"/>
            <w:vAlign w:val="bottom"/>
            <w:gridSpan w:val="4"/>
          </w:tcPr>
          <w:p>
            <w:pPr>
              <w:spacing w:after="0"/>
              <w:rPr>
                <w:sz w:val="22"/>
                <w:szCs w:val="22"/>
                <w:color w:val="auto"/>
              </w:rPr>
            </w:pPr>
          </w:p>
        </w:tc>
        <w:tc>
          <w:tcPr>
            <w:tcW w:w="2040" w:type="dxa"/>
            <w:vAlign w:val="bottom"/>
            <w:tcBorders>
              <w:top w:val="single" w:sz="8" w:color="0000FF"/>
            </w:tcBorders>
            <w:gridSpan w:val="3"/>
          </w:tcPr>
          <w:p>
            <w:pPr>
              <w:spacing w:after="0"/>
              <w:rPr>
                <w:sz w:val="22"/>
                <w:szCs w:val="22"/>
                <w:color w:val="auto"/>
              </w:rPr>
            </w:pPr>
          </w:p>
        </w:tc>
        <w:tc>
          <w:tcPr>
            <w:tcW w:w="33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3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2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8460" w:type="dxa"/>
            <w:vAlign w:val="bottom"/>
            <w:gridSpan w:val="1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1195705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2</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48</w:t>
      </w:r>
    </w:p>
    <w:p>
      <w:pPr>
        <w:sectPr>
          <w:pgSz w:w="11900" w:h="16838" w:orient="portrait"/>
          <w:cols w:equalWidth="0" w:num="2">
            <w:col w:w="10240" w:space="640"/>
            <w:col w:w="180"/>
          </w:cols>
          <w:pgMar w:left="320" w:top="36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I. </w:t>
      </w:r>
      <w:r>
        <w:rPr>
          <w:rFonts w:ascii="Times New Roman" w:cs="Times New Roman" w:eastAsia="Times New Roman" w:hAnsi="Times New Roman"/>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par value)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r>
      <w:tr>
        <w:trPr>
          <w:trHeight w:val="27"/>
        </w:trPr>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7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receivable—less allowance for doubtful accounts of $313 and $259, respectively</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61,116</w:t>
            </w:r>
          </w:p>
        </w:tc>
      </w:tr>
      <w:tr>
        <w:trPr>
          <w:trHeight w:val="27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w:t>
            </w:r>
          </w:p>
        </w:tc>
      </w:tr>
      <w:tr>
        <w:trPr>
          <w:trHeight w:val="223"/>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80,077</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28,598</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262,923</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and other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91,014</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indefinite-lived intangibles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67,742</w:t>
            </w:r>
          </w:p>
        </w:tc>
      </w:tr>
      <w:tr>
        <w:trPr>
          <w:trHeight w:val="22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539,691</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w:t>
            </w: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related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w:t>
            </w: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w:t>
            </w:r>
          </w:p>
        </w:tc>
      </w:tr>
      <w:tr>
        <w:trPr>
          <w:trHeight w:val="223"/>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71,549</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liabilities—less current portion</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248,596</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30"/>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63,914</w:t>
            </w:r>
          </w:p>
        </w:tc>
      </w:tr>
      <w:tr>
        <w:trPr>
          <w:trHeight w:val="223"/>
        </w:trPr>
        <w:tc>
          <w:tcPr>
            <w:tcW w:w="7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394,176</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 shares authorized; 30,565 and 30,308 shares issued</w:t>
            </w: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84"/>
        </w:trPr>
        <w:tc>
          <w:tcPr>
            <w:tcW w:w="71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and outstanding, respectively, at September 30, 2024; and 30,297 and 29,948 shares issued and</w:t>
            </w:r>
          </w:p>
        </w:tc>
        <w:tc>
          <w:tcPr>
            <w:tcW w:w="1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34"/>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respectively, at December 31, 2023</w:t>
            </w: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105,712</w:t>
            </w: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34,663</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Treasury stock, at cost, 3 shares at September 30, 2024 and December 31, 2023</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The Pennant Group, Inc.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140,339</w:t>
            </w:r>
          </w:p>
        </w:tc>
      </w:tr>
      <w:tr>
        <w:trPr>
          <w:trHeight w:val="223"/>
        </w:trPr>
        <w:tc>
          <w:tcPr>
            <w:tcW w:w="7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23"/>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145,515</w:t>
            </w:r>
          </w:p>
        </w:tc>
      </w:tr>
      <w:tr>
        <w:trPr>
          <w:trHeight w:val="22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539,691</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for per-share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0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398,937</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Rent—cost of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29,439</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 (gain) on disposition of property and equipment,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381,335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Pennant Group,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84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145,515</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Noncontrolling interests assumed related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acquisitions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39,569</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164,232</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attributable to The Pennant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110,311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45,259</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172,993</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attributable to The Pennant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adjustments related to acquisitions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187,287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84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125,657</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129,224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loss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133,698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00" w:type="dxa"/>
            <w:vAlign w:val="bottom"/>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139,519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9,381</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fees, including write-offs from amendment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on disposition of property and equipment,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operating assets and liabilities, net of acquisitions: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wages and related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27,910</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business acquisitions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(11,662)</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asset acquisitions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Escrow deposits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8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(17,576)</w:t>
            </w:r>
          </w:p>
        </w:tc>
      </w:tr>
      <w:tr>
        <w:trPr>
          <w:trHeight w:val="19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131,500</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(141,000)</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deferred financing costs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upon the exercise of options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45,963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(9,030)</w:t>
            </w: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beginning of period</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obligations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adjustment to right-of-use assets and lease liabilities from lease modifications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September 30, 2024, the Company’s subsidiaries operated 122 home health, hospice and home care agencies and 54 senior living communities located in Arizona, California, Colorado, Idaho, Montana, Nevada, Oklahoma, Oregon, Texas, Utah, Washington, Wisconsin and Wyoming.</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unaffiliated third parties under management agreements.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 </w:t>
      </w:r>
      <w:r>
        <w:rPr>
          <w:rFonts w:ascii="Times New Roman" w:cs="Times New Roman" w:eastAsia="Times New Roman" w:hAnsi="Times New Roman"/>
          <w:sz w:val="18"/>
          <w:szCs w:val="18"/>
          <w:color w:val="auto"/>
        </w:rPr>
        <w:t>The accompanying unaudited condensed consolidated financial statements of the Company (the “Interim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is derived from the Company’s annual audited Consolidated Financial Statements for the fiscal year ended December 31, 2023,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0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 </w:t>
      </w:r>
      <w:r>
        <w:rPr>
          <w:rFonts w:ascii="Times New Roman" w:cs="Times New Roman" w:eastAsia="Times New Roman" w:hAnsi="Times New Roman"/>
          <w:sz w:val="18"/>
          <w:szCs w:val="18"/>
          <w:color w:val="auto"/>
        </w:rPr>
        <w:t>Certain amounts in the prior financial statements have been reclassified to conform to the presentation of the current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Estimates and Assumptions - </w:t>
      </w:r>
      <w:r>
        <w:rPr>
          <w:rFonts w:ascii="Times New Roman" w:cs="Times New Roman" w:eastAsia="Times New Roman" w:hAnsi="Times New Roman"/>
          <w:sz w:val="18"/>
          <w:szCs w:val="18"/>
          <w:color w:val="auto"/>
        </w:rPr>
        <w:t>The preparation of the Interim Financial Statements in conformity with GAAP requires management to make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self-insurance reserves, revenue recognition, and intangible assets and goodwill. Actual results could differ from those estimates.</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 relief funding. </w:t>
      </w:r>
      <w:r>
        <w:rPr>
          <w:rFonts w:ascii="Times New Roman" w:cs="Times New Roman" w:eastAsia="Times New Roman" w:hAnsi="Times New Roman"/>
          <w:sz w:val="18"/>
          <w:szCs w:val="18"/>
          <w:color w:val="auto"/>
        </w:rPr>
        <w:t>The Company receives state relief funding through programs from various states, including healthcare relief funding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Rescue Plan Act (ARPA), and other state specific relief programs. The funding generally incorporates specific use requirements primarily for direct patient care including labor related expenses that are attributable to the COVID-19 pandemic or are associated with providing patient care.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funds are recognized as a reduction of cost of services expenses when related expenses are incurred. As of September 30, 2024 and December 31, 2023, the Company had $1,147 and $780 in unapplied state relief funds, respectively. The unapplied state relief funds received are recorded in other accrued liabilities. The Company recognized state relief funding totaling $796 and $2,373 for the three and nine months ended September 30, 2024, and $923 and $3,005 for the three and nine months ended September 30, 2023, respectively, which the Company recognized as a reduction of cost of services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for rules and interpretive releases of the Securities and Exchange Commission (SEC) under authority of federal securities laws and a limited number of grandfathered standards, the Financial Accounting Standards Board (“FASB”)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the Company to expand the breadth and frequency of segment disclosures to include additional information about significant segment expenses, the chief operating decision maker and other items, and also requires the annual disclosures on an interim basis. This guidance is effective for annual periods beginning after December 15, 2023, which will be the Company's fiscal year 2024, with early adoption permitted. The Company is currently evaluating the impact of the ASU on its quarterly and annual reports.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the Company to disclose disaggregated jurisdictional and categorical information for the tax rate reconciliation, income taxes paid and other income tax related amounts. This guidance is effective for annual periods beginning after December 15, 2024, which will be the Company's fiscal year 2025, with early adoption permitted. The Company doesn’t expect it to have any material impacts.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TRANSACTIONS WITH ENSIGN</w:t>
      </w:r>
    </w:p>
    <w:p>
      <w:pPr>
        <w:spacing w:after="0" w:line="40"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Pennant completed its separation from The Ensign Group, Inc. (“Ensign”) in 2019. Certain directors who serve on our Board of Directors also serve as directors of Ensign and own shares of Ensign common stock. Pennant and Ensign continue to partner in the provision of services along the healthcare continuum.</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costs of $297 and $879 for the three and nine months ended September 30, 2024, and $254 and $719 for the three and nine months ended September 30, 2023, respectively, that related primarily to shared services at proximate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Expenses related to room and board charges at Ensign skilled nursing facilities for hospice patients were $1,180 and $4,250 for the three and nine months ended September 30, 2024, and $1,217 and $3,171 for the three and nine months ended September 30, 2023, respectively, and are included in cost of services.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independent operating subsidiaries leased 29 communities from subsidiaries of Ensign under a master lease arrangement as of both September 30, 2024 and September 30, 2023. See further discussion below at Note 13, Leases.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COMMON SHARE</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The following table sets forth the computation of basic and diluted net income per share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2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The Pennant Group,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r>
      <w:tr>
        <w:trPr>
          <w:trHeight w:val="270"/>
        </w:trPr>
        <w:tc>
          <w:tcPr>
            <w:tcW w:w="6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for basic 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w:t>
            </w:r>
          </w:p>
        </w:tc>
      </w:tr>
      <w:tr>
        <w:trPr>
          <w:trHeight w:val="176"/>
        </w:trPr>
        <w:tc>
          <w:tcPr>
            <w:tcW w:w="6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Plus: assumed incremental shares from exercise of options and assumed conversion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6260" w:type="dxa"/>
            <w:vAlign w:val="bottom"/>
            <w:tcBorders>
              <w:bottom w:val="single" w:sz="8" w:color="CCEEFF"/>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or vesting of restricted stock</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156"/>
        </w:trPr>
        <w:tc>
          <w:tcPr>
            <w:tcW w:w="6260" w:type="dxa"/>
            <w:vAlign w:val="bottom"/>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color w:val="auto"/>
              </w:rPr>
              <w:t>Adjusted weighted average common shares outstanding for diluted income per</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43"/>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bl>
    <w:p>
      <w:pPr>
        <w:spacing w:after="0" w:line="126" w:lineRule="exact"/>
        <w:rPr>
          <w:sz w:val="20"/>
          <w:szCs w:val="20"/>
          <w:color w:val="auto"/>
        </w:rPr>
      </w:pPr>
    </w:p>
    <w:p>
      <w:pPr>
        <w:ind w:left="480" w:right="20" w:hanging="454"/>
        <w:spacing w:after="0" w:line="282" w:lineRule="auto"/>
        <w:tabs>
          <w:tab w:leader="none" w:pos="4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diluted per share amounts do not reflect common share equivalents outstanding of 742 and 1,206 for the three and nine months ended September 30, 2024, and 2,718 and 2,278 for the three and nine months ended September 30, 2023, respectively, because of their anti-dilutive effect.</w:t>
      </w:r>
    </w:p>
    <w:p>
      <w:pPr>
        <w:spacing w:after="0" w:line="135"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ACCOUNTS RECEIVABLE</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Health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Revenue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Non-Medicare Revenue</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Episodic Based Revenue - </w:t>
      </w:r>
      <w:r>
        <w:rPr>
          <w:rFonts w:ascii="Times New Roman" w:cs="Times New Roman" w:eastAsia="Times New Roman" w:hAnsi="Times New Roman"/>
          <w:sz w:val="18"/>
          <w:szCs w:val="18"/>
          <w:color w:val="auto"/>
        </w:rPr>
        <w:t>The Company recognizes revenue in a similar manner as it recognizes Medicare revenue for episodic-based rates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paid by other insurance carriers, including carriers administering Medicare Advantage programs. These rates can vary based upon the negotiated terms.</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Non-episodic Based Revenue - </w:t>
      </w:r>
      <w:r>
        <w:rPr>
          <w:rFonts w:ascii="Times New Roman" w:cs="Times New Roman" w:eastAsia="Times New Roman" w:hAnsi="Times New Roman"/>
          <w:sz w:val="18"/>
          <w:szCs w:val="18"/>
          <w:color w:val="auto"/>
        </w:rPr>
        <w:t>Revenue is recognized on an accrual basis based upon the date of service at amounts equal to its established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per visit rates,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Hospice Revenue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Living Revenue</w:t>
      </w:r>
    </w:p>
    <w:p>
      <w:pPr>
        <w:spacing w:after="0" w:line="25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elected the lessor practical expedient within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therefore recognizes, measures, presents, and discloses the revenue for services rendered under the Company’s senior living residency agreements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its senior residency agreements, for which it has determined that the non-lease components of such residency agreements are the predominant component of each such contract.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payor for the three months ended September 30, 2024 and 2023,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9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86,919</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109,634</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46,402</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 and management services agreement.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9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60" w:type="dxa"/>
            <w:vAlign w:val="bottom"/>
          </w:tcPr>
          <w:p>
            <w:pPr>
              <w:spacing w:after="0"/>
              <w:rPr>
                <w:sz w:val="15"/>
                <w:szCs w:val="15"/>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5"/>
                <w:szCs w:val="15"/>
                <w:color w:val="auto"/>
              </w:rPr>
            </w:pPr>
          </w:p>
        </w:tc>
        <w:tc>
          <w:tcPr>
            <w:tcW w:w="156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00" w:type="dxa"/>
            <w:vAlign w:val="bottom"/>
          </w:tcPr>
          <w:p>
            <w:pPr>
              <w:spacing w:after="0"/>
              <w:rPr>
                <w:sz w:val="15"/>
                <w:szCs w:val="15"/>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67,925</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87,818</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payor for the nine months ended September 30, 2024 and 2023,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8"/>
          </w:tcPr>
          <w:p>
            <w:pPr>
              <w:ind w:left="10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40" w:type="dxa"/>
            <w:vAlign w:val="bottom"/>
          </w:tcPr>
          <w:p>
            <w:pPr>
              <w:spacing w:after="0"/>
              <w:rPr>
                <w:sz w:val="14"/>
                <w:szCs w:val="14"/>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153,146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245,746</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312,132</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66,084</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128,132</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 and management services agreement.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0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40" w:type="dxa"/>
            <w:vAlign w:val="bottom"/>
          </w:tcPr>
          <w:p>
            <w:pPr>
              <w:spacing w:after="0"/>
              <w:rPr>
                <w:sz w:val="15"/>
                <w:szCs w:val="15"/>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5"/>
                <w:szCs w:val="15"/>
                <w:color w:val="auto"/>
              </w:rPr>
            </w:pPr>
          </w:p>
        </w:tc>
        <w:tc>
          <w:tcPr>
            <w:tcW w:w="156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00" w:type="dxa"/>
            <w:vAlign w:val="bottom"/>
          </w:tcPr>
          <w:p>
            <w:pPr>
              <w:spacing w:after="0"/>
              <w:rPr>
                <w:sz w:val="15"/>
                <w:szCs w:val="15"/>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121,523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192,895</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56,455</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249,350</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96,049</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8"/>
        </w:trPr>
        <w:tc>
          <w:tcPr>
            <w:tcW w:w="2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Impact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as of September 30, 2024 and December 31, 2023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and other</w:t>
            </w: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3"/>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61,375</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 Credit Risk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71.1% and 77.0% of its total gross accounts receivable as of September 30, 2024 and December 31, 2023, respectively. Combined revenue from reimbursement under the Medicare and Medicaid programs accounted for 60.7% and 61.6% of the Company’s revenue for the three and nine months ended September 30, 2024, and 62.7% and 62.5% of the Company’s revenue for the three and nine months ended September 30, 2023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and all incremental customer contract acquisition costs are expensed as they are incurred because the amortization period would have been one year or less.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SEGMENTS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reports an “all other” category that includes general and administrative expense from the Company’s Service Center.</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provided services through 122 affiliated home health, hospice and home care agencies, and 54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certain financial information regarding the Company’s reportable segments, general and administrative expenses are not allocated to the reportable segments and are included in “All Other” for the three and nine months ended September 30,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Hospice Services</w:t>
            </w: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0" w:type="dxa"/>
            <w:vAlign w:val="bottom"/>
          </w:tcPr>
          <w:p>
            <w:pPr>
              <w:spacing w:after="0"/>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Hospice Services</w:t>
            </w: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506,348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398,937</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Segment Adjusted EBITDAR from Operations to Condensed Consolidated Income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30"/>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Rent—cost of services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29,439</w:t>
            </w:r>
          </w:p>
        </w:tc>
      </w:tr>
      <w:tr>
        <w:trPr>
          <w:trHeight w:val="230"/>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Segment EBITDAR from Operations: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Costs at start-up operations</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594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 and related taxes</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30"/>
        </w:trPr>
        <w:tc>
          <w:tcPr>
            <w:tcW w:w="59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59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59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Income from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340" w:hanging="454"/>
        <w:spacing w:after="0" w:line="291"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14"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67" w:lineRule="exact"/>
        <w:rPr>
          <w:sz w:val="20"/>
          <w:szCs w:val="20"/>
          <w:color w:val="auto"/>
        </w:rPr>
      </w:pPr>
    </w:p>
    <w:p>
      <w:pPr>
        <w:jc w:val="both"/>
        <w:ind w:left="480" w:right="340" w:hanging="454"/>
        <w:spacing w:after="0" w:line="275" w:lineRule="auto"/>
        <w:tabs>
          <w:tab w:leader="none" w:pos="4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2023, an affiliate of the Company placed its memory care units into transition and began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an entity transitioned to Ensign.</w:t>
      </w:r>
    </w:p>
    <w:p>
      <w:pPr>
        <w:spacing w:after="0" w:line="13" w:lineRule="exact"/>
        <w:rPr>
          <w:rFonts w:ascii="Times New Roman" w:cs="Times New Roman" w:eastAsia="Times New Roman" w:hAnsi="Times New Roman"/>
          <w:sz w:val="14"/>
          <w:szCs w:val="14"/>
          <w:color w:val="auto"/>
        </w:rPr>
      </w:pPr>
    </w:p>
    <w:p>
      <w:pPr>
        <w:ind w:left="480" w:right="340" w:hanging="454"/>
        <w:spacing w:after="0" w:line="271" w:lineRule="auto"/>
        <w:tabs>
          <w:tab w:leader="none" w:pos="4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200" w:lineRule="exact"/>
        <w:rPr>
          <w:rFonts w:ascii="Times New Roman" w:cs="Times New Roman" w:eastAsia="Times New Roman" w:hAnsi="Times New Roman"/>
          <w:sz w:val="14"/>
          <w:szCs w:val="14"/>
          <w:color w:val="auto"/>
        </w:rPr>
      </w:pPr>
    </w:p>
    <w:p>
      <w:pPr>
        <w:spacing w:after="0" w:line="388"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focused on acquiring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expanded its operations with the addition of eight home health agencies, three hospice agencies, and three senior living communities. The Company also acquired the real estate of two of the three acquired senior living communities. The aggregate purchase price of the real estate of the two senior living communities acquired was $10,380, which consisted primarily of land and buildings and were accounted for as asset acquisitions. In connection with the third senior living community acquired, the Company entered into a new long-term “triple-net” lease. A subsidiary of the Company entered into a separate operations transfer agreement with the prior operator of each acquired operation as part of each transaction. These new communities included 261 operational senior living units to be operated by the Company's independent operating subsidiaries.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 2024, the Company announced it closed on a joint venture for a home health agency with John Muir Health (“Muir”), a leading nonprofit integrated health system serving communities throughout the east bay region of San Francisco, California. The transaction combines certain assets and the operations of Muir’s home health business and the assets and operations of a local Pennant-affiliated home health agency. The joint venture is majority-owned and managed by an independent operating subsidiary of the Company and provides home health services to patients throughout the San Francisco east bay region. The Company contributed certain assets of a local Pennant-affiliated home health agency to the venture and paid Muir $11,680 for a 60% controlling ownership interest in the joint venture.</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assets for the joint venture acquired was mostly concentrated in goodwill and intangible assets and as such, this transaction was classified as a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fair value of assets acquired for the business combination was $28,200, which preliminarily consisted of goodwill of $15,500, indefinite-lived intangible assets of $8,600 related to a Medicare and Medicaid license, and tradenames of $4,100. Through its contributions of assets to the joint venture, Muir retained a non-controlling ownership interest which resulted in the Company recording a 40% noncontrolling interest with a fair value of $11,726 and an adjustment to additional paid in capital of $4,794. The Company anticipates that the total goodwill recognized will be fully deductible for tax purposes.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16, 2024, the Company acquired one home health agency and one hospice agency. The transaction was classified as business combination in accordance with ASC Topic 805, Business Combinations (“ASC 805”). The aggregate purchase price for the business combinations was $5,000, which preliminarily consisted of goodwill of $2,240 and indefinite-lived intangible assets of $2,760 related to Medicare and Medicaid licenses. The Company anticipates that the total goodwill recognized will be fully deductible for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 2024, the Company completed the first part of its planned acquisition of certain Signature Group, LLC operations. Through the completed acquisition, the Company acquired four home health agencies and one hospice agency. The transaction was classified as business combination in accordance with ASC Topic 805, Business Combinations (“ASC 805”). The aggregate purchase price for the business combinations was $32,000, including acquired liabilities, which preliminarily consisted of goodwill of $20,232, indefinite-lived intangible assets of $9,000 related to Medicare and Medicaid licenses, tradenames of $2,700, and equipment and other assets of $68. The Company anticipates that the total goodwill recognized will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fully deductible for tax purposes. The Company anticipates completing an additional acquisition transaction with Signature Group, LLC subsequent to the end of its current fiscal year.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hospice and two home health agencies acquired were Medicare licenses and are considered asset acquisitions. One acquisition of a provider service was completed. The fair value of the assets acquired in these transactions preliminarily consisted of goodwill of $350, and indefinite-lived intangibles of $1,000.</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acquisition costs that were expensed related to the business combinations during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expanded its operations with the addition of three home health agencies, three hospice agencies, two home care agencies, and two senior living communities. In connection with the 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assets for two home health agencies, two home care agencies, and three hospice agencies acquired were mostly concentrated in goodwill and intangible assets and as such, these transactions were classified as business combinations in accordance with ASC 805. The purchase price for the business combinations was $11,662, which consisted of equipment and other assets of $1,027, goodwill of $6,635, and indefinite-lived intangible assets of $3,895 related to Medicare and Medicaid licenses, and other intangible assets of $186, less assumed liabilities of $81. The Company anticipates that the total goodwill recognized will be fully deductible for tax purposes.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One home health agency acquired was a Medicare license and is considered an asset acquisition. The fair value of the home health license acquired was $210 and was allocated to indefinite-lived intangible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acquisition costs that were expensed related to the business combinations during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 2024, the Company closed on the acquisition of three senior living communities located in Wisconsin. The acquisition will add to the Company’s existing strength in the region while building out its operational footprint. In connection with the senior living communities, the Company entered into a new long-term “triple-net” lease with Ensign, a related party described in Note 3, Transactions with Ensign. A subsidiary of the Company entered into a separate operations transfer agreement with the prior operator of each acquired operation as part of the transaction. These new communities included 125 operational senior living units to be operated by the Company's independent operating subsidiaries.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21,204</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23"/>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53,675</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(25,077)</w:t>
            </w: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28,598</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$1,493 and $4,292 for the three and nine months ended September 30, 2024, respectively, and $1,321 and $3,807 for the three and nine months ended September 30, 2023 respectively.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assets at fair value on a non-recurring basis, including long-lived assets, which are evaluated for impairment on an annual basis or when a triggering event occurs.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and nine months ended September 30, 2024 and 2023.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activity in goodwill by segment for the nine months ended September 30,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Home Health and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Senior Living Services</w:t>
            </w:r>
          </w:p>
        </w:tc>
        <w:tc>
          <w:tcPr>
            <w:tcW w:w="160" w:type="dxa"/>
            <w:vAlign w:val="bottom"/>
          </w:tcPr>
          <w:p>
            <w:pPr>
              <w:spacing w:after="0"/>
              <w:rPr>
                <w:sz w:val="18"/>
                <w:szCs w:val="18"/>
                <w:color w:val="auto"/>
              </w:rPr>
            </w:pPr>
          </w:p>
        </w:tc>
        <w:tc>
          <w:tcPr>
            <w:tcW w:w="17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38,323</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129,337</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6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66,357</w:t>
            </w:r>
          </w:p>
        </w:tc>
        <w:tc>
          <w:tcPr>
            <w:tcW w:w="0" w:type="dxa"/>
            <w:vAlign w:val="bottom"/>
          </w:tcPr>
          <w:p>
            <w:pPr>
              <w:spacing w:after="0"/>
              <w:rPr>
                <w:sz w:val="1"/>
                <w:szCs w:val="1"/>
                <w:color w:val="auto"/>
              </w:rPr>
            </w:pPr>
          </w:p>
        </w:tc>
      </w:tr>
      <w:tr>
        <w:trPr>
          <w:trHeight w:val="223"/>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95,902</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goodwill or intangible asset impairment charges were recorded during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accrued liabilities consist of the following:</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Refunds payable</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 deposits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state relief funds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Hospice CAP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2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7"/>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debt, net consists of the following:</w:t>
            </w: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6"/>
        </w:trPr>
        <w:tc>
          <w:tcPr>
            <w:tcW w:w="6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2"/>
                <w:szCs w:val="22"/>
                <w:color w:val="auto"/>
              </w:rPr>
            </w:pP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65,000</w:t>
            </w:r>
          </w:p>
        </w:tc>
      </w:tr>
      <w:tr>
        <w:trPr>
          <w:trHeight w:val="229"/>
        </w:trPr>
        <w:tc>
          <w:tcPr>
            <w:tcW w:w="66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Less: unamortized debt issuance costs</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(1,086)</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63,914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480" w:right="20" w:hanging="454"/>
        <w:spacing w:after="0" w:line="271"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for debt issuance costs, including expense of $428 related to the refinancing of our Revolving Credit Facility, was $616 and $876 for the three and nine months ended September 30, 2024, respectively, and $130 and $391 for the three and nine months ended September 30, 2023, respectively, and is recorded in interest expense, net on the Condensed Consolidated Statements of Income.</w:t>
      </w:r>
    </w:p>
    <w:p>
      <w:pPr>
        <w:spacing w:after="0" w:line="3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23, 2021, Pennant entered into an amendment to its existing credit agreement (as amended, the “Credit Agreement”), which provided for an increased revolving credit facility with a syndicate of banks with a borrowing capacity of $150,000 (the “Revolving Credit Facility”). On June 12, 2023, Pennant entered into a second amendment to the Credit Agreement that modified the reference rate from LIBOR to Standard Overnight Financing Rate (“SOFR”). The interest rates applicable to loans under the Revolving Credit Facility were, at the Company’s election, either (i) Adjusted Term SOFR (as defined in the Credit Agreement) plus a margin ranging from 2.25% to 3.25% per annum or (ii) Base Rate plus a margin ranging from 1.25% to 2.25% per annum, in each case, based on the ratio of Consolidated Total Net Debt to Consolidated EBITDA (each, as defined in the Credit Agreement). In addition, Pennant paid a commitment fee on the undrawn portion of the commitments under the Revolving Credit Facility which ranged from 0.35% to 0.50% per annum, depending on the Consolidated Total Net Debt to Consolidated EBITDA ratio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31, 2024, Pennant entered into an Amended and Restated Credit Agreement (the Credit Agreement, as amended and restated, the “Amended Credit Agreement”), which provides for a revolving credit facility (the Credit Facility, as upsized, the “Amended Revolving Credit Facility”) with a syndicate of banks with a borrowing capacity of $250,000. In conjunction with the amendment, the Company incurred additional debt issuance costs of $3,915 and wrote off previously deferred unamortized debt issuance costs of $428. After the effectiveness of the Amended Credit Agreement, the interest rates applicable to loans under the Amended Revolving Credit Facility are, at the Company’s election, either (i) Term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As of September 30, 2024, the Company’s weighted average interest rate on its outstanding debt was 7.87%. As of September 30, 2024, the Company had available borrowing on the Amended Revolving Credit Facility of $132,814, which was net of outstanding letters of credit of $4,186.</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Amended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2024, the Company was compliant with all such financial covenants.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OPTIONS AND AWARDS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 xml:space="preserve">Outstanding options and restricted stock awards of the Company were granted under the 2019 Omnibus Incentive Plan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OIP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and Long-Term Incentive Plan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LTIP,</w:t>
      </w:r>
      <w:r>
        <w:rPr>
          <w:rFonts w:ascii="Times New Roman" w:cs="Times New Roman" w:eastAsia="Times New Roman" w:hAnsi="Times New Roman"/>
          <w:sz w:val="18"/>
          <w:szCs w:val="18"/>
          <w:color w:val="000000"/>
        </w:rPr>
        <w:t>” and together with the OIP, the “Pennant Plans”</w:t>
      </w:r>
      <w:r>
        <w:rPr>
          <w:rFonts w:ascii="Times New Roman" w:cs="Times New Roman" w:eastAsia="Times New Roman" w:hAnsi="Times New Roman"/>
          <w:sz w:val="18"/>
          <w:szCs w:val="18"/>
          <w:color w:val="212529"/>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for all Plans for the three and nine months ended September 30, 2024 and 2023 was: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20" w:type="dxa"/>
            <w:vAlign w:val="bottom"/>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184"/>
        </w:trPr>
        <w:tc>
          <w:tcPr>
            <w:tcW w:w="6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related to Restricted Stock to non-employee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3"/>
        </w:trPr>
        <w:tc>
          <w:tcPr>
            <w:tcW w:w="6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1"/>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future periods, the Company estimates it will recognize the following share-based compensation expense for unvested stock options and unvested Restricted Stock as of September 30,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Unrecognized</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Recognition Period</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Compensation Expense</w:t>
            </w:r>
          </w:p>
        </w:tc>
        <w:tc>
          <w:tcPr>
            <w:tcW w:w="10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grant date using a Black-Scholes option-pricing model with the following weighted average assumptions for stock options granted as of September 30: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Risk-Free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Fair</w:t>
            </w:r>
          </w:p>
        </w:tc>
        <w:tc>
          <w:tcPr>
            <w:tcW w:w="0" w:type="dxa"/>
            <w:vAlign w:val="bottom"/>
          </w:tcPr>
          <w:p>
            <w:pPr>
              <w:spacing w:after="0"/>
              <w:rPr>
                <w:sz w:val="1"/>
                <w:szCs w:val="1"/>
                <w:color w:val="auto"/>
              </w:rPr>
            </w:pPr>
          </w:p>
        </w:tc>
      </w:tr>
      <w:tr>
        <w:trPr>
          <w:trHeight w:val="175"/>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Expected Life</w:t>
            </w:r>
            <w:r>
              <w:rPr>
                <w:rFonts w:ascii="Times New Roman" w:cs="Times New Roman" w:eastAsia="Times New Roman" w:hAnsi="Times New Roman"/>
                <w:sz w:val="23"/>
                <w:szCs w:val="23"/>
                <w:b w:val="1"/>
                <w:bCs w:val="1"/>
                <w:color w:val="auto"/>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43"/>
        </w:trPr>
        <w:tc>
          <w:tcPr>
            <w:tcW w:w="2660" w:type="dxa"/>
            <w:vAlign w:val="bottom"/>
            <w:gridSpan w:val="2"/>
            <w:vMerge w:val="continue"/>
          </w:tcPr>
          <w:p>
            <w:pPr>
              <w:spacing w:after="0"/>
              <w:rPr>
                <w:sz w:val="21"/>
                <w:szCs w:val="21"/>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80" w:type="dxa"/>
            <w:vAlign w:val="bottom"/>
            <w:gridSpan w:val="2"/>
            <w:vMerge w:val="continue"/>
          </w:tcPr>
          <w:p>
            <w:pPr>
              <w:spacing w:after="0"/>
              <w:rPr>
                <w:sz w:val="21"/>
                <w:szCs w:val="21"/>
                <w:color w:val="auto"/>
              </w:rPr>
            </w:pPr>
          </w:p>
        </w:tc>
        <w:tc>
          <w:tcPr>
            <w:tcW w:w="15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2"/>
              </w:rPr>
              <w:t>Volatility</w:t>
            </w:r>
            <w:r>
              <w:rPr>
                <w:rFonts w:ascii="Times New Roman" w:cs="Times New Roman" w:eastAsia="Times New Roman" w:hAnsi="Times New Roman"/>
                <w:sz w:val="23"/>
                <w:szCs w:val="23"/>
                <w:b w:val="1"/>
                <w:bCs w:val="1"/>
                <w:color w:val="auto"/>
                <w:w w:val="92"/>
                <w:vertAlign w:val="superscript"/>
              </w:rPr>
              <w:t>(b)</w:t>
            </w:r>
          </w:p>
        </w:tc>
        <w:tc>
          <w:tcPr>
            <w:tcW w:w="15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80" w:right="20" w:hanging="454"/>
        <w:spacing w:after="0" w:line="291" w:lineRule="auto"/>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14"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Company’s equity shares have been traded for a relatively short period of time, expected volatility assumption was based on the volatility of related industry stocks.</w:t>
      </w: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employee stock option activity during the nine months ended September 30,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4"/>
                <w:szCs w:val="14"/>
                <w:color w:val="auto"/>
              </w:rPr>
            </w:pPr>
          </w:p>
        </w:tc>
        <w:tc>
          <w:tcPr>
            <w:tcW w:w="1220" w:type="dxa"/>
            <w:vAlign w:val="bottom"/>
          </w:tcPr>
          <w:p>
            <w:pPr>
              <w:jc w:val="center"/>
              <w:ind w:right="76"/>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rPr>
              <w:t>of Options</w:t>
            </w:r>
          </w:p>
        </w:tc>
        <w:tc>
          <w:tcPr>
            <w:tcW w:w="0" w:type="dxa"/>
            <w:vAlign w:val="bottom"/>
          </w:tcPr>
          <w:p>
            <w:pPr>
              <w:spacing w:after="0"/>
              <w:rPr>
                <w:sz w:val="1"/>
                <w:szCs w:val="1"/>
                <w:color w:val="auto"/>
              </w:rPr>
            </w:pPr>
          </w:p>
        </w:tc>
      </w:tr>
      <w:tr>
        <w:trPr>
          <w:trHeight w:val="214"/>
        </w:trPr>
        <w:tc>
          <w:tcPr>
            <w:tcW w:w="5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 Vested</w:t>
            </w:r>
          </w:p>
        </w:tc>
        <w:tc>
          <w:tcPr>
            <w:tcW w:w="140" w:type="dxa"/>
            <w:vAlign w:val="bottom"/>
          </w:tcPr>
          <w:p>
            <w:pPr>
              <w:spacing w:after="0"/>
              <w:rPr>
                <w:sz w:val="18"/>
                <w:szCs w:val="18"/>
                <w:color w:val="auto"/>
              </w:rPr>
            </w:pPr>
          </w:p>
        </w:tc>
        <w:tc>
          <w:tcPr>
            <w:tcW w:w="12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0" w:type="dxa"/>
            <w:vAlign w:val="bottom"/>
          </w:tcPr>
          <w:p>
            <w:pPr>
              <w:spacing w:after="0"/>
              <w:rPr>
                <w:sz w:val="1"/>
                <w:szCs w:val="1"/>
                <w:color w:val="auto"/>
              </w:rPr>
            </w:pPr>
          </w:p>
        </w:tc>
      </w:tr>
      <w:tr>
        <w:trPr>
          <w:trHeight w:val="225"/>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status of Pennant’s non-vested Restricted Stock, and changes during the nine months ended September 30, 2024, is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Non-Vested Restricted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7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independent operating subsidiaries lease senior living communities and its administrative offices under non-cancelable operating leases, most of which have initial lease terms ranging from 14 to 25 years. The Company’s independent operating subsidiaries also lease the administrative offices of home health and hospice agencies, which generally have lease terms that range from one to 10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condensed consolidated balance sheets. Non-lease components, which are not significant overall, are combined with lease components.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Company’s independent operating subsidiaries leased 29 senior living communities from subsidiaries of Ensign (“Ensign Leases”) under a master lease arrangement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existing leases with subsidiaries of Ensign have initial terms of between 14 to 20 years. The total amount of rent expense included in rent - cost of services paid to subsidiaries of Ensign was $3,488 and $10,464 for the three and nine months ended September 30, 2024, respectively, and $3,339 and $10,088 for the three and nine months ended September 30, 2023, respectively.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cost,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Community Rent—cost of services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Office Rent—cost of services</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Rent—cost of services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Borders>
              <w:bottom w:val="single" w:sz="8" w:color="auto"/>
            </w:tcBorders>
          </w:tcPr>
          <w:p>
            <w:pPr>
              <w:spacing w:after="0"/>
              <w:rPr>
                <w:sz w:val="20"/>
                <w:szCs w:val="20"/>
                <w:color w:val="auto"/>
              </w:rPr>
            </w:pPr>
          </w:p>
        </w:tc>
      </w:tr>
      <w:tr>
        <w:trPr>
          <w:trHeight w:val="225"/>
        </w:trPr>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34"/>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25,303</w:t>
            </w:r>
          </w:p>
        </w:tc>
      </w:tr>
      <w:tr>
        <w:trPr>
          <w:trHeight w:val="234"/>
        </w:trPr>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23"/>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29,439</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-624840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-334010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20" w:space="720"/>
            <w:col w:w="53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(a)</w:t>
            </w:r>
          </w:p>
        </w:tc>
        <w:tc>
          <w:tcPr>
            <w:tcW w:w="2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2,187</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6,456</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r>
    </w:tbl>
    <w:p>
      <w:pPr>
        <w:spacing w:after="0" w:line="126" w:lineRule="exact"/>
        <w:rPr>
          <w:sz w:val="20"/>
          <w:szCs w:val="20"/>
          <w:color w:val="auto"/>
        </w:rPr>
      </w:pPr>
    </w:p>
    <w:p>
      <w:pPr>
        <w:ind w:left="480" w:right="40" w:hanging="454"/>
        <w:spacing w:after="0" w:line="282"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variable lease cost for operating leases, which costs include property taxes and insurance, common area maintenance, and consumer price index increases, incurred as part of the Company’s triple net lease, and which is included in cost of services for the three and nine months ended September 30, 2024 and 2023.</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lease maturity analysis for all leases as of September 30, 2024, for the years ended December 31: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39,051</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37,230</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35,293</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261,134</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418,905</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(150,885)</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268,020</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(19,113)</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September 30, 2024, the weighted average remaining lease term is 11.9 years and the weighted average discount rate is 8.1%.</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$1,354 and $1,066 or 16.9% and 19.3% of earnings before income taxes for the three months ended September 30, 2024 and 2023, respectively. The decrease in the effective tax rate is primarily due to more excess tax benefits on equity compensation.</w:t>
      </w:r>
    </w:p>
    <w:p>
      <w:pPr>
        <w:spacing w:after="0" w:line="203"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recorded income tax expense of $4,957 and $3,894, or 21.8% and 29.3% of earnings before income taxes for the nine months ended September 30, 2024 and 2023, respectively. The decrease in the effective tax rate is primarily due to more excess tax benefits on equity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matching contributions to the 401(k) Plan of $303 and $874 for the three and nine months ended September 30, 2024, and $214 and $632 for the three and nine months ended September 30, 2023, respectively.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 non-qualified deferred compensation plan (the “DCP”) for executives, other highly compensated employees, independent contractors and non-employee directors.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September 30, 2024 and December 31, 2023, the Company’s deferred compensation liabilities were $2,132 and $1,108, respectively, in other long-term liabilities on the condensed consolidated balance sheets. The cash surrender value of the individual variable life insurance contracts is based on investment funds that shadow the investment allocations specified by participants in the DCP. At September 30, 2024 and December 31, 2023, the cash surrender value of the company owned life insurance (“COLI”) policies were $2,141 and $1,123, respectively, and were included as a component of restricted and other assets on the condensed consolidated balance sheets. There are no outstanding loan amounts offset against the cash surrender value of the COLI policies. The losses recorded for the change in cash surrender value were immaterial for each period presented.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Regulatory Matters - </w:t>
      </w:r>
      <w:r>
        <w:rPr>
          <w:rFonts w:ascii="Times New Roman" w:cs="Times New Roman" w:eastAsia="Times New Roman" w:hAnsi="Times New Roman"/>
          <w:sz w:val="18"/>
          <w:szCs w:val="18"/>
          <w:color w:val="auto"/>
        </w:rPr>
        <w:t>The Company provides services in complex and highly regulated industries. The Company’s compliance with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which may include suspension, termination, or revocation of participation in governmental programs for the payment of the services the Company provides. The Department of Justice, HHS, CMS, or other federal and state enforcement and regulatory agencies may conduct additional investigations related to the Company's businesses. The Company believes it is presently in compliance in all material respects with all applicable laws and regulations.</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Cost-Containment Measures - </w:t>
      </w:r>
      <w:r>
        <w:rPr>
          <w:rFonts w:ascii="Times New Roman" w:cs="Times New Roman" w:eastAsia="Times New Roman" w:hAnsi="Times New Roman"/>
          <w:sz w:val="18"/>
          <w:szCs w:val="18"/>
          <w:color w:val="auto"/>
        </w:rPr>
        <w:t>Government and third-party payors have instituted cost-containment measures designed to limit payments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of healthcare services, may propose future cost-containment measures, and there can be no assurance that future measures designed to limit payments made to providers will not adversely affect the Company.</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Indemnities - </w:t>
      </w:r>
      <w:r>
        <w:rPr>
          <w:rFonts w:ascii="Times New Roman" w:cs="Times New Roman" w:eastAsia="Times New Roman" w:hAnsi="Times New Roman"/>
          <w:sz w:val="18"/>
          <w:szCs w:val="18"/>
          <w:color w:val="auto"/>
        </w:rPr>
        <w:t>From time to time, the Company enters into certain types of contracts that contingently require the Company to indemnify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1" w:lineRule="exact"/>
        <w:rPr>
          <w:sz w:val="20"/>
          <w:szCs w:val="20"/>
          <w:color w:val="auto"/>
        </w:rPr>
      </w:pPr>
    </w:p>
    <w:p>
      <w:pPr>
        <w:jc w:val="both"/>
        <w:ind w:firstLine="8"/>
        <w:spacing w:after="0" w:line="250" w:lineRule="auto"/>
        <w:tabs>
          <w:tab w:leader="none" w:pos="2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jc w:val="both"/>
        <w:ind w:firstLine="8"/>
        <w:spacing w:after="0" w:line="253" w:lineRule="auto"/>
        <w:tabs>
          <w:tab w:leader="none" w:pos="3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The Company’s businesses involve a significant risk of liability given the age and health of the patients and residents served by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operating subsidiaries. The Company, its operating subsidiaries, and others in the industry may be subject to a number of claims and lawsuits, including negligence and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employment-related claims. Certain of the states where we conduct business, including California and Nevada, recently adopted laws that increase the maximum amount of non-economic damages that may be awarded to a successful plaintiff in a claim for professional negligence or malpractice arising from care provided by our independent operating subsidiaries. These changes in applicable law may also increase the cost of obtaining and maintaining professional liability insurance to pay for the defense of, and any liability arising under, such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potential lawsuits and claims described above, the Company also is subject to potential lawsuits under the False Claims Act (the “FCA”) and comparable state laws alleging submission of fraudulent claims for services to any governmental healthcare program (such as Medicare) or commercial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Medicare Revenue Recoupments - </w:t>
      </w:r>
      <w:r>
        <w:rPr>
          <w:rFonts w:ascii="Times New Roman" w:cs="Times New Roman" w:eastAsia="Times New Roman" w:hAnsi="Times New Roman"/>
          <w:sz w:val="18"/>
          <w:szCs w:val="18"/>
          <w:color w:val="auto"/>
        </w:rPr>
        <w:t>The Company is subject to probe reviews relating to Medicare services, billings and potential overpayments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2024, 12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previously paid claims. The Company has appealed substantially all denials arising from these Reviews using the applicable appeals process. As of September 30, 2024,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June 2021 to May 2022, one hospice provider number was subject to a Medicare payment suspension imposed by a UPIC. The total amounts suspended was $5,105, which represents all Medicare payments due to the provider number during the suspension. As of September 30, 2024, the remaining amount due from the government payor impacted by the suspension was $246 and was recorded in long-term other assets.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Medicare payment suspension concluded in May 2022, and the UPIC reviewed 107 patient records covering a 10-month period to determine whether, in its view, a Medicare overpayment was made. Based on the results of the review, the UPIC initially alleged sampled and extrapolated overpayments of $5,105, and withheld that amount through continued recoupment of Medicare payments. The Company is pursuing its appeal rights through the administrative appeals process, including contesting the methodology used by the UPIC to perform statistical extrapolation. To date the Company has been successful in appealing most of the previously denied claims. The Company received the refund of previously withheld amounts totaling $4,859 as of September 30, 2024. The Company continues to work through the appeals process for the remaining denied claims and expects to be successful in those appeals. Based on the information currently available to the Company, the Company cannot predict the timing or the ultimate outcome of this review including refunds to be received.</w:t>
      </w:r>
    </w:p>
    <w:p>
      <w:pPr>
        <w:spacing w:after="0" w:line="2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 The Company retains risk for a substantial portion of potential claims for general and professional liability,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automobile liability. Based on changes in law that increase the maximum damages that may be recovered for professional negligence or malpractice claims in states where we operate, including California and Nevada, the costs of maintaining some of these insurance policies may increase in the future.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2024 and fiscal year 2023.</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9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October 2, 2024, the Company closed the public offering (the “Offering”) of 4,025,000 shares of its common stock, $0.001 par value per share (“common stock”). The net proceeds to the Company from the offering, after underwriting discounts and commissions and before expenses, was approximately $118.5 million. The majority of the proceeds were subsequently used to pay the outstanding balance on our Revolving Credit Facility.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2023 (the “2023 Annual Report”), which discusses our business and related risks in greater detail, as well as subsequent reports we may file from time to time on Form 10-K, Form 10-Q and Form 8-K, for additional information. The section entitled “Risk Factors” filed within our 2023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spacing w:after="0" w:line="216" w:lineRule="exact"/>
        <w:rPr>
          <w:sz w:val="20"/>
          <w:szCs w:val="20"/>
          <w:color w:val="auto"/>
        </w:rPr>
      </w:pPr>
    </w:p>
    <w:p>
      <w:pPr>
        <w:jc w:val="both"/>
        <w:ind w:firstLine="257"/>
        <w:spacing w:after="0" w:line="266" w:lineRule="auto"/>
        <w:rPr>
          <w:sz w:val="20"/>
          <w:szCs w:val="20"/>
          <w:color w:val="auto"/>
        </w:rPr>
      </w:pPr>
      <w:r>
        <w:rPr>
          <w:rFonts w:ascii="Times New Roman" w:cs="Times New Roman" w:eastAsia="Times New Roman" w:hAnsi="Times New Roman"/>
          <w:sz w:val="18"/>
          <w:szCs w:val="18"/>
          <w:color w:val="auto"/>
        </w:rPr>
        <w:t>The risk factors discussed in this Quarterly Report and the 2023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0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changes to, or delays receiving, reimbursement and other aspects of Medicaid and Medicare;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laws and regulations affecting the U.S. healthcare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payment models and reimbursement amounts within the Medicare and Medicaid fee schedules for future calendar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cost containment measures undertaken by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reviews, audits and investigations of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regulation affecting the transparency, ownership, operating standards, and staffing of businesses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increased cost of acquisition or retention for, or a shortage of, skilled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and maintenance of competitive quality of care ratings and referrals from referral 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state and federal employment, fair housing, safety, licensing and other laws;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healthcare providers, federal and state efforts to regulate or deregulate the healthcare services industry, including through staffing levels and requirements, or the construction or expansion of the number of home health, hospice or senior living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labor unions, including strikes, work stoppages, unfair labor practices claims, or related labor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or any future litigation settlements;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leases of our affiliated senior living communities;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future acquisitions at attractive prices or at all, and failure to successfully or efficiently integrate new acquisitions into our existing operations and operating subsidiaries;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cyber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financial and credit markets and uncertainties related to our ability to obtain financing or the terms of such financing;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lingering effect of the COVID-19 pandemic, including new regulatory risks impacting our operations, the effects of Medicaid disenrollment, potential litigation, and vaccination mandates</w:t>
      </w:r>
    </w:p>
    <w:p>
      <w:pPr>
        <w:spacing w:after="0" w:line="189" w:lineRule="exact"/>
        <w:rPr>
          <w:sz w:val="20"/>
          <w:szCs w:val="20"/>
          <w:color w:val="auto"/>
        </w:rPr>
      </w:pPr>
    </w:p>
    <w:p>
      <w:pPr>
        <w:jc w:val="both"/>
        <w:ind w:firstLine="237"/>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Montana, Nevada, Oklahoma, Oregon, Texas, Utah, Washington, Wisconsin and Wyoming. We provide home health and hospice operational support through a management service agreement in Connecticut. As of September 30, 2024, our home health and hospice business provided home health, hospice and home care services from 122 agencies operating across these 13 states, and our senior living business operated 54 senior living communities throughout six states.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affiliated home health and hospice agencies and senior living communities as of:</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3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agencies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communities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living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number of home health, hospice, and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Activities</w:t>
      </w:r>
    </w:p>
    <w:p>
      <w:pPr>
        <w:spacing w:after="0" w:line="2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nine months ended September 30, 2024, we expanded our operations with the addition of eight home health agencies,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hospice agencies, and three senior living communities. A subsidiary of the Company entered into a separate operations transfer agreement with the prior operator of each acquired operation as part of each transaction.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modest senior living occupancy improvement during the nine months ended September 30, 2024, compared to the same period in 2023. Though we have seen improvements in occupancy year over year, the highly competitive environment for senior living residents and inflationary factors will continue to impact the rate at which we change our occupancy levels in our senior living communities.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disclosed under the heading “Government Regulation” in the 2023 Annual Report a summary of regulations that we believe materially affect our business, financial condition or results of operations. Since the time of the filing of the 2023 Annual Report, the following regulations have been updated.</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30, 2024, CMS issued the 2025 Hospice Payment Rate Update final rule (the “Hospice Payment Final Rule”). The Hospice Payment Final Rule’s payment update percentage is 2.9%, which is an estimated increase of $790 million in payments from fiscal year 2024. The payment update percentage is based on a 3.4% market basket percentage increase, which is reduced by a 0.5% productivity adjustment. Hospices that fail to meet quality reporting requirements under the Hospice Quality Reporting Program (“HQRP”) will receive a 4% reduction to the annual hospice payment update percentage increase for that year, resulting in a total decrease of 1.1% to those non-compliance hospices’ payments and more than negating the payment update percentage for fiscal year 2025. The Hospice Payment Final Rule also adds two new process measures to HQRP: timely reassessment of pain impact, and timely reassessment of non-pain symptom impact, which are both expected to begin in fiscal year 2028. In addition, the Hospice Payment Final Rule updates the statutory aggregate cap that limits the overall payments per patient that may be made to a hospice annually. The hospice cap amount for the 2025 fiscal year is $34,465.34, increased from the 2024 fiscal year cap of $33,494.01. The Hospice Payment Final Rule also includes clarifying revisions to the hospice conditions of participation; updates statistical area delineations; and makes changes to the Consumer Assessment of Healthcare Providers and Systems (“CAHPS”) Hospice Survey.</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 2024, CMS issued the 2025 Home Health Prospective Payment System Final Rule (the “Home Health Payment Final Rule”). The Home Health Payment Final Rule’s payment update percentage for calendar year 2025 is 2.7%, an estimated increase of $445 million from calendar year 2024, which is offset by an estimated -1.8% behavioral adjustment, along with a -0.4% estimated adjustment for fixed dollar losses, resulting in an aggregate net increase of 0.5%, or $85 million, for the calendar year 2025 payment rate compared to calendar year 2024. The Home Health Payment Final Rule also recalibrates PDGM case-mix weights, finalizes an update to the home health wage index, updates home health conditions of participation to require patient acceptance policies, and establishes or updates certain LUPA add-on factors.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2024, CMS announced a Period of Enhanced Oversight for newly enrolled hospices in Arizona, California, Nevada, and Texas. The program includes hospices that are newly enrolled, or that undergo a change of ownership, or reactivating after being in a deactivated status after July 13, 2023. Such hospices are subject to enhanced oversight for up to one year and may undergo medical review by CMS contractors to deter fraud, waste and abuse of Medicare funds.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22, 2024, CMS published the Ensuring Access to Medicaid Services Final Rule (the “Access Rule”) which creates and, over the course of five years, implements new obligations for providers of home- and community-based services (“HCBS”), including non-skilled personal care services in the home. The Access Rule requires that, beginning in 2030, states must implement data collection and monitoring systems to ensure that, subject to exceptions, Medicaid-funded HCBS providers spend at least 80% of their Medicaid HCBS reimbursement on compensation for direct care workers, as opposed to administrative overhead or profits. The Access Rule further requires states to establish a grievance system for addressing services provided in the fee-for-service context, publish fee-for-service payment rates paid by Medicaid, publish the average hourly rate paid to HCBS care providers, and develop hardship exemptions and separate requirements for small providers, with these requirements to be implemented within one to three years from the Access Rule taking effect. The Company anticipates potential changes to the Access Rule, or offsetting Medicaid rate increases, before its ultimate implementation in six years.</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6, 2024, the SEC issued its final climate disclosure rule (the “Climate Rule”), intended to regulate how public companies report on the risks and impacts of climate-related matters. The Climate Rule requires companies to report on how they manage and assess climate-related risks, as well as how the board and management oversee these risks. The Climate Rule also mandates companies to disclose the financial consequences of extreme weather events and other natural conditions in their audited financial statements. Additionally, larger companies will have to report on their greenhouse gas emissions, which will be subject to a gradual assurance requirement. The Company anticipates that it will be required to disclose information about its management and oversight of climate risks beginning in 2027, and its greenhouse gas emissions beginning in 2029, assuming no further changes to the Climate Rule, or to the Company’s status as an Accelerated Filer under SEC rules. The Climate Rule is the subject of litigation in various courts and on April 4, 2024, the SEC stayed the Climate Rule pending the outcome of these cases.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two reportable segments: (1) home health and hospice services, which includes our home health, home care and hospice businesses; and</w:t>
      </w:r>
    </w:p>
    <w:p>
      <w:pPr>
        <w:spacing w:after="0" w:line="27" w:lineRule="exact"/>
        <w:rPr>
          <w:sz w:val="20"/>
          <w:szCs w:val="20"/>
          <w:color w:val="auto"/>
        </w:rPr>
      </w:pPr>
    </w:p>
    <w:p>
      <w:pPr>
        <w:jc w:val="both"/>
        <w:ind w:firstLine="8"/>
        <w:spacing w:after="0" w:line="255"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living services, which includes the operation of assisted living, independent living and memory care communities. Our Chief Executive Officer, who is our CODM, reviews financial information at the operating segment level. We also report an “all other” category that includes general and administrative expense from our Service Center.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manage the fiscal aspects of our business by monitoring key performance indicators that affect our financial performance. These indicators and their definitions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Total home health admissions</w:t>
      </w:r>
      <w:r>
        <w:rPr>
          <w:rFonts w:ascii="Times New Roman" w:cs="Times New Roman" w:eastAsia="Times New Roman" w:hAnsi="Times New Roman"/>
          <w:sz w:val="18"/>
          <w:szCs w:val="18"/>
          <w:color w:val="auto"/>
        </w:rPr>
        <w:t>. Total admissions of home health patients, including new acquisitions, new admissions and readmissions.</w:t>
      </w:r>
    </w:p>
    <w:p>
      <w:pPr>
        <w:spacing w:after="0" w:line="117" w:lineRule="exact"/>
        <w:rPr>
          <w:rFonts w:ascii="Times New Roman" w:cs="Times New Roman" w:eastAsia="Times New Roman" w:hAnsi="Times New Roman"/>
          <w:sz w:val="18"/>
          <w:szCs w:val="18"/>
          <w:i w:val="1"/>
          <w:iCs w:val="1"/>
          <w:color w:val="auto"/>
        </w:rPr>
      </w:pPr>
    </w:p>
    <w:p>
      <w:pPr>
        <w:ind w:left="660" w:right="20" w:hanging="328"/>
        <w:spacing w:after="0" w:line="286" w:lineRule="auto"/>
        <w:tabs>
          <w:tab w:leader="none" w:pos="65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Total Medicare home health admissions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admissions of home health patients, who are receiving care under Medicare reimbursement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including new acquisitions, new admissions and readmissions.</w:t>
      </w:r>
    </w:p>
    <w:p>
      <w:pPr>
        <w:spacing w:after="0" w:line="46" w:lineRule="exact"/>
        <w:rPr>
          <w:rFonts w:ascii="Times New Roman" w:cs="Times New Roman" w:eastAsia="Times New Roman" w:hAnsi="Times New Roman"/>
          <w:sz w:val="18"/>
          <w:szCs w:val="18"/>
          <w:i w:val="1"/>
          <w:iCs w:val="1"/>
          <w:color w:val="auto"/>
        </w:rPr>
      </w:pPr>
    </w:p>
    <w:p>
      <w:pPr>
        <w:ind w:left="660" w:right="20" w:hanging="328"/>
        <w:spacing w:after="0" w:line="286" w:lineRule="auto"/>
        <w:tabs>
          <w:tab w:leader="none" w:pos="65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Average Medicare revenue per completed 60-day home health episode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average amount of revenue for each completed 60-day home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episode generated from patients who are receiving care under Medicare reimbursement programs.</w:t>
      </w:r>
    </w:p>
    <w:p>
      <w:pPr>
        <w:spacing w:after="0" w:line="4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Total hospice admissions</w:t>
      </w:r>
      <w:r>
        <w:rPr>
          <w:rFonts w:ascii="Times New Roman" w:cs="Times New Roman" w:eastAsia="Times New Roman" w:hAnsi="Times New Roman"/>
          <w:sz w:val="18"/>
          <w:szCs w:val="18"/>
          <w:color w:val="auto"/>
        </w:rPr>
        <w:t>. Total admissions of hospice patients, including new acquisitions, new admissions and recertifications.</w:t>
      </w:r>
    </w:p>
    <w:p>
      <w:pPr>
        <w:spacing w:after="0" w:line="117"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Average hospice daily census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average number of patients who are receiving hospice care during any measurement period divided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days during such measurement period.</w:t>
      </w:r>
    </w:p>
    <w:p>
      <w:pPr>
        <w:spacing w:after="0" w:line="46" w:lineRule="exact"/>
        <w:rPr>
          <w:rFonts w:ascii="Times New Roman" w:cs="Times New Roman" w:eastAsia="Times New Roman" w:hAnsi="Times New Roman"/>
          <w:sz w:val="18"/>
          <w:szCs w:val="18"/>
          <w:b w:val="1"/>
          <w:bCs w:val="1"/>
          <w:i w:val="1"/>
          <w:iCs w:val="1"/>
          <w:color w:val="auto"/>
        </w:rPr>
      </w:pPr>
    </w:p>
    <w:p>
      <w:pPr>
        <w:ind w:left="660" w:right="20" w:hanging="328"/>
        <w:spacing w:after="0" w:line="28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Hospice Medicare revenue per day</w:t>
      </w:r>
      <w:r>
        <w:rPr>
          <w:rFonts w:ascii="Times New Roman" w:cs="Times New Roman" w:eastAsia="Times New Roman" w:hAnsi="Times New Roman"/>
          <w:sz w:val="18"/>
          <w:szCs w:val="18"/>
          <w:color w:val="auto"/>
        </w:rPr>
        <w:t>. The average daily Medicare revenue recorded during any measurement period for services provided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hospice patients.</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our overall home health and hospice statistics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1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services: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home health admissions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32,180</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Medicare home health admissions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30"/>
        </w:trPr>
        <w:tc>
          <w:tcPr>
            <w:tcW w:w="64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Average Medicare revenue per 60-day completed episode</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services: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hospice admissions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hospice daily census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34"/>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Hospice Medicare revenue per day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bl>
    <w:p>
      <w:pPr>
        <w:spacing w:after="0" w:line="121" w:lineRule="exact"/>
        <w:rPr>
          <w:sz w:val="20"/>
          <w:szCs w:val="20"/>
          <w:color w:val="auto"/>
        </w:rPr>
      </w:pPr>
    </w:p>
    <w:p>
      <w:pPr>
        <w:ind w:left="480" w:hanging="454"/>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year-to-date average Medicare revenue per 60-day completed episode includes post period claim adjustments for prior quarters.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8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Occupancy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ratio of actual number of days our units are occupied during any measurement period to the number of days units are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occupancy during such measurement period.</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Average monthly revenue per occupied unit</w:t>
      </w:r>
      <w:r>
        <w:rPr>
          <w:rFonts w:ascii="Times New Roman" w:cs="Times New Roman" w:eastAsia="Times New Roman" w:hAnsi="Times New Roman"/>
          <w:sz w:val="18"/>
          <w:szCs w:val="18"/>
          <w:color w:val="auto"/>
        </w:rPr>
        <w:t>. The revenue for senior living services during any measurement period divided by actual occupied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living units for such measurement period divided by the number of months for such measurement period.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senior living statistics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40" w:type="dxa"/>
            <w:vAlign w:val="bottom"/>
          </w:tcPr>
          <w:p>
            <w:pPr>
              <w:spacing w:after="0"/>
              <w:rPr>
                <w:sz w:val="17"/>
                <w:szCs w:val="17"/>
                <w:color w:val="auto"/>
              </w:rPr>
            </w:pPr>
          </w:p>
        </w:tc>
        <w:tc>
          <w:tcPr>
            <w:tcW w:w="25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5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r>
      <w:tr>
        <w:trPr>
          <w:trHeight w:val="225"/>
        </w:trPr>
        <w:tc>
          <w:tcPr>
            <w:tcW w:w="5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78.4 %</w:t>
            </w: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occupied unit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4,401</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Home Health. </w:t>
      </w:r>
      <w:r>
        <w:rPr>
          <w:rFonts w:ascii="Times New Roman" w:cs="Times New Roman" w:eastAsia="Times New Roman" w:hAnsi="Times New Roman"/>
          <w:sz w:val="18"/>
          <w:szCs w:val="18"/>
          <w:color w:val="auto"/>
        </w:rPr>
        <w:t>We derive the majority of our home health revenue from Medicare and managed care. The Medicare payment is adjusted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These variables are subject to periodic adjustments set by CMS regulations. For further detail regarding PDGM see the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xml:space="preserve"> section of our 2023 Annual Report.</w:t>
      </w:r>
    </w:p>
    <w:p>
      <w:pPr>
        <w:spacing w:after="0" w:line="22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Hospice. </w:t>
      </w:r>
      <w:r>
        <w:rPr>
          <w:rFonts w:ascii="Times New Roman" w:cs="Times New Roman" w:eastAsia="Times New Roman" w:hAnsi="Times New Roman"/>
          <w:sz w:val="18"/>
          <w:szCs w:val="18"/>
          <w:color w:val="auto"/>
        </w:rPr>
        <w:t>We derive the majority of our hospice business revenue from Medicare reimbursement. The estimated payment rates are calculated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03" w:lineRule="exact"/>
        <w:rPr>
          <w:sz w:val="20"/>
          <w:szCs w:val="20"/>
          <w:color w:val="auto"/>
        </w:rPr>
      </w:pPr>
    </w:p>
    <w:p>
      <w:pPr>
        <w:ind w:left="660" w:hanging="328"/>
        <w:spacing w:after="0" w:line="28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Routine Home Care (“RHC”). </w:t>
      </w:r>
      <w:r>
        <w:rPr>
          <w:rFonts w:ascii="Times New Roman" w:cs="Times New Roman" w:eastAsia="Times New Roman" w:hAnsi="Times New Roman"/>
          <w:sz w:val="18"/>
          <w:szCs w:val="18"/>
          <w:color w:val="auto"/>
        </w:rPr>
        <w:t>Care that is not classified under any of the other levels of care, such as the work of nurses, social workers or home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aides.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Inpatient Care. </w:t>
      </w:r>
      <w:r>
        <w:rPr>
          <w:rFonts w:ascii="Times New Roman" w:cs="Times New Roman" w:eastAsia="Times New Roman" w:hAnsi="Times New Roman"/>
          <w:sz w:val="18"/>
          <w:szCs w:val="18"/>
          <w:color w:val="auto"/>
        </w:rPr>
        <w:t>Pain control or acute or chronic symptom management that cannot be managed in a setting other than an inpatient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Medicare-certified facility, such as a hospital, skilled nursing facility or hospice inpatient facility.</w:t>
      </w:r>
    </w:p>
    <w:p>
      <w:pPr>
        <w:spacing w:after="0" w:line="4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Continuous Home Care. </w:t>
      </w:r>
      <w:r>
        <w:rPr>
          <w:rFonts w:ascii="Times New Roman" w:cs="Times New Roman" w:eastAsia="Times New Roman" w:hAnsi="Times New Roman"/>
          <w:sz w:val="18"/>
          <w:szCs w:val="18"/>
          <w:color w:val="auto"/>
        </w:rPr>
        <w:t>Care for patients experiencing a medical crisis that requires nursing services to achieve palliation and symptom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agency provides a minimum of eight hours of care within a 24-hour period.</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Inpatient Respite Care. </w:t>
      </w:r>
      <w:r>
        <w:rPr>
          <w:rFonts w:ascii="Times New Roman" w:cs="Times New Roman" w:eastAsia="Times New Roman" w:hAnsi="Times New Roman"/>
          <w:sz w:val="18"/>
          <w:szCs w:val="18"/>
          <w:color w:val="auto"/>
        </w:rPr>
        <w:t>Short-term, inpatient care to give temporary relief to the caregiver who regularly provides care to the patient.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CMS has established a two-tiered payment system for RHC services.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inpatient cap limit and an overall payment cap, we monitor our provider numbers and estimate amounts due back to Medicare to the extent that the cap has been exceeded.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Senior Living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September 30, 2024, we provided assisted living, independent living and memory care services in 54 communities.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our senior living operations, we generate revenue primarily from private pay sources, with a portion earned from Medicaid or other state-specific programs.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Expense</w:t>
      </w:r>
    </w:p>
    <w:p>
      <w:pPr>
        <w:spacing w:after="0" w:line="2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Services (excluding rent, general and administrative expense and depreciation and amortization)</w:t>
      </w:r>
      <w:r>
        <w:rPr>
          <w:rFonts w:ascii="Times New Roman" w:cs="Times New Roman" w:eastAsia="Times New Roman" w:hAnsi="Times New Roman"/>
          <w:sz w:val="18"/>
          <w:szCs w:val="18"/>
          <w:color w:val="auto"/>
        </w:rPr>
        <w:t>. Our cost of services represents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Rent—Cost of Services</w:t>
      </w:r>
      <w:r>
        <w:rPr>
          <w:rFonts w:ascii="Times New Roman" w:cs="Times New Roman" w:eastAsia="Times New Roman" w:hAnsi="Times New Roman"/>
          <w:sz w:val="18"/>
          <w:szCs w:val="18"/>
          <w:color w:val="auto"/>
        </w:rPr>
        <w:t>. Rent—cost of services consists solely of base minimum rent amounts payable under lease agreements to our landlords.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r>
        <w:rPr>
          <w:rFonts w:ascii="Times New Roman" w:cs="Times New Roman" w:eastAsia="Times New Roman" w:hAnsi="Times New Roman"/>
          <w:sz w:val="18"/>
          <w:szCs w:val="18"/>
          <w:color w:val="auto"/>
        </w:rPr>
        <w:t>. General and administrative expense consists primarily of payroll and related benefits and travel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Property and equipment are recorded at their original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and Summary of Significant Accounting Policies</w:t>
      </w:r>
      <w:r>
        <w:rPr>
          <w:rFonts w:ascii="Times New Roman" w:cs="Times New Roman" w:eastAsia="Times New Roman" w:hAnsi="Times New Roman"/>
          <w:sz w:val="18"/>
          <w:szCs w:val="18"/>
          <w:color w:val="auto"/>
        </w:rPr>
        <w:t>, within the 2023 Annual Report for further information on our critical accounting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policies, which are as follows:</w:t>
      </w:r>
    </w:p>
    <w:p>
      <w:pPr>
        <w:spacing w:after="0" w:line="215" w:lineRule="exact"/>
        <w:rPr>
          <w:sz w:val="20"/>
          <w:szCs w:val="20"/>
          <w:color w:val="auto"/>
        </w:rPr>
      </w:pPr>
    </w:p>
    <w:p>
      <w:pPr>
        <w:ind w:left="660" w:hanging="328"/>
        <w:spacing w:after="0" w:line="28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Self-insurance reserves </w:t>
      </w:r>
      <w:r>
        <w:rPr>
          <w:rFonts w:ascii="Times New Roman" w:cs="Times New Roman" w:eastAsia="Times New Roman" w:hAnsi="Times New Roman"/>
          <w:sz w:val="18"/>
          <w:szCs w:val="18"/>
          <w:color w:val="auto"/>
        </w:rPr>
        <w:t>- The valuation methods and assumptions used in estimating costs up to retention amounts to settle open claims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insureds and an estimate of the cost of insured claims up to retention amounts that have been incurred but not reported;</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amounts owed by private pay individuals for services and estimate of variable considerations to arrive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price, including methods and assumptions, used to determine settlements with Medicare and Medicaid adjustments due to audits and reviews; and</w:t>
      </w:r>
    </w:p>
    <w:p>
      <w:pPr>
        <w:spacing w:after="0" w:line="6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 accounting and goodwill </w:t>
      </w:r>
      <w:r>
        <w:rPr>
          <w:rFonts w:ascii="Times New Roman" w:cs="Times New Roman" w:eastAsia="Times New Roman" w:hAnsi="Times New Roman"/>
          <w:sz w:val="18"/>
          <w:szCs w:val="18"/>
          <w:color w:val="auto"/>
        </w:rPr>
        <w:t>- The assumptions used to allocate the purchase price paid for assets acquired and liabilities assumed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our acquisitions, and the review of goodwill for impairment at the Company’s annual impairment test date or upon the occurrence of a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Information concerning recently issued accounting pronouncements, if applicable, are included in Note 2, </w:t>
      </w:r>
      <w:r>
        <w:rPr>
          <w:rFonts w:ascii="Times New Roman" w:cs="Times New Roman" w:eastAsia="Times New Roman" w:hAnsi="Times New Roman"/>
          <w:sz w:val="18"/>
          <w:szCs w:val="18"/>
          <w:i w:val="1"/>
          <w:iCs w:val="1"/>
          <w:color w:val="auto"/>
        </w:rPr>
        <w:t>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in the Interim Financial Statements.</w:t>
      </w: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details of our revenue, expenses and earnings as a percentage of total revenue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8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74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Rent—cost of services</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disposition of property and equipment, net</w:t>
            </w: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expenses</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7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Pennant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consolidated GAAP Financial measures for the three and nine months ended September 30, 2024 and 2023:</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40" w:type="dxa"/>
            <w:vAlign w:val="bottom"/>
          </w:tcPr>
          <w:p>
            <w:pPr>
              <w:spacing w:after="0"/>
              <w:rPr>
                <w:sz w:val="20"/>
                <w:szCs w:val="20"/>
                <w:color w:val="auto"/>
              </w:rPr>
            </w:pPr>
          </w:p>
        </w:tc>
      </w:tr>
      <w:tr>
        <w:trPr>
          <w:trHeight w:val="225"/>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Financial Measures: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506,348</w:t>
            </w:r>
          </w:p>
        </w:tc>
        <w:tc>
          <w:tcPr>
            <w:tcW w:w="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398,937</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477,468</w:t>
            </w:r>
          </w:p>
        </w:tc>
        <w:tc>
          <w:tcPr>
            <w:tcW w:w="4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381,335</w:t>
            </w: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certain financial information regarding our reportable segments for the periods presented. General and administrative expenses are not allocated to the reportable segments and are included in “All Other”: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Senior Living</w:t>
            </w:r>
          </w:p>
        </w:tc>
        <w:tc>
          <w:tcPr>
            <w:tcW w:w="32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Hospice Services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GAAP Financial Measures: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135,672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45,016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180,688</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13,411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38,718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Senior Living</w:t>
            </w:r>
          </w:p>
        </w:tc>
        <w:tc>
          <w:tcPr>
            <w:tcW w:w="34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Hospice Services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377,463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128,885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38,226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287,573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111,364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47,364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33,394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provides a reconciliation of Segment Adjusted EBITDAR from Operations to Condensed Consolidated Income from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13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Segment Adjusted EBITDAR from Operations</w:t>
            </w:r>
            <w:r>
              <w:rPr>
                <w:rFonts w:ascii="Times New Roman" w:cs="Times New Roman" w:eastAsia="Times New Roman" w:hAnsi="Times New Roman"/>
                <w:sz w:val="23"/>
                <w:szCs w:val="23"/>
                <w:color w:val="auto"/>
                <w:vertAlign w:val="superscript"/>
              </w:rPr>
              <w:t>(a)</w:t>
            </w:r>
          </w:p>
        </w:tc>
        <w:tc>
          <w:tcPr>
            <w:tcW w:w="1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Rent—cost of services</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29,439</w:t>
            </w:r>
          </w:p>
        </w:tc>
        <w:tc>
          <w:tcPr>
            <w:tcW w:w="0" w:type="dxa"/>
            <w:vAlign w:val="bottom"/>
          </w:tcPr>
          <w:p>
            <w:pPr>
              <w:spacing w:after="0"/>
              <w:rPr>
                <w:sz w:val="1"/>
                <w:szCs w:val="1"/>
                <w:color w:val="auto"/>
              </w:rPr>
            </w:pPr>
          </w:p>
        </w:tc>
      </w:tr>
      <w:tr>
        <w:trPr>
          <w:trHeight w:val="229"/>
        </w:trPr>
        <w:tc>
          <w:tcPr>
            <w:tcW w:w="4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income (expense)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Segment EBITDAR from Operations:</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Costs at start-up operations</w:t>
            </w:r>
            <w:r>
              <w:rPr>
                <w:rFonts w:ascii="Times New Roman" w:cs="Times New Roman" w:eastAsia="Times New Roman" w:hAnsi="Times New Roman"/>
                <w:sz w:val="23"/>
                <w:szCs w:val="23"/>
                <w:color w:val="auto"/>
                <w:vertAlign w:val="superscript"/>
              </w:rPr>
              <w:t>(b)</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(c)</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0" w:type="dxa"/>
            <w:vAlign w:val="bottom"/>
          </w:tcPr>
          <w:p>
            <w:pPr>
              <w:spacing w:after="0"/>
              <w:rPr>
                <w:sz w:val="1"/>
                <w:szCs w:val="1"/>
                <w:color w:val="auto"/>
              </w:rPr>
            </w:pPr>
          </w:p>
        </w:tc>
      </w:tr>
      <w:tr>
        <w:trPr>
          <w:trHeight w:val="230"/>
        </w:trPr>
        <w:tc>
          <w:tcPr>
            <w:tcW w:w="47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(d)</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(e)</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47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(f)</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Income from Operations</w:t>
            </w:r>
          </w:p>
        </w:tc>
        <w:tc>
          <w:tcPr>
            <w:tcW w:w="13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7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80" w:right="20" w:hanging="454"/>
        <w:spacing w:after="0" w:line="265" w:lineRule="auto"/>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6"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20" w:hanging="454"/>
        <w:spacing w:after="0" w:line="291" w:lineRule="auto"/>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14"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68" w:lineRule="exact"/>
        <w:rPr>
          <w:rFonts w:ascii="Times New Roman" w:cs="Times New Roman" w:eastAsia="Times New Roman" w:hAnsi="Times New Roman"/>
          <w:sz w:val="14"/>
          <w:szCs w:val="14"/>
          <w:color w:val="auto"/>
        </w:rPr>
      </w:pPr>
    </w:p>
    <w:p>
      <w:pPr>
        <w:jc w:val="both"/>
        <w:ind w:left="480" w:right="20" w:hanging="454"/>
        <w:spacing w:after="0" w:line="275" w:lineRule="auto"/>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2023, an affiliate of the Company placed its memory care units into transition and began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an entity transitioned to Ensign.</w:t>
      </w:r>
    </w:p>
    <w:p>
      <w:pPr>
        <w:spacing w:after="0" w:line="13"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and Valuation Measures: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6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Pr>
          <w:p>
            <w:pPr>
              <w:spacing w:after="0"/>
              <w:rPr>
                <w:sz w:val="20"/>
                <w:szCs w:val="20"/>
                <w:color w:val="auto"/>
              </w:rPr>
            </w:pPr>
          </w:p>
        </w:tc>
      </w:tr>
      <w:tr>
        <w:trPr>
          <w:trHeight w:val="225"/>
        </w:trPr>
        <w:tc>
          <w:tcPr>
            <w:tcW w:w="6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Non-GAAP Financial Measures: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Metrics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EBITDA</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32,356</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r>
      <w:tr>
        <w:trPr>
          <w:trHeight w:val="23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Metric</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4"/>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EBITDAR</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26,002</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26"/>
        </w:trPr>
        <w:tc>
          <w:tcPr>
            <w:tcW w:w="6060" w:type="dxa"/>
            <w:vAlign w:val="bottom"/>
          </w:tcPr>
          <w:p>
            <w:pPr>
              <w:spacing w:after="0"/>
              <w:rPr>
                <w:sz w:val="24"/>
                <w:szCs w:val="24"/>
                <w:color w:val="auto"/>
              </w:rPr>
            </w:pPr>
          </w:p>
        </w:tc>
        <w:tc>
          <w:tcPr>
            <w:tcW w:w="26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Segment Non-GAAP Measures:</w:t>
            </w:r>
            <w:r>
              <w:rPr>
                <w:rFonts w:ascii="Times New Roman" w:cs="Times New Roman" w:eastAsia="Times New Roman" w:hAnsi="Times New Roman"/>
                <w:sz w:val="23"/>
                <w:szCs w:val="23"/>
                <w:b w:val="1"/>
                <w:bCs w:val="1"/>
                <w:color w:val="auto"/>
                <w:vertAlign w:val="superscript"/>
              </w:rPr>
              <w:t>(a)</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 from Operations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 health and hospice services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59,356</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43,476</w:t>
            </w:r>
          </w:p>
        </w:tc>
      </w:tr>
      <w:tr>
        <w:trPr>
          <w:trHeight w:val="234"/>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living services</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r>
    </w:tbl>
    <w:p>
      <w:pPr>
        <w:spacing w:after="0" w:line="107" w:lineRule="exact"/>
        <w:rPr>
          <w:sz w:val="20"/>
          <w:szCs w:val="20"/>
          <w:color w:val="auto"/>
        </w:rPr>
      </w:pPr>
    </w:p>
    <w:p>
      <w:pPr>
        <w:ind w:left="480" w:hanging="454"/>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expenses are not allocated to any segment for purposes of determining segment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The table below reconciles Consolidated Net Income to the consolidated Non-GAAP financial measures, Consolidated EBITDA and Consolidated Adjusted EBITDA, and to the Non-GAAP valuation measure, Consolidated Adjusted EBITDAR, for the periods presented:</w:t>
      </w: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jc w:val="center"/>
              <w:ind w:right="360"/>
              <w:spacing w:after="0" w:line="185"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00" w:type="dxa"/>
            <w:vAlign w:val="bottom"/>
            <w:gridSpan w:val="5"/>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Pr>
          <w:p>
            <w:pPr>
              <w:spacing w:after="0"/>
              <w:rPr>
                <w:sz w:val="20"/>
                <w:szCs w:val="20"/>
                <w:color w:val="auto"/>
              </w:rPr>
            </w:pPr>
          </w:p>
        </w:tc>
      </w:tr>
      <w:tr>
        <w:trPr>
          <w:trHeight w:val="225"/>
        </w:trPr>
        <w:tc>
          <w:tcPr>
            <w:tcW w:w="6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Provision for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EBITDA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Consolidated EBITDA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 Costs at start-up operations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61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30"/>
        </w:trPr>
        <w:tc>
          <w:tcPr>
            <w:tcW w:w="612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61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61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 related to items (a) and (d) above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28,864</w:t>
            </w:r>
          </w:p>
        </w:tc>
      </w:tr>
      <w:tr>
        <w:trPr>
          <w:trHeight w:val="223"/>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Rent—cost of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29,439</w:t>
            </w:r>
          </w:p>
        </w:tc>
      </w:tr>
      <w:tr>
        <w:trPr>
          <w:trHeight w:val="229"/>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Rent related to items (a) and (d) above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rent—cost of services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20" w:hanging="454"/>
        <w:spacing w:after="0" w:line="282"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26"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68" w:lineRule="exact"/>
        <w:rPr>
          <w:rFonts w:ascii="Times New Roman" w:cs="Times New Roman" w:eastAsia="Times New Roman" w:hAnsi="Times New Roman"/>
          <w:sz w:val="14"/>
          <w:szCs w:val="14"/>
          <w:color w:val="auto"/>
        </w:rPr>
      </w:pPr>
    </w:p>
    <w:p>
      <w:pPr>
        <w:jc w:val="both"/>
        <w:ind w:left="480" w:right="20" w:hanging="454"/>
        <w:spacing w:after="0" w:line="271"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2023, an affiliate of the Company placed its memory care units into transition and began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an entity transitioned to Ensign.</w:t>
      </w:r>
    </w:p>
    <w:p>
      <w:pPr>
        <w:spacing w:after="0" w:line="21"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tables below reconcile Segment Adjusted EBITDAR from Operations to Segment Adjusted EBITDA from Operations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r>
      <w:tr>
        <w:trPr>
          <w:trHeight w:val="229"/>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 related to start-up and transitioning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8"/>
        </w:trPr>
        <w:tc>
          <w:tcPr>
            <w:tcW w:w="6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25,303</w:t>
            </w:r>
          </w:p>
        </w:tc>
      </w:tr>
      <w:tr>
        <w:trPr>
          <w:trHeight w:val="229"/>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 related to start-up and transitioning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these Non-GAAP Financial Measures are useful to investors and other external users of our financial statements regarding our results of operations because:</w:t>
      </w:r>
    </w:p>
    <w:p>
      <w:pPr>
        <w:spacing w:after="0" w:line="189" w:lineRule="exact"/>
        <w:rPr>
          <w:sz w:val="20"/>
          <w:szCs w:val="20"/>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help investors evaluate and compare the results of our operations from period to period by removing the impact of our asset base and capital structure from our operating results;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EBITDAR is used by investors and analysts in our industry to value the companies in our industry without regard to capital structures.</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Non-GAAP Financial Measures: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measurements of our operating performance to assist us in comparing our operating performance on a consistent basis from period to period;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value of a potential acquisition;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value of a transformed operation’s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operational strategies;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establish compensation programs and bonuses for our leaders that are partially based upon the achievement of Consolidated Adjusted EBITDAR targets.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0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our current or future cash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net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Consolidated Adjusted EBITDAR, it does not reflect rent expenses, which are normal and recurring operating expenses that are necessary to operate our leased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any income tax payments we may be required to make;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 same Non-GAAP Financial Measures differently than we do, which may limit their usefulness as comparative measures.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 Our use of Non-GAAP Financial Measures should not be construed as an inference that our future results will be unaffected by unusual or unexpected items.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following Non-GAAP Financial Measures are useful to investors as key operating performance measures and valuation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EBITDA</w:t>
      </w:r>
    </w:p>
    <w:p>
      <w:pPr>
        <w:spacing w:after="0" w:line="2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Consolidated EBITDA as net income, before (a) interest expense (b) provision for income taxes and (c) depreciation and amortization.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Adjusted EBITDA</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adjust Consolidated EBITDA when evaluating our performance because we believe that the exclusion of the additional items described below provides useful supplemental information to investors regarding our ongoing operating performance. We believe that the presentation of Consolidated Adjusted EBITDA, when considered with Consolidated EBITDA and GAAP Consolidated Net Income is beneficial to an investor’s complete understanding of our operating performance.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Consolidated Adjusted EBITDA by adjusting Consolidated EBITDA to exclude the effects of non-core business items, which for the reported periods includes, to the extent applicable:</w:t>
      </w:r>
    </w:p>
    <w:p>
      <w:pPr>
        <w:spacing w:after="0" w:line="18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at start-up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costs and credit allowances;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transitioning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non-recurring, or redundant charges.</w:t>
      </w: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Adjusted EBITDA from Operations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Measure</w:t>
      </w: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Adjusted EBITDAR</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the Three Months Ended September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00"/>
        </w:trPr>
        <w:tc>
          <w:tcPr>
            <w:tcW w:w="47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health</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60,988</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44,921</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50,371</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4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Home care and other</w:t>
            </w:r>
            <w:r>
              <w:rPr>
                <w:rFonts w:ascii="Times New Roman" w:cs="Times New Roman" w:eastAsia="Times New Roman" w:hAnsi="Times New Roman"/>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38,718</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80" w:hanging="454"/>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care and other revenue is included with home health revenue in other disclosures in this Quarterly Report.</w:t>
      </w:r>
    </w:p>
    <w:p>
      <w:pPr>
        <w:spacing w:after="0" w:line="3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total revenue increased $40.5 million, or 28.9% during the three months ended September 30, 2024. We experienced growth of $34.2 million from increased operational performance in our Home Health and Hospice segment from increased admissions and rates when compared to the three months ended September 30, 2023. The growth in our Senior Living segment resulted in an increase in revenue of $6.3 million driven primarily by the improved average rate per occupied room.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8"/>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 health services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60,988</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Hospice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Home care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92.9</w:t>
            </w: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home health and hospice revenue</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397"/>
        </w:trPr>
        <w:tc>
          <w:tcPr>
            <w:tcW w:w="5940" w:type="dxa"/>
            <w:vAlign w:val="bottom"/>
          </w:tcPr>
          <w:p>
            <w:pPr>
              <w:spacing w:after="0"/>
              <w:rPr>
                <w:sz w:val="24"/>
                <w:szCs w:val="24"/>
                <w:color w:val="auto"/>
              </w:rPr>
            </w:pPr>
          </w:p>
        </w:tc>
        <w:tc>
          <w:tcPr>
            <w:tcW w:w="26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services: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home health admissions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Medicare home health admissions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Medicare revenue per 60-day completed episode</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hospice admissions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daily hospice census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Hospice Medicare revenue per day</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home health and hospice agencies at period end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Home health and hospice revenue increased $34.2 million, or 33.7%, for the three months ended September 30, 2024 compared to the prior year quarter. Revenue grew due to an increase in certain key performance indicators including, an increase of 38.5% in total home health admissions, an increase in total hospice admissions of 22.8%, and an increase in average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daily hospice census of 27.7% during the three months ended September 30, 2024 compared to the prior year quarter. Growth was also driven by the addition of nineteen home health and hospice operations between September 30, 2023 and September 30, 2024, resulting in an increase of $22.2 million, or 21.9%.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8"/>
        </w:trPr>
        <w:tc>
          <w:tcPr>
            <w:tcW w:w="5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8"/>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5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thousands)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communities at period end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79.1 %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occupied unit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living revenue increased $6.3 million, or 16.3%, for the three months ended September 30, 2024 compared to the prior year quarter. Revenue grew primarily due to a 7.8% increase in average monthly revenue per occupied unit and an increase of 20 basis points in occupancy between September 30, 2023 and September 30, 2024. Growth was also driven by the addition of three senior living communities between September 30, 2023 and September 30, 2024, resulting in an increase of $3.4 million, or 8.8%, overall.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total cost of services by each of our reportable segments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8"/>
        </w:trPr>
        <w:tc>
          <w:tcPr>
            <w:tcW w:w="5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8"/>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112,591</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w:t>
            </w:r>
          </w:p>
        </w:tc>
        <w:tc>
          <w:tcPr>
            <w:tcW w:w="14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32.8 %</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Living</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48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15.5</w:t>
            </w:r>
          </w:p>
        </w:tc>
      </w:tr>
      <w:tr>
        <w:trPr>
          <w:trHeight w:val="248"/>
        </w:trPr>
        <w:tc>
          <w:tcPr>
            <w:tcW w:w="5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services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32,084</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28.5 %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consolidated cost of services increased $32.1 million, or 28.5%, for the three months ended September 30, 2024 when compared to the three months ended September 30, 2023. Cost of services as a percentage of revenue decreased by 20 basis points from 80.2% to 80.0% for the three months ended September 30, 2024 when compared to the three months ended September 30,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0"/>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8"/>
        </w:trPr>
        <w:tc>
          <w:tcPr>
            <w:tcW w:w="5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112,591</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27,796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120" w:type="dxa"/>
            <w:vAlign w:val="bottom"/>
          </w:tcPr>
          <w:p>
            <w:pPr>
              <w:spacing w:after="0"/>
              <w:rPr>
                <w:sz w:val="20"/>
                <w:szCs w:val="20"/>
                <w:color w:val="auto"/>
              </w:rPr>
            </w:pPr>
          </w:p>
        </w:tc>
        <w:tc>
          <w:tcPr>
            <w:tcW w:w="1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83.0 %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services related to our Home Health and Hospice Services segment increased $27.8 million, or 32.8%, primarily due to increased volume of services provided. Cost of services as a percentage of revenue for the three months ended September 30, 2024 decreased 60 basis points when compared to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8"/>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3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120" w:type="dxa"/>
            <w:vAlign w:val="bottom"/>
          </w:tcPr>
          <w:p>
            <w:pPr>
              <w:spacing w:after="0"/>
              <w:rPr>
                <w:sz w:val="20"/>
                <w:szCs w:val="20"/>
                <w:color w:val="auto"/>
              </w:rPr>
            </w:pPr>
          </w:p>
        </w:tc>
        <w:tc>
          <w:tcPr>
            <w:tcW w:w="1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70.8 %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services related to our Senior Living Services segment increased $4.3 million, or 15.5%, primarily due to increased wages and benefits. As a percentage of revenue, costs of service decreased by 50 basis points for the three months ended September 30, 2024 when compared to the three months ended September 30, 2023.</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Rent—Cost of Services</w:t>
      </w:r>
      <w:r>
        <w:rPr>
          <w:rFonts w:ascii="Times New Roman" w:cs="Times New Roman" w:eastAsia="Times New Roman" w:hAnsi="Times New Roman"/>
          <w:sz w:val="18"/>
          <w:szCs w:val="18"/>
          <w:color w:val="auto"/>
        </w:rPr>
        <w:t>. Rent expense increased 9.0% from $10.0 million to $10.9 million in the three months ended September 30, 2024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2023, primarily as a result of the new leases on the acquired home health and hospice operations and senior living community. Rent as a percentage of total revenue decreased 110 basis points from 7.1% for the three months ended September 30, 2023, compared to 6.0% for the three months ended September 30, 2024.</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Our general and administrative expense increased $3.6 million, or 38.3%, from $9.4 million to $13.0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30, 2024 when compared to the three months ended September 30, 2023. General and administrative expense as a percentage of revenue increased 50 basis points from 6.7% to 7.2% during the period. The primary driver of the increase in general and administrative expense was due to an increase in payroll and related benefits for the three months ended September 30, 2024 when compared to the three months ended September 30, 2023.</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remained consistent with the comparable period.</w:t>
      </w:r>
    </w:p>
    <w:p>
      <w:pPr>
        <w:spacing w:after="0" w:line="2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recorded income tax expense of $1.4 million and $1.1 million or 16.9% and 19.3% of earnings before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for the three months ended September 30, 2024 and 2023, respectively. The decrease in the effective tax rate is primarily due to more excess tax benefits on equity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99"/>
        </w:trPr>
        <w:tc>
          <w:tcPr>
            <w:tcW w:w="47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health</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172,773</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129,112</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176,711</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140,222</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4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Home care and other</w:t>
            </w:r>
            <w:r>
              <w:rPr>
                <w:rFonts w:ascii="Times New Roman" w:cs="Times New Roman" w:eastAsia="Times New Roman" w:hAnsi="Times New Roman"/>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377,463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128,885</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111,364</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480" w:hanging="454"/>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care and other revenue is included with home health revenue in other disclosures in this Quarterly Report.</w:t>
      </w:r>
    </w:p>
    <w:p>
      <w:pPr>
        <w:spacing w:after="0" w:line="3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 increased $107.4 million, or 26.9%, during the nine months ended September 30, 2024. The increase in revenue was driven by increases in key metrics for home health and hospice and senior living, including hospice admissions, hospice revenue per day, hospice average daily census, senior living occupancy, and senior living revenue per occupied room.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3"/>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6"/>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8"/>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8"/>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revenue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 health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172,773</w:t>
            </w: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Hospice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Home care and other</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53.4</w:t>
            </w:r>
          </w:p>
        </w:tc>
      </w:tr>
      <w:tr>
        <w:trPr>
          <w:trHeight w:val="248"/>
        </w:trPr>
        <w:tc>
          <w:tcPr>
            <w:tcW w:w="5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home health and hospice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377,463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393"/>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8"/>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8"/>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services: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home health admissions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36.1 %</w:t>
            </w: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Medicare home health admissions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58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Average Medicare revenue per 60-day completed episode</w:t>
            </w:r>
            <w:r>
              <w:rPr>
                <w:rFonts w:ascii="Times New Roman" w:cs="Times New Roman" w:eastAsia="Times New Roman" w:hAnsi="Times New Roman"/>
                <w:sz w:val="23"/>
                <w:szCs w:val="23"/>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hospice admissions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daily census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Hospice Medicare revenue per day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home health and hospice agencies at period end</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r>
    </w:tbl>
    <w:p>
      <w:pPr>
        <w:spacing w:after="0" w:line="112" w:lineRule="exact"/>
        <w:rPr>
          <w:sz w:val="20"/>
          <w:szCs w:val="20"/>
          <w:color w:val="auto"/>
        </w:rPr>
      </w:pPr>
    </w:p>
    <w:p>
      <w:pPr>
        <w:ind w:left="480" w:hanging="454"/>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year-to-date average for Medicare revenue per 60-day completed episode includes post period claim adjustments for prior periods.</w:t>
      </w:r>
    </w:p>
    <w:p>
      <w:pPr>
        <w:spacing w:after="0" w:line="3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Home health and hospice revenue increased $89.9 million, or 31.3% during the nine months ended September 30, 2024 compared to the same period in the prior year primarily due to an increase of 36.1% in home health admissions, inclusive of an increase in total Medicare home health admissions of 25.8%, an increase in hospice average daily census of 26.1%, and an increase of 26.5% in hospice admissions. The addition of nineteen home health and hospice operations between September 30, 2023 and September 30, 2024, added revenue of $51.2 million, or 17.8%.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00"/>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4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thousands)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128,885</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communities at period end</w:t>
            </w:r>
          </w:p>
        </w:tc>
        <w:tc>
          <w:tcPr>
            <w:tcW w:w="12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occupied unit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4,758</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living revenue increased $17.5 million, or 15.7%, for the nine months ended September 30, 2024 compared to the same period in the prior year primarily due to an increase of 8.1% in average monthly revenue per occupied unit and an increase of 50 basis points in the occupancy rate between September 30, 2023 and September 30, 2024. The acquisition of three senior living communities between September 30, 2023 and September 30, 2024, added $8.1 million, or 7.3%, in revenue.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8"/>
        </w:trPr>
        <w:tc>
          <w:tcPr>
            <w:tcW w:w="12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8"/>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314,458</w:t>
            </w:r>
          </w:p>
        </w:tc>
        <w:tc>
          <w:tcPr>
            <w:tcW w:w="4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72,178</w:t>
            </w:r>
          </w:p>
        </w:tc>
        <w:tc>
          <w:tcPr>
            <w:tcW w:w="14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29.8 %</w:t>
            </w:r>
          </w:p>
        </w:tc>
      </w:tr>
      <w:tr>
        <w:trPr>
          <w:trHeight w:val="229"/>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Senior Living</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48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15.8</w:t>
            </w:r>
          </w:p>
        </w:tc>
      </w:tr>
      <w:tr>
        <w:trPr>
          <w:trHeight w:val="248"/>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services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405,776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84,614</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26.3 %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Consolidated cost of services increased $84.6 million, or 26.3%, during the nine months ended September 30, 2024 compared to the same period in the prior year. Cost of services as a percentage of revenue for the nine months ended September 30, 2024 decreased by 40 basis points to 80.1% from 80.5% compared to the nine months ended September 30,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314,458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242,280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72,178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related to our Home Health and Hospice services segment increased $72.2 million, or 29.8%, compared to the same period in the prior year primarily due to the increased volume of services from the growth in admissions and average daily census. Cost of services as a percentage of revenue for the nine months ended September 30, 2024 decreased by 90 basis points compared to the nine months ended September 30, 2023 primarily due to decreased wages and benefits as a percent of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91,318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78,882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12,436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services related to our Senior Living services segment increased $12.4 million, or 15.8%, during the nine months ended September 30, 2024 compared to the same period in the prior year primarily due to higher occupancy and wage rate increases. As a percentage of revenue, costs of service increased by 10 basis points during the nine months ended September 30, 2024 when compared to the nine months ended September 30, 2023.</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Rent—Cost of Services</w:t>
      </w:r>
      <w:r>
        <w:rPr>
          <w:rFonts w:ascii="Times New Roman" w:cs="Times New Roman" w:eastAsia="Times New Roman" w:hAnsi="Times New Roman"/>
          <w:sz w:val="18"/>
          <w:szCs w:val="18"/>
          <w:color w:val="auto"/>
        </w:rPr>
        <w:t>. Rent increased 8.1% from $29.4 million to $31.8 million during the nine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the prior year, primarily as a result of the new leases on the acquired home health and hospice operations and senior living community. As a percentage of revenue, rent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cost of services decreased 110 basis points when compared to the nine months ended September 30, 2023 due to improved senior living performance.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Our general and administrative expense increased $9.4 million, or 35.0%, from $26.9 million to $36.3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2024 when compared to the nine months ended September 30, 2023. The increase in general and administrative expense was due to an increase in payroll and related benefits, for the nine months ended September 30, 2024 when compared to the nine months ended September 30,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remained consistent with the comparable period.</w:t>
      </w:r>
    </w:p>
    <w:p>
      <w:pPr>
        <w:spacing w:after="0" w:line="2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disposition of property and equipment, net. </w:t>
      </w:r>
      <w:r>
        <w:rPr>
          <w:rFonts w:ascii="Times New Roman" w:cs="Times New Roman" w:eastAsia="Times New Roman" w:hAnsi="Times New Roman"/>
          <w:sz w:val="18"/>
          <w:szCs w:val="18"/>
          <w:color w:val="auto"/>
        </w:rPr>
        <w:t>We recorded a gain of $0.8 million for insurance proceeds received in excess of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of related assets during the nine months ended September 30, 2024. No gain on disposition of property and equipment was recorded during the nine months ended September 30,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recorded income tax expense of $5.0 million and $3.9 million, or 21.8% and 29.3% of earnings before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for the nine months ended September 30, 2024 and 2023, respectively. The decrease in the effective tax rate is primarily due to more excess tax benefits on equity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borrowings under our Revolving Credit Facility.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2029. The Company is permitted to prepay all or any portion of the loans under the Amended Revolving Credit Facility prior to maturity without premium or penalty, subject to reimbursement of any SOFR breakage costs of the lenders.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2024, the Company was compliant with all such financial covenants.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52525"/>
        </w:rPr>
        <w:t xml:space="preserve">As of </w:t>
      </w:r>
      <w:r>
        <w:rPr>
          <w:rFonts w:ascii="Times New Roman" w:cs="Times New Roman" w:eastAsia="Times New Roman" w:hAnsi="Times New Roman"/>
          <w:sz w:val="18"/>
          <w:szCs w:val="18"/>
          <w:color w:val="000000"/>
        </w:rPr>
        <w:t>September 30, 2024, we had $4.5 million of cash and $132.8 million of available borrowing capacity on our Amended Revolving Credit</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Facility. As described in Note 17, </w:t>
      </w:r>
      <w:r>
        <w:rPr>
          <w:rFonts w:ascii="Times New Roman" w:cs="Times New Roman" w:eastAsia="Times New Roman" w:hAnsi="Times New Roman"/>
          <w:sz w:val="18"/>
          <w:szCs w:val="18"/>
          <w:i w:val="1"/>
          <w:iCs w:val="1"/>
          <w:color w:val="000000"/>
        </w:rPr>
        <w:t>Subsequent Events</w:t>
      </w:r>
      <w:r>
        <w:rPr>
          <w:rFonts w:ascii="Times New Roman" w:cs="Times New Roman" w:eastAsia="Times New Roman" w:hAnsi="Times New Roman"/>
          <w:sz w:val="18"/>
          <w:szCs w:val="18"/>
          <w:color w:val="000000"/>
        </w:rPr>
        <w:t>, to the Interim Financial Statements in Part I of this Quarterly Report, on October 2, 2024, the Company closed a public offering of 4,025,000 shares of its common stock with net proceeds to the Company from the offering, after underwriting discounts and commissions and before expenses, of approximately $118.5 million. The proceeds were subsequently used to pay the outstanding balance on our Amended Revolving Credit Facility.</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generated through operations, and access to available borrowing capacity under our Amended Credit Agreement, will be sufficient to provide adequate liquidity for the next twelve months for our operating activities and for opportunities of acquisition growth.</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data from our Condensed Consolidated Statement of Cash Flows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5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6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at end of period</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1"/>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cash flow from operating activities for the nine months ended September 30, 2024 decreased by $9.2 million when compared to the nine months ended September 30, 2023. The primary driver of this difference was a decrease in cash flows from the change in operating assets and liabilities of $14.9 million, net, and a decrease of $2.7 million in non-cash expenses, partially offset by an increase in net income of $8.4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cash used in investing activities for the nine months ended September 30, 2024 increased by $48.7 million compared to the nine months ended September 30, 2023, primarily driven by an increase in business and asset acquisitions.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cash used in financing activities increased by approximately $55.0 million for the nine months ended September 30, 2024 compared to the nine months ended September 30, 2023. The increase was primarily due to a net increase in the balance on our line of credit during the nine months ended September 30, 2024 compared to the nine months ended September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Commitments and Contingencies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continue to make draws and payments on our Revolving Credit Facility, as described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the Interim Financial Statements in Part I of this Quarterly Report.</w:t>
      </w:r>
    </w:p>
    <w:p>
      <w:pPr>
        <w:spacing w:after="0" w:line="20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those transactions there have been no other material changes to our total obligations during the period covered by this Quarterly Report outside of the normal course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We are exposed to risks associated with market changes in interest rates. On July 31, 2024, Pennant entered into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which provides for a revolving credit facility with a syndicate of banks with a borrowing capacity of $250.0 million. A 1.0% interest rate change would cause interest expense to change by approximately $1.1 million annually based upon our outstanding long-term debt as of September 30, 2024. We manage our exposure to this market risk by monitoring available financing alternatives.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Interim Financial Statements for a description of claims and legal actions arising in the ordinary course of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disclosed under the heading “Risk Factors” in the 2023 Annual Report risk factors that materially affect our business, financial condition or results of operations, and disclosed more recent events relevant to our business under Item 2,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You should carefully consider the risk factors set forth in the 2023 Annual Report and the other information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Quarterly Report. In particular, if CMS adopts the Home Health Payment Proposed Rule as a final rule in its current form or in a substantially similar form, we may be adversely affected by decreased Medicare reimbursement for home health services in calendar year 2025. Medicare’s rates for home health services not only affect Medicare beneficiaries but may also have consequences for home health patients whose benefits are paid by commercial insurance or other payors that base their payments to home health agencies on Medicare’s payment rates.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Plan Election</w:t>
      </w:r>
    </w:p>
    <w:p>
      <w:pPr>
        <w:spacing w:after="0" w:line="2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Jason P. Steik, Chief Clinical Officer, entered into a Rule 10b5-1 trading arrangement on August 16, 2024 (the “Rule 10b5-1 Plan”). Mr. Steik’s 10b5-1 Plan provides for the potential sale of only the number of shares of the Company’s common stock necessary to cover the tax obligations generated by the vesting of 8,400 shares of the Company’s common stock between the adoption date of the Rule 10b5-1 Plan and its expiration on July 30, 2027.</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Rule 10b5-1 trading arrangement was entered into during open trading windows and is intended to satisfy the affirmative defense conditions of Rule 10b5-1 (c) under the Securities Exchange Act of 1934, as amended, and the Company's policies regarding transactions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7"/>
        </w:trPr>
        <w:tc>
          <w:tcPr>
            <w:tcW w:w="20" w:type="dxa"/>
            <w:vAlign w:val="bottom"/>
          </w:tcPr>
          <w:p>
            <w:pPr>
              <w:spacing w:after="0"/>
              <w:rPr>
                <w:sz w:val="22"/>
                <w:szCs w:val="22"/>
                <w:color w:val="auto"/>
              </w:rPr>
            </w:pP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340" w:type="dxa"/>
            <w:vAlign w:val="bottom"/>
            <w:tcBorders>
              <w:top w:val="single" w:sz="8" w:color="auto"/>
            </w:tcBorders>
            <w:gridSpan w:val="3"/>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Pennant Group, Inc., effective as of September 27, 2019 (incorporated by</w:t>
            </w:r>
          </w:p>
        </w:tc>
      </w:tr>
      <w:tr>
        <w:trPr>
          <w:trHeight w:val="151"/>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reference to Exhibit 3.1 to The Pennant Group, Inc.’s Current Report on Form 8-K (File No. 001-38900) filed with the SEC on October 3,</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r>
      <w:tr>
        <w:trPr>
          <w:trHeight w:val="24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Bylaws of The Pennant Group, Inc., effective as of February 21, 2022 (incorporated by reference to Exhibit</w:t>
            </w:r>
          </w:p>
        </w:tc>
      </w:tr>
      <w:tr>
        <w:trPr>
          <w:trHeight w:val="214"/>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3.1 to The Pennant Group, Inc.’s Current Report on Form 8-K (File No. 001-38900) filed with the SEC February 22, 2022).</w:t>
            </w:r>
          </w:p>
        </w:tc>
      </w:tr>
      <w:tr>
        <w:trPr>
          <w:trHeight w:val="238"/>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Form of Indenture (incorporated by reference to Exhibit 4.4 to The Pennant Group, Inc.’s Registration Statement on Form S-3 (File No.</w:t>
            </w:r>
          </w:p>
        </w:tc>
      </w:tr>
      <w:tr>
        <w:trPr>
          <w:trHeight w:val="214"/>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333-281302) filed with the SEC August 6, 2024 ).</w:t>
            </w:r>
          </w:p>
        </w:tc>
      </w:tr>
      <w:tr>
        <w:trPr>
          <w:trHeight w:val="238"/>
        </w:trPr>
        <w:tc>
          <w:tcPr>
            <w:tcW w:w="340" w:type="dxa"/>
            <w:vAlign w:val="bottom"/>
            <w:gridSpan w:val="3"/>
          </w:tcPr>
          <w:p>
            <w:pPr>
              <w:ind w:left="20"/>
              <w:spacing w:after="0"/>
              <w:rPr>
                <w:rFonts w:ascii="Times New Roman" w:cs="Times New Roman" w:eastAsia="Times New Roman" w:hAnsi="Times New Roman"/>
                <w:sz w:val="18"/>
                <w:szCs w:val="18"/>
                <w:color w:val="0000FF"/>
                <w:w w:val="88"/>
              </w:rPr>
            </w:pPr>
            <w:hyperlink r:id="rId66">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w:t>
              </w:r>
            </w:hyperlink>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Credit Agreement, dated as of July 31, 2024, by and among The Pennant Group, Inc. and Truist Bank, as</w:t>
            </w:r>
          </w:p>
        </w:tc>
      </w:tr>
      <w:tr>
        <w:trPr>
          <w:trHeight w:val="151"/>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administrative agent, and the lenders party thereto (incorporated by reference to Exhibit 10.1 to The Pennant Group, Inc.’s Current Report</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 No. 001-38900) filed with the SEC August 1, 2024 ).</w:t>
            </w:r>
          </w:p>
        </w:tc>
      </w:tr>
      <w:tr>
        <w:trPr>
          <w:trHeight w:val="24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4"/>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120" w:hanging="1060"/>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The Pennant Group, Inc.</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2024</w:t>
            </w:r>
          </w:p>
        </w:tc>
        <w:tc>
          <w:tcPr>
            <w:tcW w:w="26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LYNETTE B. WALBOM</w:t>
            </w:r>
          </w:p>
        </w:tc>
      </w:tr>
      <w:tr>
        <w:trPr>
          <w:trHeight w:val="228"/>
        </w:trPr>
        <w:tc>
          <w:tcPr>
            <w:tcW w:w="3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Lynette B. Walbom</w:t>
            </w:r>
          </w:p>
        </w:tc>
      </w:tr>
    </w:tbl>
    <w:p>
      <w:pPr>
        <w:ind w:left="6380"/>
        <w:spacing w:after="0" w:line="215" w:lineRule="auto"/>
        <w:rPr>
          <w:sz w:val="20"/>
          <w:szCs w:val="20"/>
          <w:color w:val="auto"/>
        </w:rPr>
      </w:pPr>
      <w:r>
        <w:rPr>
          <w:rFonts w:ascii="Times New Roman" w:cs="Times New Roman" w:eastAsia="Times New Roman" w:hAnsi="Times New Roman"/>
          <w:sz w:val="18"/>
          <w:szCs w:val="18"/>
          <w:color w:val="auto"/>
        </w:rPr>
        <w:t>Chief Financial Officer (Principal Financial Officer and Duly</w:t>
      </w:r>
    </w:p>
    <w:p>
      <w:pPr>
        <w:ind w:left="63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J. Guerisoli,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Pennant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2691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6360" w:val="left"/>
        </w:tabs>
        <w:rPr>
          <w:sz w:val="20"/>
          <w:szCs w:val="20"/>
          <w:color w:val="auto"/>
        </w:rPr>
      </w:pPr>
      <w:r>
        <w:rPr>
          <w:rFonts w:ascii="Times New Roman" w:cs="Times New Roman" w:eastAsia="Times New Roman" w:hAnsi="Times New Roman"/>
          <w:sz w:val="18"/>
          <w:szCs w:val="18"/>
          <w:color w:val="auto"/>
        </w:rPr>
        <w:t>Name:</w:t>
        <w:tab/>
        <w:t>Brent J. Guerisoli</w:t>
      </w:r>
    </w:p>
    <w:tbl>
      <w:tblPr>
        <w:tblLayout w:type="fixed"/>
        <w:tblInd w:w="5580" w:type="dxa"/>
        <w:tblCellMar>
          <w:top w:w="0" w:type="dxa"/>
          <w:left w:w="0" w:type="dxa"/>
          <w:bottom w:w="0" w:type="dxa"/>
          <w:right w:w="0" w:type="dxa"/>
        </w:tblCellMar>
      </w:tblPr>
      <w:tr>
        <w:trPr>
          <w:trHeight w:val="20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 (Principal Executive</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6"/>
        </w:trPr>
        <w:tc>
          <w:tcPr>
            <w:tcW w:w="60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Lynette B. Walbom, certify that:</w:t>
      </w:r>
    </w:p>
    <w:p>
      <w:pPr>
        <w:spacing w:after="0" w:line="39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Pennant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674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Lynette B. Walbom</w:t>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w:t>
      </w:r>
    </w:p>
    <w:p>
      <w:pPr>
        <w:ind w:left="5660"/>
        <w:spacing w:after="0" w:line="219" w:lineRule="auto"/>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Officer, Principal Accounting Officer and Duly</w:t>
      </w:r>
    </w:p>
    <w:p>
      <w:pPr>
        <w:ind w:left="6440"/>
        <w:spacing w:after="0"/>
        <w:rPr>
          <w:sz w:val="20"/>
          <w:szCs w:val="20"/>
          <w:color w:val="auto"/>
        </w:rPr>
      </w:pPr>
      <w:r>
        <w:rPr>
          <w:rFonts w:ascii="Times New Roman" w:cs="Times New Roman" w:eastAsia="Times New Roman" w:hAnsi="Times New Roman"/>
          <w:sz w:val="18"/>
          <w:szCs w:val="18"/>
          <w:i w:val="1"/>
          <w:iCs w:val="1"/>
          <w:color w:val="auto"/>
        </w:rPr>
        <w:t>Authorized Officer)</w:t>
      </w:r>
    </w:p>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The Pennant Group, Inc. (the Company) on Form 10-Q for the period ended September 30, 2024, as filed with the Securities and Exchange Commission on the date hereof (the Report), I, Brent J. Guerisoli, Chief Executive Officer of the Company, certify, pursuant to 18 U.S.C. § 1350, as adopted pursuant to Section 906 of the Sarbanes-Oxley Act of 2002, that to my knowledge:</w:t>
      </w:r>
    </w:p>
    <w:p>
      <w:pPr>
        <w:spacing w:after="0" w:line="253" w:lineRule="exact"/>
        <w:rPr>
          <w:sz w:val="20"/>
          <w:szCs w:val="20"/>
          <w:color w:val="auto"/>
        </w:rPr>
      </w:pPr>
    </w:p>
    <w:p>
      <w:pPr>
        <w:ind w:left="700" w:hanging="350"/>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700" w:hanging="350"/>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27857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58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tab/>
        <w:t>Brent J. Guerisoli</w:t>
      </w:r>
    </w:p>
    <w:tbl>
      <w:tblPr>
        <w:tblLayout w:type="fixed"/>
        <w:tblInd w:w="5420" w:type="dxa"/>
        <w:tblCellMar>
          <w:top w:w="0" w:type="dxa"/>
          <w:left w:w="0" w:type="dxa"/>
          <w:bottom w:w="0" w:type="dxa"/>
          <w:right w:w="0" w:type="dxa"/>
        </w:tblCellMar>
      </w:tblPr>
      <w:tr>
        <w:trPr>
          <w:trHeight w:val="20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 (Principal Executive</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3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6"/>
        </w:trPr>
        <w:tc>
          <w:tcPr>
            <w:tcW w:w="60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6, 2024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Pennant Group, Inc. (the Company) on Form 10-Q for the period ended September 30, 2024, as filed with the Securities and Exchange Commission on the date hereof (the Report), I, Lynette B. Walbom, Chief Financial Officer of the Company, certify, pursuant to 18 U.S.C. § 1350, as adopted pursuant to Section 906 of the Sarbanes-Oxley Act of 2002, that to my knowledge:</w:t>
      </w:r>
    </w:p>
    <w:p>
      <w:pPr>
        <w:spacing w:after="0" w:line="243" w:lineRule="exact"/>
        <w:rPr>
          <w:sz w:val="20"/>
          <w:szCs w:val="20"/>
          <w:color w:val="auto"/>
        </w:rPr>
      </w:pPr>
    </w:p>
    <w:p>
      <w:pPr>
        <w:ind w:left="700" w:hanging="350"/>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700" w:hanging="350"/>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2768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Lynette B. Walbom</w:t>
      </w:r>
    </w:p>
    <w:p>
      <w:pPr>
        <w:spacing w:after="0" w:line="1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w:t>
      </w:r>
    </w:p>
    <w:p>
      <w:pPr>
        <w:ind w:left="5440"/>
        <w:spacing w:after="0" w:line="219" w:lineRule="auto"/>
        <w:tabs>
          <w:tab w:leader="none" w:pos="6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Officer, Principal Accounting Officer and Duly</w:t>
      </w:r>
    </w:p>
    <w:p>
      <w:pPr>
        <w:ind w:left="6240"/>
        <w:spacing w:after="0"/>
        <w:rPr>
          <w:sz w:val="20"/>
          <w:szCs w:val="20"/>
          <w:color w:val="auto"/>
        </w:rPr>
      </w:pPr>
      <w:r>
        <w:rPr>
          <w:rFonts w:ascii="Times New Roman" w:cs="Times New Roman" w:eastAsia="Times New Roman" w:hAnsi="Times New Roman"/>
          <w:sz w:val="18"/>
          <w:szCs w:val="18"/>
          <w:i w:val="1"/>
          <w:iCs w:val="1"/>
          <w:color w:val="auto"/>
        </w:rPr>
        <w:t>Authorized Officer)</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November 6, 2024</w:t>
      </w:r>
    </w:p>
    <w:p>
      <w:pPr>
        <w:spacing w:after="0" w:line="34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lvl w:ilvl="1">
      <w:lvlJc w:val="left"/>
      <w:lvlText w:val="(%2)"/>
      <w:numFmt w:val="lowerLetter"/>
      <w:start w:val="1"/>
    </w:lvl>
  </w:abstractNum>
  <w:abstractNum w:abstractNumId="4">
    <w:nsid w:val="6763845E"/>
    <w:multiLevelType w:val="hybridMultilevel"/>
    <w:lvl w:ilvl="0">
      <w:lvlJc w:val="left"/>
      <w:lvlText w:val="%1."/>
      <w:numFmt w:val="decimal"/>
      <w:start w:val="5"/>
    </w:lvl>
    <w:lvl w:ilvl="1">
      <w:lvlJc w:val="left"/>
      <w:lvlText w:val="%2"/>
      <w:numFmt w:val="lowerLetter"/>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decimal"/>
      <w:start w:val="1"/>
    </w:lvl>
    <w:lvl w:ilvl="1">
      <w:lvlJc w:val="left"/>
      <w:lvlText w:val="(%2)"/>
      <w:numFmt w:val="lowerLetter"/>
      <w:start w:val="4"/>
    </w:lvl>
  </w:abstractNum>
  <w:abstractNum w:abstractNumId="11">
    <w:nsid w:val="54E49EB4"/>
    <w:multiLevelType w:val="hybridMultilevel"/>
    <w:lvl w:ilvl="0">
      <w:lvlJc w:val="left"/>
      <w:lvlText w:val="%1."/>
      <w:numFmt w:val="decimal"/>
      <w:start w:val="7"/>
    </w:lvl>
    <w:lvl w:ilvl="1">
      <w:lvlJc w:val="left"/>
      <w:lvlText w:val="%2"/>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Roman"/>
      <w:start w:val="2"/>
    </w:lvl>
  </w:abstractNum>
  <w:abstractNum w:abstractNumId="16">
    <w:nsid w:val="3A95F874"/>
    <w:multiLevelType w:val="hybridMultilevel"/>
    <w:lvl w:ilvl="0">
      <w:lvlJc w:val="left"/>
      <w:lvlText w:val="(%1)"/>
      <w:numFmt w:val="lowerRoman"/>
      <w:start w:val="4"/>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104"/>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bullet"/>
      <w:start w:val="1"/>
    </w:lvl>
  </w:abstractNum>
  <w:abstractNum w:abstractNumId="39">
    <w:nsid w:val="153EA438"/>
    <w:multiLevelType w:val="hybridMultilevel"/>
    <w:lvl w:ilvl="0">
      <w:lvlJc w:val="left"/>
      <w:lvlText w:val="2"/>
      <w:numFmt w:val="bullet"/>
      <w:start w:val="1"/>
    </w:lvl>
  </w:abstractNum>
  <w:abstractNum w:abstractNumId="40">
    <w:nsid w:val="3855585C"/>
    <w:multiLevelType w:val="hybridMultilevel"/>
    <w:lvl w:ilvl="0">
      <w:lvlJc w:val="left"/>
      <w:lvlText w:val="1"/>
      <w:numFmt w:val="bullet"/>
      <w:start w:val="1"/>
    </w:lvl>
  </w:abstractNum>
  <w:abstractNum w:abstractNumId="41">
    <w:nsid w:val="70A64E2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63" Type="http://schemas.openxmlformats.org/officeDocument/2006/relationships/hyperlink" Target="https://www.sec.gov/Archives/edgar/data/1766400/000119312519260914/d812063dex31.htm" TargetMode="External"/><Relationship Id="rId64" Type="http://schemas.openxmlformats.org/officeDocument/2006/relationships/hyperlink" Target="https://www.sec.gov/Archives/edgar/data/1766400/000176640022000027/pntg2ndarbylaws.htm" TargetMode="External"/><Relationship Id="rId65" Type="http://schemas.openxmlformats.org/officeDocument/2006/relationships/hyperlink" Target="https://www.sec.gov/Archives/edgar/data/1766400/000110465924086328/tm2420941d2_ex4-4.htm" TargetMode="External"/><Relationship Id="rId66" Type="http://schemas.openxmlformats.org/officeDocument/2006/relationships/hyperlink" Target="https://www.sec.gov/Archives/edgar/data/1766400/000176640024000090/pntg-amendedandrestatedc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2024-11-06T15:41:29Z</dcterms:created>
  <dcterms:modified xsi:type="dcterms:W3CDTF">2024-11-06T15:41:29Z</dcterms:modified>
</cp:coreProperties>
</file>