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March 31, 2026.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left"/>
        <w:rPr/>
      </w:pPr>
      <w:r>
        <w:rPr>
          <w:color w:val="000000"/>
        </w:rPr>
        <w:t>    </w:t>
      </w: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rPr>
        <w:t>.</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001-38900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THE PENNANT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1675 East Riverside Drive, Suite 150, Eagle, ID 83616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(208) 401-1400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47"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None </w:t>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ind w:left="0" w:right="0" w:firstLine="495"/>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Exchange Act: None</w:t>
      </w:r>
    </w:p>
    <w:p>
      <w:pPr>
        <w:pStyle w:val="TextBody"/>
        <w:bidi w:val="0"/>
        <w:spacing w:before="0" w:after="0"/>
        <w:jc w:val="center"/>
        <w:rPr/>
      </w:pPr>
      <w:r>
        <w:rPr/>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May 4, 2026, 34,767,557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MONTHS ENDED MARCH 31, 2026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5"/>
        <w:gridCol w:w="251"/>
        <w:gridCol w:w="252"/>
        <w:gridCol w:w="109"/>
        <w:gridCol w:w="2981"/>
        <w:gridCol w:w="2973"/>
        <w:gridCol w:w="2978"/>
        <w:gridCol w:w="109"/>
        <w:gridCol w:w="109"/>
        <w:gridCol w:w="158"/>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10">
              <w:r>
                <w:rPr>
                  <w:rStyle w:val="InternetLink"/>
                  <w:rFonts w:ascii="Times New Roman;serif" w:hAnsi="Times New Roman;serif"/>
                  <w:b/>
                  <w:color w:val="0000FF"/>
                  <w:sz w:val="20"/>
                  <w:u w:val="single"/>
                </w:rPr>
                <w:t>Part I. 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13">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13">
              <w:r>
                <w:rPr>
                  <w:rStyle w:val="InternetLink"/>
                  <w:rFonts w:ascii="Times New Roman;serif" w:hAnsi="Times New Roman;serif"/>
                  <w:b w:val="false"/>
                  <w:color w:val="0000FF"/>
                  <w:sz w:val="20"/>
                  <w:u w:val="single"/>
                </w:rPr>
                <w:t>Financial Statements (unaudited)</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16">
              <w:r>
                <w:rPr>
                  <w:rStyle w:val="InternetLink"/>
                  <w:rFonts w:ascii="Times New Roman;serif" w:hAnsi="Times New Roman;serif"/>
                  <w:b w:val="false"/>
                  <w:color w:val="000080"/>
                  <w:sz w:val="20"/>
                  <w:u w:val="single"/>
                </w:rPr>
                <w:t xml:space="preserve">Condensed Consolidated Balance Sheets as of </w:t>
              </w:r>
            </w:hyperlink>
            <w:hyperlink w:anchor="if6fba94dde3e486fa3dcfdecc4a5e55d_16">
              <w:r>
                <w:rPr>
                  <w:rStyle w:val="InternetLink"/>
                  <w:rFonts w:ascii="Times New Roman;serif" w:hAnsi="Times New Roman;serif"/>
                  <w:b w:val="false"/>
                  <w:color w:val="000080"/>
                  <w:sz w:val="20"/>
                  <w:u w:val="single"/>
                </w:rPr>
                <w:t>M</w:t>
              </w:r>
            </w:hyperlink>
            <w:hyperlink w:anchor="if6fba94dde3e486fa3dcfdecc4a5e55d_16">
              <w:r>
                <w:rPr>
                  <w:rStyle w:val="InternetLink"/>
                  <w:rFonts w:ascii="Times New Roman;serif" w:hAnsi="Times New Roman;serif"/>
                  <w:b w:val="false"/>
                  <w:color w:val="000080"/>
                  <w:sz w:val="20"/>
                  <w:u w:val="single"/>
                </w:rPr>
                <w:t>arch 31</w:t>
              </w:r>
            </w:hyperlink>
            <w:hyperlink w:anchor="if6fba94dde3e486fa3dcfdecc4a5e55d_16">
              <w:r>
                <w:rPr>
                  <w:rStyle w:val="InternetLink"/>
                  <w:rFonts w:ascii="Times New Roman;serif" w:hAnsi="Times New Roman;serif"/>
                  <w:b w:val="false"/>
                  <w:color w:val="000080"/>
                  <w:sz w:val="20"/>
                  <w:u w:val="single"/>
                </w:rPr>
                <w:t>, 202</w:t>
              </w:r>
            </w:hyperlink>
            <w:hyperlink w:anchor="if6fba94dde3e486fa3dcfdecc4a5e55d_16">
              <w:r>
                <w:rPr>
                  <w:rStyle w:val="InternetLink"/>
                  <w:rFonts w:ascii="Times New Roman;serif" w:hAnsi="Times New Roman;serif"/>
                  <w:b w:val="false"/>
                  <w:color w:val="000080"/>
                  <w:sz w:val="20"/>
                  <w:u w:val="single"/>
                </w:rPr>
                <w:t>6</w:t>
              </w:r>
            </w:hyperlink>
            <w:hyperlink w:anchor="if6fba94dde3e486fa3dcfdecc4a5e55d_16">
              <w:r>
                <w:rPr>
                  <w:rStyle w:val="InternetLink"/>
                  <w:rFonts w:ascii="Times New Roman;serif" w:hAnsi="Times New Roman;serif"/>
                  <w:b w:val="false"/>
                  <w:color w:val="000080"/>
                  <w:sz w:val="20"/>
                  <w:u w:val="single"/>
                </w:rPr>
                <w:t xml:space="preserve"> and December 31, 2</w:t>
              </w:r>
            </w:hyperlink>
            <w:hyperlink w:anchor="if6fba94dde3e486fa3dcfdecc4a5e55d_16">
              <w:r>
                <w:rPr>
                  <w:rStyle w:val="InternetLink"/>
                  <w:rFonts w:ascii="Times New Roman;serif" w:hAnsi="Times New Roman;serif"/>
                  <w:b w:val="false"/>
                  <w:color w:val="000080"/>
                  <w:sz w:val="20"/>
                  <w:u w:val="single"/>
                </w:rPr>
                <w:t>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16">
              <w:r>
                <w:rPr>
                  <w:rStyle w:val="InternetLink"/>
                  <w:rFonts w:ascii="Times New Roman;serif" w:hAnsi="Times New Roman;serif"/>
                  <w:b w:val="false"/>
                  <w:color w:val="0000FF"/>
                  <w:sz w:val="20"/>
                  <w:u w:val="single"/>
                </w:rPr>
                <w:t>1</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19">
              <w:r>
                <w:rPr>
                  <w:rStyle w:val="InternetLink"/>
                  <w:rFonts w:ascii="Times New Roman;serif" w:hAnsi="Times New Roman;serif"/>
                  <w:b w:val="false"/>
                  <w:color w:val="000080"/>
                  <w:sz w:val="20"/>
                  <w:u w:val="single"/>
                </w:rPr>
                <w:t xml:space="preserve">Condensed Consolidated Statements of Income for the three </w:t>
              </w:r>
            </w:hyperlink>
            <w:hyperlink w:anchor="if6fba94dde3e486fa3dcfdecc4a5e55d_19">
              <w:r>
                <w:rPr>
                  <w:rStyle w:val="InternetLink"/>
                  <w:rFonts w:ascii="Times New Roman;serif" w:hAnsi="Times New Roman;serif"/>
                  <w:b w:val="false"/>
                  <w:color w:val="000080"/>
                  <w:sz w:val="20"/>
                  <w:u w:val="single"/>
                </w:rPr>
                <w:t xml:space="preserve">months ended </w:t>
              </w:r>
            </w:hyperlink>
            <w:hyperlink w:anchor="if6fba94dde3e486fa3dcfdecc4a5e55d_19">
              <w:r>
                <w:rPr>
                  <w:rStyle w:val="InternetLink"/>
                  <w:rFonts w:ascii="Times New Roman;serif" w:hAnsi="Times New Roman;serif"/>
                  <w:b w:val="false"/>
                  <w:color w:val="000080"/>
                  <w:sz w:val="20"/>
                  <w:u w:val="single"/>
                </w:rPr>
                <w:t>March 31</w:t>
              </w:r>
            </w:hyperlink>
            <w:hyperlink w:anchor="if6fba94dde3e486fa3dcfdecc4a5e55d_19">
              <w:r>
                <w:rPr>
                  <w:rStyle w:val="InternetLink"/>
                  <w:rFonts w:ascii="Times New Roman;serif" w:hAnsi="Times New Roman;serif"/>
                  <w:b w:val="false"/>
                  <w:color w:val="000080"/>
                  <w:sz w:val="20"/>
                  <w:u w:val="single"/>
                </w:rPr>
                <w:t>, 202</w:t>
              </w:r>
            </w:hyperlink>
            <w:hyperlink w:anchor="if6fba94dde3e486fa3dcfdecc4a5e55d_19">
              <w:r>
                <w:rPr>
                  <w:rStyle w:val="InternetLink"/>
                  <w:rFonts w:ascii="Times New Roman;serif" w:hAnsi="Times New Roman;serif"/>
                  <w:b w:val="false"/>
                  <w:color w:val="000080"/>
                  <w:sz w:val="20"/>
                  <w:u w:val="single"/>
                </w:rPr>
                <w:t>6</w:t>
              </w:r>
            </w:hyperlink>
            <w:hyperlink w:anchor="if6fba94dde3e486fa3dcfdecc4a5e55d_19">
              <w:r>
                <w:rPr>
                  <w:rStyle w:val="InternetLink"/>
                  <w:rFonts w:ascii="Times New Roman;serif" w:hAnsi="Times New Roman;serif"/>
                  <w:b w:val="false"/>
                  <w:color w:val="000080"/>
                  <w:sz w:val="20"/>
                  <w:u w:val="single"/>
                </w:rPr>
                <w:t xml:space="preserve"> and 20</w:t>
              </w:r>
            </w:hyperlink>
            <w:hyperlink w:anchor="if6fba94dde3e486fa3dcfdecc4a5e55d_19">
              <w:r>
                <w:rPr>
                  <w:rStyle w:val="InternetLink"/>
                  <w:rFonts w:ascii="Times New Roman;serif" w:hAnsi="Times New Roman;serif"/>
                  <w:b w:val="false"/>
                  <w:color w:val="000080"/>
                  <w:sz w:val="20"/>
                  <w:u w:val="single"/>
                </w:rPr>
                <w:t>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19">
              <w:r>
                <w:rPr>
                  <w:rStyle w:val="InternetLink"/>
                  <w:rFonts w:ascii="Times New Roman;serif" w:hAnsi="Times New Roman;serif"/>
                  <w:b w:val="false"/>
                  <w:color w:val="0000FF"/>
                  <w:sz w:val="20"/>
                  <w:u w:val="single"/>
                </w:rPr>
                <w:t>2</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22">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f6fba94dde3e486fa3dcfdecc4a5e55d_22">
              <w:r>
                <w:rPr>
                  <w:rStyle w:val="InternetLink"/>
                  <w:rFonts w:ascii="Times New Roman;serif" w:hAnsi="Times New Roman;serif"/>
                  <w:b w:val="false"/>
                  <w:color w:val="000080"/>
                  <w:sz w:val="20"/>
                  <w:u w:val="single"/>
                </w:rPr>
                <w:t xml:space="preserve">months ended </w:t>
              </w:r>
            </w:hyperlink>
            <w:hyperlink w:anchor="if6fba94dde3e486fa3dcfdecc4a5e55d_22">
              <w:r>
                <w:rPr>
                  <w:rStyle w:val="InternetLink"/>
                  <w:rFonts w:ascii="Times New Roman;serif" w:hAnsi="Times New Roman;serif"/>
                  <w:b w:val="false"/>
                  <w:color w:val="000080"/>
                  <w:sz w:val="20"/>
                  <w:u w:val="single"/>
                </w:rPr>
                <w:t>March 31</w:t>
              </w:r>
            </w:hyperlink>
            <w:hyperlink w:anchor="if6fba94dde3e486fa3dcfdecc4a5e55d_22">
              <w:r>
                <w:rPr>
                  <w:rStyle w:val="InternetLink"/>
                  <w:rFonts w:ascii="Times New Roman;serif" w:hAnsi="Times New Roman;serif"/>
                  <w:b w:val="false"/>
                  <w:color w:val="000080"/>
                  <w:sz w:val="20"/>
                  <w:u w:val="single"/>
                </w:rPr>
                <w:t>, 202</w:t>
              </w:r>
            </w:hyperlink>
            <w:hyperlink w:anchor="if6fba94dde3e486fa3dcfdecc4a5e55d_22">
              <w:r>
                <w:rPr>
                  <w:rStyle w:val="InternetLink"/>
                  <w:rFonts w:ascii="Times New Roman;serif" w:hAnsi="Times New Roman;serif"/>
                  <w:b w:val="false"/>
                  <w:color w:val="000080"/>
                  <w:sz w:val="20"/>
                  <w:u w:val="single"/>
                </w:rPr>
                <w:t>6</w:t>
              </w:r>
            </w:hyperlink>
            <w:hyperlink w:anchor="if6fba94dde3e486fa3dcfdecc4a5e55d_22">
              <w:r>
                <w:rPr>
                  <w:rStyle w:val="InternetLink"/>
                  <w:rFonts w:ascii="Times New Roman;serif" w:hAnsi="Times New Roman;serif"/>
                  <w:b w:val="false"/>
                  <w:color w:val="000080"/>
                  <w:sz w:val="20"/>
                  <w:u w:val="single"/>
                </w:rPr>
                <w:t xml:space="preserve"> and 20</w:t>
              </w:r>
            </w:hyperlink>
            <w:hyperlink w:anchor="if6fba94dde3e486fa3dcfdecc4a5e55d_22">
              <w:r>
                <w:rPr>
                  <w:rStyle w:val="InternetLink"/>
                  <w:rFonts w:ascii="Times New Roman;serif" w:hAnsi="Times New Roman;serif"/>
                  <w:b w:val="false"/>
                  <w:color w:val="000080"/>
                  <w:sz w:val="20"/>
                  <w:u w:val="single"/>
                </w:rPr>
                <w:t>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22">
              <w:r>
                <w:rPr>
                  <w:rStyle w:val="InternetLink"/>
                  <w:rFonts w:ascii="Times New Roman;serif" w:hAnsi="Times New Roman;serif"/>
                  <w:b w:val="false"/>
                  <w:color w:val="0000FF"/>
                  <w:sz w:val="20"/>
                  <w:u w:val="single"/>
                </w:rPr>
                <w:t>3</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25">
              <w:r>
                <w:rPr>
                  <w:rStyle w:val="InternetLink"/>
                  <w:rFonts w:ascii="Times New Roman;serif" w:hAnsi="Times New Roman;serif"/>
                  <w:b w:val="false"/>
                  <w:color w:val="000080"/>
                  <w:sz w:val="20"/>
                  <w:u w:val="single"/>
                </w:rPr>
                <w:t xml:space="preserve">Condensed Consolidated Statements of Cash Flows for the </w:t>
              </w:r>
            </w:hyperlink>
            <w:hyperlink w:anchor="if6fba94dde3e486fa3dcfdecc4a5e55d_25">
              <w:r>
                <w:rPr>
                  <w:rStyle w:val="InternetLink"/>
                  <w:rFonts w:ascii="Times New Roman;serif" w:hAnsi="Times New Roman;serif"/>
                  <w:b w:val="false"/>
                  <w:color w:val="000080"/>
                  <w:sz w:val="20"/>
                  <w:u w:val="single"/>
                </w:rPr>
                <w:t>three</w:t>
              </w:r>
            </w:hyperlink>
            <w:hyperlink w:anchor="if6fba94dde3e486fa3dcfdecc4a5e55d_25">
              <w:r>
                <w:rPr>
                  <w:rStyle w:val="InternetLink"/>
                  <w:rFonts w:ascii="Times New Roman;serif" w:hAnsi="Times New Roman;serif"/>
                  <w:b w:val="false"/>
                  <w:color w:val="000080"/>
                  <w:sz w:val="20"/>
                  <w:u w:val="single"/>
                </w:rPr>
                <w:t xml:space="preserve"> months ended </w:t>
              </w:r>
            </w:hyperlink>
            <w:hyperlink w:anchor="if6fba94dde3e486fa3dcfdecc4a5e55d_25">
              <w:r>
                <w:rPr>
                  <w:rStyle w:val="InternetLink"/>
                  <w:rFonts w:ascii="Times New Roman;serif" w:hAnsi="Times New Roman;serif"/>
                  <w:b w:val="false"/>
                  <w:color w:val="000080"/>
                  <w:sz w:val="20"/>
                  <w:u w:val="single"/>
                </w:rPr>
                <w:t>March</w:t>
              </w:r>
            </w:hyperlink>
            <w:hyperlink w:anchor="if6fba94dde3e486fa3dcfdecc4a5e55d_25">
              <w:r>
                <w:rPr>
                  <w:rStyle w:val="InternetLink"/>
                  <w:rFonts w:ascii="Times New Roman;serif" w:hAnsi="Times New Roman;serif"/>
                  <w:b w:val="false"/>
                  <w:color w:val="000080"/>
                  <w:sz w:val="20"/>
                  <w:u w:val="single"/>
                </w:rPr>
                <w:t xml:space="preserve"> 3</w:t>
              </w:r>
            </w:hyperlink>
            <w:hyperlink w:anchor="if6fba94dde3e486fa3dcfdecc4a5e55d_25">
              <w:r>
                <w:rPr>
                  <w:rStyle w:val="InternetLink"/>
                  <w:rFonts w:ascii="Times New Roman;serif" w:hAnsi="Times New Roman;serif"/>
                  <w:b w:val="false"/>
                  <w:color w:val="000080"/>
                  <w:sz w:val="20"/>
                  <w:u w:val="single"/>
                </w:rPr>
                <w:t>1</w:t>
              </w:r>
            </w:hyperlink>
            <w:hyperlink w:anchor="if6fba94dde3e486fa3dcfdecc4a5e55d_25">
              <w:r>
                <w:rPr>
                  <w:rStyle w:val="InternetLink"/>
                  <w:rFonts w:ascii="Times New Roman;serif" w:hAnsi="Times New Roman;serif"/>
                  <w:b w:val="false"/>
                  <w:color w:val="000080"/>
                  <w:sz w:val="20"/>
                  <w:u w:val="single"/>
                </w:rPr>
                <w:t>, 202</w:t>
              </w:r>
            </w:hyperlink>
            <w:hyperlink w:anchor="if6fba94dde3e486fa3dcfdecc4a5e55d_25">
              <w:r>
                <w:rPr>
                  <w:rStyle w:val="InternetLink"/>
                  <w:rFonts w:ascii="Times New Roman;serif" w:hAnsi="Times New Roman;serif"/>
                  <w:b w:val="false"/>
                  <w:color w:val="000080"/>
                  <w:sz w:val="20"/>
                  <w:u w:val="single"/>
                </w:rPr>
                <w:t>6</w:t>
              </w:r>
            </w:hyperlink>
            <w:hyperlink w:anchor="if6fba94dde3e486fa3dcfdecc4a5e55d_25">
              <w:r>
                <w:rPr>
                  <w:rStyle w:val="InternetLink"/>
                  <w:rFonts w:ascii="Times New Roman;serif" w:hAnsi="Times New Roman;serif"/>
                  <w:b w:val="false"/>
                  <w:color w:val="000080"/>
                  <w:sz w:val="20"/>
                  <w:u w:val="single"/>
                </w:rPr>
                <w:t xml:space="preserve"> and 20</w:t>
              </w:r>
            </w:hyperlink>
            <w:hyperlink w:anchor="if6fba94dde3e486fa3dcfdecc4a5e55d_25">
              <w:r>
                <w:rPr>
                  <w:rStyle w:val="InternetLink"/>
                  <w:rFonts w:ascii="Times New Roman;serif" w:hAnsi="Times New Roman;serif"/>
                  <w:b w:val="false"/>
                  <w:color w:val="000080"/>
                  <w:sz w:val="20"/>
                  <w:u w:val="single"/>
                </w:rPr>
                <w:t>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25">
              <w:r>
                <w:rPr>
                  <w:rStyle w:val="InternetLink"/>
                  <w:rFonts w:ascii="Times New Roman;serif" w:hAnsi="Times New Roman;serif"/>
                  <w:b w:val="false"/>
                  <w:color w:val="0000FF"/>
                  <w:sz w:val="20"/>
                  <w:u w:val="single"/>
                </w:rPr>
                <w:t>4</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28">
              <w:r>
                <w:rPr>
                  <w:rStyle w:val="InternetLink"/>
                  <w:rFonts w:ascii="Times New Roman;serif" w:hAnsi="Times New Roman;serif"/>
                  <w:b w:val="false"/>
                  <w:color w:val="0000FF"/>
                  <w:sz w:val="20"/>
                  <w:u w:val="single"/>
                </w:rPr>
                <w:t>Notes to the Condensed 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28">
              <w:r>
                <w:rPr>
                  <w:rStyle w:val="InternetLink"/>
                  <w:rFonts w:ascii="Times New Roman;serif" w:hAnsi="Times New Roman;serif"/>
                  <w:b w:val="false"/>
                  <w:color w:val="0000FF"/>
                  <w:sz w:val="20"/>
                  <w:u w:val="single"/>
                </w:rPr>
                <w:t>6</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118">
              <w:r>
                <w:rPr>
                  <w:rStyle w:val="InternetLink"/>
                  <w:rFonts w:ascii="Times New Roman;serif" w:hAnsi="Times New Roman;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118">
              <w:r>
                <w:rPr>
                  <w:rStyle w:val="InternetLink"/>
                  <w:rFonts w:ascii="Times New Roman;serif" w:hAnsi="Times New Roman;serif"/>
                  <w:b w:val="false"/>
                  <w:color w:val="0000FF"/>
                  <w:sz w:val="20"/>
                  <w:u w:val="single"/>
                </w:rPr>
                <w:t>23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190">
              <w:r>
                <w:rPr>
                  <w:rStyle w:val="InternetLink"/>
                  <w:rFonts w:ascii="Times New Roman;serif" w:hAnsi="Times New Roman;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190">
              <w:r>
                <w:rPr>
                  <w:rStyle w:val="InternetLink"/>
                  <w:rFonts w:ascii="Times New Roman;serif" w:hAnsi="Times New Roman;serif"/>
                  <w:b w:val="false"/>
                  <w:color w:val="0000FF"/>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190">
              <w:r>
                <w:rPr>
                  <w:rStyle w:val="InternetLink"/>
                  <w:rFonts w:ascii="Times New Roman;serif" w:hAnsi="Times New Roman;serif"/>
                  <w:b w:val="false"/>
                  <w:color w:val="0000FF"/>
                  <w:sz w:val="20"/>
                  <w:u w:val="single"/>
                </w:rPr>
                <w:t>40</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193">
              <w:r>
                <w:rPr>
                  <w:rStyle w:val="InternetLink"/>
                  <w:rFonts w:ascii="Times New Roman;serif" w:hAnsi="Times New Roman;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193">
              <w:r>
                <w:rPr>
                  <w:rStyle w:val="InternetLink"/>
                  <w:rFonts w:ascii="Times New Roman;serif" w:hAnsi="Times New Roman;serif"/>
                  <w:b w:val="false"/>
                  <w:color w:val="0000FF"/>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193">
              <w:r>
                <w:rPr>
                  <w:rStyle w:val="InternetLink"/>
                  <w:rFonts w:ascii="Times New Roman;serif" w:hAnsi="Times New Roman;serif"/>
                  <w:b w:val="false"/>
                  <w:color w:val="0000FF"/>
                  <w:sz w:val="20"/>
                  <w:u w:val="single"/>
                </w:rPr>
                <w:t>40</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6fba94dde3e486fa3dcfdecc4a5e55d_196">
              <w:r>
                <w:rPr>
                  <w:rStyle w:val="InternetLink"/>
                  <w:rFonts w:ascii="Times New Roman;serif" w:hAnsi="Times New Roman;serif"/>
                  <w:b/>
                  <w:color w:val="0000FF"/>
                  <w:sz w:val="20"/>
                  <w:u w:val="single"/>
                </w:rPr>
                <w:t>Part II. Other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199">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199">
              <w:r>
                <w:rPr>
                  <w:rStyle w:val="InternetLink"/>
                  <w:rFonts w:ascii="Times New Roman;serif" w:hAnsi="Times New Roman;serif"/>
                  <w:b w:val="false"/>
                  <w:color w:val="0000FF"/>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199">
              <w:r>
                <w:rPr>
                  <w:rStyle w:val="InternetLink"/>
                  <w:rFonts w:ascii="Times New Roman;serif" w:hAnsi="Times New Roman;serif"/>
                  <w:b w:val="false"/>
                  <w:color w:val="0000FF"/>
                  <w:sz w:val="20"/>
                  <w:u w:val="single"/>
                </w:rPr>
                <w:t>42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202">
              <w:r>
                <w:rPr>
                  <w:rStyle w:val="InternetLink"/>
                  <w:rFonts w:ascii="Times New Roman;serif" w:hAnsi="Times New Roman;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202">
              <w:r>
                <w:rPr>
                  <w:rStyle w:val="InternetLink"/>
                  <w:rFonts w:ascii="Times New Roman;serif" w:hAnsi="Times New Roman;serif"/>
                  <w:b w:val="false"/>
                  <w:color w:val="0000FF"/>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202">
              <w:r>
                <w:rPr>
                  <w:rStyle w:val="InternetLink"/>
                  <w:rFonts w:ascii="Times New Roman;serif" w:hAnsi="Times New Roman;serif"/>
                  <w:b w:val="false"/>
                  <w:color w:val="0000FF"/>
                  <w:sz w:val="20"/>
                  <w:u w:val="single"/>
                </w:rPr>
                <w:t>42</w:t>
              </w:r>
            </w:hyperlink>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205">
              <w:r>
                <w:rPr>
                  <w:rStyle w:val="InternetLink"/>
                  <w:rFonts w:ascii="Times New Roman;serif" w:hAnsi="Times New Roman;serif"/>
                  <w:b w:val="false"/>
                  <w:color w:val="0000FF"/>
                  <w:sz w:val="20"/>
                  <w:u w:val="single"/>
                </w:rPr>
                <w:t>Item 5.</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205">
              <w:r>
                <w:rPr>
                  <w:rStyle w:val="InternetLink"/>
                  <w:rFonts w:ascii="Times New Roman;serif" w:hAnsi="Times New Roman;serif"/>
                  <w:b w:val="false"/>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205">
              <w:r>
                <w:rPr>
                  <w:rStyle w:val="InternetLink"/>
                  <w:rFonts w:ascii="Times New Roman;serif" w:hAnsi="Times New Roman;serif"/>
                  <w:b w:val="false"/>
                  <w:color w:val="0000FF"/>
                  <w:sz w:val="20"/>
                  <w:u w:val="single"/>
                </w:rPr>
                <w:t>42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fba94dde3e486fa3dcfdecc4a5e55d_211">
              <w:r>
                <w:rPr>
                  <w:rStyle w:val="InternetLink"/>
                  <w:rFonts w:ascii="Times New Roman;serif" w:hAnsi="Times New Roman;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211">
              <w:r>
                <w:rPr>
                  <w:rStyle w:val="InternetLink"/>
                  <w:rFonts w:ascii="Times New Roman;serif" w:hAnsi="Times New Roman;serif"/>
                  <w:b w:val="false"/>
                  <w:color w:val="0000FF"/>
                  <w:sz w:val="20"/>
                  <w:u w:val="singl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211">
              <w:r>
                <w:rPr>
                  <w:rStyle w:val="InternetLink"/>
                  <w:rFonts w:ascii="Times New Roman;serif" w:hAnsi="Times New Roman;serif"/>
                  <w:b w:val="false"/>
                  <w:color w:val="0000FF"/>
                  <w:sz w:val="20"/>
                  <w:u w:val="single"/>
                </w:rPr>
                <w:t>43</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fba94dde3e486fa3dcfdecc4a5e55d_214">
              <w:r>
                <w:rPr>
                  <w:rStyle w:val="InternetLink"/>
                  <w:rFonts w:ascii="Times New Roman;serif" w:hAnsi="Times New Roman;serif"/>
                  <w:b w:val="false"/>
                  <w:color w:val="0000FF"/>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fba94dde3e486fa3dcfdecc4a5e55d_214">
              <w:r>
                <w:rPr>
                  <w:rStyle w:val="InternetLink"/>
                  <w:rFonts w:ascii="Times New Roman;serif" w:hAnsi="Times New Roman;serif"/>
                  <w:b w:val="false"/>
                  <w:color w:val="0000FF"/>
                  <w:sz w:val="20"/>
                  <w:u w:val="single"/>
                </w:rPr>
                <w:t>44</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I.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51"/>
        <w:gridCol w:w="2287"/>
        <w:gridCol w:w="2215"/>
        <w:gridCol w:w="228"/>
        <w:gridCol w:w="895"/>
        <w:gridCol w:w="118"/>
        <w:gridCol w:w="109"/>
        <w:gridCol w:w="109"/>
        <w:gridCol w:w="109"/>
        <w:gridCol w:w="244"/>
        <w:gridCol w:w="958"/>
        <w:gridCol w:w="182"/>
      </w:tblGrid>
      <w:tr>
        <w:trPr/>
        <w:tc>
          <w:tcPr>
            <w:tcW w:w="275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doubtful accounts of $701 and $681, respectively</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593,927 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100,000 shares authorized; 34,992 and 34,746 shares issued and outstanding, respectively, at March 31, 2026; and 34,878 and 34,626 shares issued and outstanding, respectively, at December 31, 2025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March 31, 2026 and December 31, 2025</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332,603 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374,252 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956,484 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rPr/>
      </w:pPr>
      <w:r>
        <w:rPr/>
      </w:r>
    </w:p>
    <w:tbl>
      <w:tblPr>
        <w:tblW w:w="9160" w:type="dxa"/>
        <w:jc w:val="left"/>
        <w:tblInd w:w="0" w:type="dxa"/>
        <w:tblLayout w:type="fixed"/>
        <w:tblCellMar>
          <w:top w:w="28" w:type="dxa"/>
          <w:left w:w="28" w:type="dxa"/>
          <w:bottom w:w="28" w:type="dxa"/>
          <w:right w:w="28" w:type="dxa"/>
        </w:tblCellMar>
      </w:tblPr>
      <w:tblGrid>
        <w:gridCol w:w="1675"/>
        <w:gridCol w:w="1476"/>
        <w:gridCol w:w="1484"/>
        <w:gridCol w:w="109"/>
        <w:gridCol w:w="109"/>
        <w:gridCol w:w="192"/>
        <w:gridCol w:w="192"/>
        <w:gridCol w:w="192"/>
        <w:gridCol w:w="192"/>
        <w:gridCol w:w="372"/>
        <w:gridCol w:w="1457"/>
        <w:gridCol w:w="192"/>
        <w:gridCol w:w="109"/>
        <w:gridCol w:w="109"/>
        <w:gridCol w:w="109"/>
        <w:gridCol w:w="211"/>
        <w:gridCol w:w="826"/>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268,063 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83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incentive shares issued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52"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067" w:type="dxa"/>
        <w:jc w:val="center"/>
        <w:tblInd w:w="0" w:type="dxa"/>
        <w:tblLayout w:type="fixed"/>
        <w:tblCellMar>
          <w:top w:w="28" w:type="dxa"/>
          <w:left w:w="28" w:type="dxa"/>
          <w:bottom w:w="28" w:type="dxa"/>
          <w:right w:w="28" w:type="dxa"/>
        </w:tblCellMar>
      </w:tblPr>
      <w:tblGrid>
        <w:gridCol w:w="1972"/>
        <w:gridCol w:w="1729"/>
        <w:gridCol w:w="1743"/>
        <w:gridCol w:w="235"/>
        <w:gridCol w:w="776"/>
        <w:gridCol w:w="131"/>
        <w:gridCol w:w="131"/>
        <w:gridCol w:w="131"/>
        <w:gridCol w:w="131"/>
        <w:gridCol w:w="235"/>
        <w:gridCol w:w="668"/>
        <w:gridCol w:w="185"/>
      </w:tblGrid>
      <w:tr>
        <w:trPr/>
        <w:tc>
          <w:tcPr>
            <w:tcW w:w="197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used in operating activities: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fees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net of acquisitions: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related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business acquisitions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incremental term loans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revolver agreement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revolver agreement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(91,500)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 cash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(19,025)</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beginning of period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end of period</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528" w:type="dxa"/>
        <w:jc w:val="center"/>
        <w:tblInd w:w="0" w:type="dxa"/>
        <w:tblLayout w:type="fixed"/>
        <w:tblCellMar>
          <w:top w:w="28" w:type="dxa"/>
          <w:left w:w="28" w:type="dxa"/>
          <w:bottom w:w="28" w:type="dxa"/>
          <w:right w:w="28" w:type="dxa"/>
        </w:tblCellMar>
      </w:tblPr>
      <w:tblGrid>
        <w:gridCol w:w="2138"/>
        <w:gridCol w:w="1880"/>
        <w:gridCol w:w="1891"/>
        <w:gridCol w:w="226"/>
        <w:gridCol w:w="745"/>
        <w:gridCol w:w="125"/>
        <w:gridCol w:w="125"/>
        <w:gridCol w:w="125"/>
        <w:gridCol w:w="125"/>
        <w:gridCol w:w="226"/>
        <w:gridCol w:w="745"/>
        <w:gridCol w:w="177"/>
      </w:tblGrid>
      <w:tr>
        <w:trPr/>
        <w:tc>
          <w:tcPr>
            <w:tcW w:w="213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11,714 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10,691 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new lease obligations</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obtained in exchange for new lease obligations</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activity:</w:t>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 accounts payable and accrued liabilities</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and operational senior living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Pennant Group, Inc. (herein referred to as “Pennant,” the “Company,” “we,” “it,” or “its”), is a holding company with no direct operating assets, employees or revenue. The Company, through its independent operating subsidiaries, provides healthcare services across the post-acute care continuum. As of March 31, 2026, the Company’s subsidiaries operated 174 home health, hospice and home care agencies and 63 senior living communities located in Alabama, Arizona, California, Colorado, Georgia, Idaho, Montana, Nevada, Oklahoma, Oregon, Tennessee, Texas, Utah, Washington, Wisconsin and Wyoming. We also provide home health and hospice operational support through a management service agreement in Connecticut.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Basis of Presentation - </w:t>
      </w:r>
      <w:r>
        <w:rPr>
          <w:rFonts w:ascii="Times New Roman;serif" w:hAnsi="Times New Roman;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2025 is derived from the Company’s annual audited Consolidated Financial Statements for the fiscal year ended December 31, 2025,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 Revenue was derived from transactional information specific to the Company’s services provided.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Estimates and Assumptions -</w:t>
      </w:r>
      <w:r>
        <w:rPr>
          <w:color w:val="000000"/>
        </w:rPr>
        <w:t xml:space="preserve"> </w:t>
      </w:r>
      <w:r>
        <w:rPr>
          <w:rFonts w:ascii="Times New Roman;serif" w:hAnsi="Times New Roman;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State relief funding. </w:t>
      </w:r>
      <w:r>
        <w:rPr>
          <w:rFonts w:ascii="Times New Roman;serif" w:hAnsi="Times New Roman;serif"/>
          <w:b w:val="false"/>
          <w:color w:val="000000"/>
          <w:sz w:val="20"/>
        </w:rPr>
        <w:t>The Company receives state relief funding through programs from various states and other state specific relief programs. The funding generally incorporates specific use requirements primarily for direct patient care including labor related expenses that are associated with providing patient care.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funds are recognized as a reduction of cost of services expenses when related expenses are incurred. As of March 31, 2026 and December 31, 2025, the Company had $276 and $477 in unapplied state relief funds, respectively. The unapplied state relief funds received are recorded in other accrued liabilities. The Company recognized state relief funding totaling $476 for the three months ended March 31, 2026, and $682 for the three months ended March 31, 2025, which the Company recognized as a reduction of cost of services expense.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rules and interpretive releases of the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rPr/>
      </w:pPr>
      <w:r>
        <w:rPr/>
      </w:r>
    </w:p>
    <w:p>
      <w:pPr>
        <w:pStyle w:val="TextBody"/>
        <w:bidi w:val="0"/>
        <w:spacing w:lineRule="auto" w:line="247" w:before="0" w:after="0"/>
        <w:ind w:left="0" w:right="0" w:firstLine="72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color w:val="000000"/>
        </w:rPr>
        <w:t>“</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 xml:space="preserve">which amends certain aspects of the accounting for and disclosure of software costs under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This guidance is effective for annual periods beginning after December 15, 2027, which will be the Company’s fiscal year 2028, and interim periods within the Company’s fiscal year 2029, with early adoption permitted. The Company is currently evaluating the impact of this ASU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3. TRANSACTIONS WITH ENSIGN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costs of $124 for the three months ended March 31, 2026, and $195 for the three months ended March 31, 2025,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Expenses related to room and board charges at Ensign skilled nursing facilities for hospice patients were $2,174 for the three months ended March 31, 2026, and $1,672 for the three months ended March 31, 2025, and are included in cost of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independent operating subsidiaries leased 32 communities from subsidiaries of Ensign under master lease arrangements as of March 31, 2026. See further discussion below at Note 13, Leases.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4. NET INCOME PER COMMON SHARE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The following table sets forth the computation of basic and diluted net income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58"/>
        <w:gridCol w:w="2016"/>
        <w:gridCol w:w="2027"/>
        <w:gridCol w:w="109"/>
        <w:gridCol w:w="109"/>
        <w:gridCol w:w="180"/>
        <w:gridCol w:w="180"/>
        <w:gridCol w:w="180"/>
        <w:gridCol w:w="180"/>
        <w:gridCol w:w="350"/>
        <w:gridCol w:w="1023"/>
        <w:gridCol w:w="180"/>
        <w:gridCol w:w="109"/>
        <w:gridCol w:w="109"/>
        <w:gridCol w:w="109"/>
        <w:gridCol w:w="211"/>
        <w:gridCol w:w="616"/>
        <w:gridCol w:w="159"/>
      </w:tblGrid>
      <w:tr>
        <w:trPr/>
        <w:tc>
          <w:tcPr>
            <w:tcW w:w="235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13" w:type="dxa"/>
            <w:gridSpan w:val="6"/>
            <w:tcBorders/>
          </w:tcPr>
          <w:p>
            <w:pPr>
              <w:pStyle w:val="TableContents"/>
              <w:bidi w:val="0"/>
              <w:spacing w:before="0" w:after="283"/>
              <w:jc w:val="left"/>
              <w:rPr>
                <w:sz w:val="4"/>
                <w:szCs w:val="4"/>
              </w:rPr>
            </w:pPr>
            <w:r>
              <w:rPr>
                <w:sz w:val="4"/>
                <w:szCs w:val="4"/>
              </w:rPr>
            </w:r>
          </w:p>
        </w:tc>
      </w:tr>
      <w:tr>
        <w:trPr/>
        <w:tc>
          <w:tcPr>
            <w:tcW w:w="6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basic 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Plus: assumed incremental shares from exercise of options and assumed conversion or vesting of restricted stock</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common shares outstanding for diluted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diluted per share amounts do not reflect common share equivalents outstanding of 1,960 for the three months ended March 31, 2026, and 1,578 for the three months ended March 31, 2025,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5. REVENUE AND ACCOUNTS RECEIVABLE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contractually agreed-upon amounts or rates.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Episodic Based Revenue -</w:t>
      </w:r>
      <w:r>
        <w:rPr>
          <w:color w:val="000000"/>
        </w:rPr>
        <w:t xml:space="preserve"> </w:t>
      </w:r>
      <w:r>
        <w:rPr>
          <w:rFonts w:ascii="Times New Roman;serif" w:hAnsi="Times New Roman;serif"/>
          <w:b w:val="false"/>
          <w:color w:val="000000"/>
          <w:sz w:val="20"/>
        </w:rPr>
        <w:t>The Company recognizes revenue in a similar manner as it recognizes Medicare revenue for episodic-based rates that are paid by other insurance carriers, including Medicare Advantage programs; however,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Non-episodic Based Revenue -</w:t>
      </w:r>
      <w:r>
        <w:rPr>
          <w:color w:val="000000"/>
        </w:rPr>
        <w:t xml:space="preserve"> </w:t>
      </w:r>
      <w:r>
        <w:rPr>
          <w:rFonts w:ascii="Times New Roman;serif" w:hAnsi="Times New Roman;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Management Services Revenue</w:t>
      </w:r>
      <w:r>
        <w:rPr>
          <w:color w:val="000000"/>
        </w:rPr>
        <w:t xml:space="preserve"> </w:t>
      </w:r>
      <w:r>
        <w:rPr>
          <w:rFonts w:ascii="Times New Roman;serif" w:hAnsi="Times New Roman;serif"/>
          <w:b w:val="false"/>
          <w:color w:val="000000"/>
          <w:sz w:val="20"/>
        </w:rPr>
        <w:t>- The Company recognizes revenue earned from its management service agreements as the services are provided. Fees charges are based upon the contractual terms of each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has elected the lessor practical expedient within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By Payor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three months ended March 31, 2026 and 2025,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5"/>
        <w:gridCol w:w="434"/>
        <w:gridCol w:w="439"/>
        <w:gridCol w:w="109"/>
        <w:gridCol w:w="109"/>
        <w:gridCol w:w="109"/>
        <w:gridCol w:w="306"/>
        <w:gridCol w:w="1203"/>
        <w:gridCol w:w="157"/>
        <w:gridCol w:w="123"/>
        <w:gridCol w:w="123"/>
        <w:gridCol w:w="123"/>
        <w:gridCol w:w="272"/>
        <w:gridCol w:w="933"/>
        <w:gridCol w:w="140"/>
        <w:gridCol w:w="109"/>
        <w:gridCol w:w="109"/>
        <w:gridCol w:w="109"/>
        <w:gridCol w:w="335"/>
        <w:gridCol w:w="1147"/>
        <w:gridCol w:w="173"/>
        <w:gridCol w:w="109"/>
        <w:gridCol w:w="109"/>
        <w:gridCol w:w="109"/>
        <w:gridCol w:w="232"/>
        <w:gridCol w:w="911"/>
        <w:gridCol w:w="120"/>
        <w:gridCol w:w="109"/>
        <w:gridCol w:w="109"/>
        <w:gridCol w:w="109"/>
        <w:gridCol w:w="307"/>
        <w:gridCol w:w="309"/>
        <w:gridCol w:w="615"/>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39,676 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61,449 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as of March 31, 2026 and December 31, 2025 is summarized in the following table: </w:t>
      </w:r>
    </w:p>
    <w:p>
      <w:pPr>
        <w:pStyle w:val="TextBody"/>
        <w:bidi w:val="0"/>
        <w:spacing w:before="0" w:after="0"/>
        <w:ind w:left="0" w:right="0" w:firstLine="720"/>
        <w:jc w:val="both"/>
        <w:rPr/>
      </w:pPr>
      <w:r>
        <w:rPr/>
      </w:r>
    </w:p>
    <w:tbl>
      <w:tblPr>
        <w:tblW w:w="6730" w:type="dxa"/>
        <w:jc w:val="left"/>
        <w:tblInd w:w="0" w:type="dxa"/>
        <w:tblLayout w:type="fixed"/>
        <w:tblCellMar>
          <w:top w:w="28" w:type="dxa"/>
          <w:left w:w="28" w:type="dxa"/>
          <w:bottom w:w="28" w:type="dxa"/>
          <w:right w:w="28" w:type="dxa"/>
        </w:tblCellMar>
      </w:tblPr>
      <w:tblGrid>
        <w:gridCol w:w="1156"/>
        <w:gridCol w:w="1013"/>
        <w:gridCol w:w="1025"/>
        <w:gridCol w:w="265"/>
        <w:gridCol w:w="1038"/>
        <w:gridCol w:w="137"/>
        <w:gridCol w:w="109"/>
        <w:gridCol w:w="109"/>
        <w:gridCol w:w="109"/>
        <w:gridCol w:w="313"/>
        <w:gridCol w:w="1228"/>
        <w:gridCol w:w="228"/>
      </w:tblGrid>
      <w:tr>
        <w:trPr/>
        <w:tc>
          <w:tcPr>
            <w:tcW w:w="115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and other</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Concentrations -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accounts receivable balances, the collectability of which is dependent on the availability of funds from certain governmental programs, primarily Medicare and Medicaid, which may be paid directly by those programs or administered by third parties, such as in the case of Medicare Advantage plans or state Medicaid funds administered by managed care organizations.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67.8% and 62.2% of its total gross accounts receivable as of March 31, 2026 and December 31, 2025, respectively. Combined revenue from reimbursement under the Medicare and Medicaid programs accounted for 63.9% of the Company’s revenue the three months ended March 31, 2026, and 61.2% of the Company’s revenue for the three months ended March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Practical Expedients and Exemptions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Topic 340, </w:t>
      </w:r>
      <w:r>
        <w:rPr>
          <w:rFonts w:ascii="Times New Roman;serif" w:hAnsi="Times New Roman;serif"/>
          <w:b w:val="false"/>
          <w:i/>
          <w:color w:val="000000"/>
          <w:sz w:val="20"/>
        </w:rPr>
        <w:t>Other Assets and Deferred Costs</w:t>
      </w:r>
      <w:r>
        <w:rPr>
          <w:rFonts w:ascii="Times New Roman;serif" w:hAnsi="Times New Roman;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6. BUSINESS SEGMENTS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provided services through 174 affiliated home health, hospice and home care agencies, and 63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CODM does not review assets by segment and therefore assets and capital expenditure by segment are not disclosed below.</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Segment Adjusted EBITDAR from Operations as the primary measure of profit and loss for the Company's reportable segments and to compare the performance of its operations with those of its competitors. The CODM monitors these results and provides guidance to leadership of the reportable segments to allocate enterprise-wide resources. 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financial information regarding the Company’s reportable segments, provided that general and administrative expenses are not allocated to the reportable segments: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66"/>
        <w:gridCol w:w="851"/>
        <w:gridCol w:w="856"/>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159,443 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9036" w:type="dxa"/>
        <w:jc w:val="left"/>
        <w:tblInd w:w="0" w:type="dxa"/>
        <w:tblLayout w:type="fixed"/>
        <w:tblCellMar>
          <w:top w:w="28" w:type="dxa"/>
          <w:left w:w="28" w:type="dxa"/>
          <w:bottom w:w="28" w:type="dxa"/>
          <w:right w:w="28" w:type="dxa"/>
        </w:tblCellMar>
      </w:tblPr>
      <w:tblGrid>
        <w:gridCol w:w="1672"/>
        <w:gridCol w:w="1469"/>
        <w:gridCol w:w="1479"/>
        <w:gridCol w:w="109"/>
        <w:gridCol w:w="109"/>
        <w:gridCol w:w="205"/>
        <w:gridCol w:w="205"/>
        <w:gridCol w:w="205"/>
        <w:gridCol w:w="205"/>
        <w:gridCol w:w="398"/>
        <w:gridCol w:w="1362"/>
        <w:gridCol w:w="205"/>
        <w:gridCol w:w="109"/>
        <w:gridCol w:w="109"/>
        <w:gridCol w:w="109"/>
        <w:gridCol w:w="211"/>
        <w:gridCol w:w="721"/>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 and related taxes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1"/>
        <w:gridCol w:w="2755"/>
        <w:gridCol w:w="39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2025, an affiliate of the Company held its memory care units in transition and is converting the facility into an assisted living community.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entered into as part of the acquisition agreement consummated on October 1, 2025. All amounts are included in Cost of services. Fees incurred under the transition services agreement were $2,815 for the 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ind w:left="0" w:right="0" w:hanging="360"/>
        <w:jc w:val="both"/>
        <w:rPr/>
      </w:pPr>
      <w:r>
        <w:rPr/>
      </w:r>
    </w:p>
    <w:tbl>
      <w:tblPr>
        <w:tblW w:w="9188"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819"/>
        <w:gridCol w:w="1811"/>
        <w:gridCol w:w="430"/>
        <w:gridCol w:w="109"/>
        <w:gridCol w:w="109"/>
        <w:gridCol w:w="109"/>
        <w:gridCol w:w="445"/>
        <w:gridCol w:w="1300"/>
        <w:gridCol w:w="325"/>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7. ACQUISITIONS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During the three months ended March 31, 2026, the Company did not acquire any new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expanded its operations with the addition of five home health agencies, four hospice agencies, and three senior living communities. In connection with the senior living communities acquired, the Company entered into new long-term “triple-net” leases. These new communities included 188 operational senior living units to be operated by the Company's independent operating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the business combinations during the three months ended March 31, 2025.</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 2026, the Company acquired the real estate of one senior living community located in Arizona for $2,000. On May 1, 2026, the Company entered into new long-term “triple-net” leases on two senior living communities in Wisconsin and one senior living community in Arizona. A subsidiary of the Company entered into a separate operations transfer agreement with the prior operators of the acquired operations as part of each of the transactions. These new communities include 263 operational senior living units to be operated by one of the Company’s independent operating subsidiaries.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erif" w:hAnsi="Times New Roman;serif"/>
          <w:b/>
          <w:color w:val="000000"/>
          <w:sz w:val="20"/>
        </w:rPr>
      </w:pPr>
      <w:r>
        <w:rPr>
          <w:rFonts w:ascii="Times New Roman;serif" w:hAnsi="Times New Roman;serif"/>
          <w:b/>
          <w:color w:val="000000"/>
          <w:sz w:val="20"/>
        </w:rPr>
        <w:t>8. PROPERTY AND EQUIPMENT—NET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p>
      <w:pPr>
        <w:pStyle w:val="TextBody"/>
        <w:bidi w:val="0"/>
        <w:spacing w:before="0" w:after="0"/>
        <w:ind w:left="0" w:right="0" w:firstLine="720"/>
        <w:jc w:val="both"/>
        <w:rPr/>
      </w:pPr>
      <w:r>
        <w:rPr/>
      </w:r>
    </w:p>
    <w:tbl>
      <w:tblPr>
        <w:tblW w:w="6221" w:type="dxa"/>
        <w:jc w:val="left"/>
        <w:tblInd w:w="0" w:type="dxa"/>
        <w:tblLayout w:type="fixed"/>
        <w:tblCellMar>
          <w:top w:w="28" w:type="dxa"/>
          <w:left w:w="28" w:type="dxa"/>
          <w:bottom w:w="28" w:type="dxa"/>
          <w:right w:w="28" w:type="dxa"/>
        </w:tblCellMar>
      </w:tblPr>
      <w:tblGrid>
        <w:gridCol w:w="972"/>
        <w:gridCol w:w="852"/>
        <w:gridCol w:w="860"/>
        <w:gridCol w:w="292"/>
        <w:gridCol w:w="998"/>
        <w:gridCol w:w="150"/>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$2,616 for the three months ended March 31, 2026, and $1,892 for the three months ended March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assets at fair value on a non-recurring basis, including long-lived assets, which are evaluated for impairment on an annual basis or when a triggering event occurs.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months ended March 31,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 xml:space="preserve">9. GOODWILL AND OTHER INDEFINITE-LIVED INTANGIBLE ASSETS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activity in goodwill by segment for the three months ended March 31, 2026:</w:t>
      </w:r>
    </w:p>
    <w:p>
      <w:pPr>
        <w:pStyle w:val="TextBody"/>
        <w:bidi w:val="0"/>
        <w:spacing w:before="0" w:after="0"/>
        <w:ind w:left="0" w:right="0" w:firstLine="720"/>
        <w:jc w:val="both"/>
        <w:rPr/>
      </w:pPr>
      <w:r>
        <w:rPr/>
      </w:r>
    </w:p>
    <w:tbl>
      <w:tblPr>
        <w:tblW w:w="8623" w:type="dxa"/>
        <w:jc w:val="left"/>
        <w:tblInd w:w="0" w:type="dxa"/>
        <w:tblLayout w:type="fixed"/>
        <w:tblCellMar>
          <w:top w:w="28" w:type="dxa"/>
          <w:left w:w="28" w:type="dxa"/>
          <w:bottom w:w="28" w:type="dxa"/>
          <w:right w:w="28" w:type="dxa"/>
        </w:tblCellMar>
      </w:tblPr>
      <w:tblGrid>
        <w:gridCol w:w="613"/>
        <w:gridCol w:w="539"/>
        <w:gridCol w:w="542"/>
        <w:gridCol w:w="563"/>
        <w:gridCol w:w="2206"/>
        <w:gridCol w:w="291"/>
        <w:gridCol w:w="109"/>
        <w:gridCol w:w="109"/>
        <w:gridCol w:w="109"/>
        <w:gridCol w:w="456"/>
        <w:gridCol w:w="1333"/>
        <w:gridCol w:w="235"/>
        <w:gridCol w:w="109"/>
        <w:gridCol w:w="109"/>
        <w:gridCol w:w="109"/>
        <w:gridCol w:w="211"/>
        <w:gridCol w:w="82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233,604 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233,604 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6281" w:type="dxa"/>
        <w:jc w:val="left"/>
        <w:tblInd w:w="0" w:type="dxa"/>
        <w:tblLayout w:type="fixed"/>
        <w:tblCellMar>
          <w:top w:w="28" w:type="dxa"/>
          <w:left w:w="28" w:type="dxa"/>
          <w:bottom w:w="28" w:type="dxa"/>
          <w:right w:w="28" w:type="dxa"/>
        </w:tblCellMar>
      </w:tblPr>
      <w:tblGrid>
        <w:gridCol w:w="992"/>
        <w:gridCol w:w="874"/>
        <w:gridCol w:w="879"/>
        <w:gridCol w:w="265"/>
        <w:gridCol w:w="1038"/>
        <w:gridCol w:w="137"/>
        <w:gridCol w:w="109"/>
        <w:gridCol w:w="109"/>
        <w:gridCol w:w="109"/>
        <w:gridCol w:w="313"/>
        <w:gridCol w:w="1228"/>
        <w:gridCol w:w="228"/>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 and Medicaid licenses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goodwill or intangible asset impairment charges were recorded during the three months ended March 31, 2026 and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10. OTHER ACCRUED LIABILITIES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 of the following:</w:t>
      </w:r>
    </w:p>
    <w:p>
      <w:pPr>
        <w:pStyle w:val="TextBody"/>
        <w:bidi w:val="0"/>
        <w:spacing w:before="0" w:after="0"/>
        <w:ind w:left="0" w:right="0" w:firstLine="720"/>
        <w:jc w:val="both"/>
        <w:rPr/>
      </w:pPr>
      <w:r>
        <w:rPr/>
      </w:r>
    </w:p>
    <w:tbl>
      <w:tblPr>
        <w:tblW w:w="6525" w:type="dxa"/>
        <w:jc w:val="left"/>
        <w:tblInd w:w="0" w:type="dxa"/>
        <w:tblLayout w:type="fixed"/>
        <w:tblCellMar>
          <w:top w:w="28" w:type="dxa"/>
          <w:left w:w="28" w:type="dxa"/>
          <w:bottom w:w="28" w:type="dxa"/>
          <w:right w:w="28" w:type="dxa"/>
        </w:tblCellMar>
      </w:tblPr>
      <w:tblGrid>
        <w:gridCol w:w="1042"/>
        <w:gridCol w:w="917"/>
        <w:gridCol w:w="921"/>
        <w:gridCol w:w="292"/>
        <w:gridCol w:w="998"/>
        <w:gridCol w:w="150"/>
        <w:gridCol w:w="109"/>
        <w:gridCol w:w="109"/>
        <w:gridCol w:w="109"/>
        <w:gridCol w:w="349"/>
        <w:gridCol w:w="1195"/>
        <w:gridCol w:w="180"/>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Self-insurance liabilities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CAP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payable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 deposits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payable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liabilities—current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occurs when the Company receives payments in advance of services provided. Refunds payable includes payables related to overpayments, duplicate payments and credit balances from various payor sources. Resident deposits include refundable deposits to residents.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tbl>
      <w:tblPr>
        <w:tblW w:w="6445" w:type="dxa"/>
        <w:jc w:val="left"/>
        <w:tblInd w:w="0" w:type="dxa"/>
        <w:tblLayout w:type="fixed"/>
        <w:tblCellMar>
          <w:top w:w="28" w:type="dxa"/>
          <w:left w:w="28" w:type="dxa"/>
          <w:bottom w:w="28" w:type="dxa"/>
          <w:right w:w="28" w:type="dxa"/>
        </w:tblCellMar>
      </w:tblPr>
      <w:tblGrid>
        <w:gridCol w:w="1055"/>
        <w:gridCol w:w="924"/>
        <w:gridCol w:w="930"/>
        <w:gridCol w:w="265"/>
        <w:gridCol w:w="1038"/>
        <w:gridCol w:w="137"/>
        <w:gridCol w:w="109"/>
        <w:gridCol w:w="109"/>
        <w:gridCol w:w="109"/>
        <w:gridCol w:w="313"/>
        <w:gridCol w:w="1228"/>
        <w:gridCol w:w="228"/>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term loans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costs</w:t>
            </w:r>
            <w:r>
              <w:rPr>
                <w:rFonts w:ascii="Times New Roman;serif" w:hAnsi="Times New Roman;serif"/>
                <w:b w:val="false"/>
                <w:color w:val="000000"/>
                <w:sz w:val="13"/>
              </w:rPr>
              <w:t>(a)</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164,668 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4"/>
        <w:gridCol w:w="2794"/>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For the three months ended March 31, 2026, outstanding debt issuance costs of $2,836 are recorded in Restricted and other assets and $1,082 are recorded in Long-term debt, net. For the year ended December 31, 2025, outstanding debt issuance costs of $3,058 are recorded in Restricted and other assets and $1,163 are recorded in Long-term debt, net. </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entered into an Amended and Restated Credit Agreement (the “Amended Credit Agreement”), which provides for a revolving credit facility (the “Amended Revolving Credit Facility”) with a syndicate of banks with a borrowing capacity of $250,000. In conjunction with the amendment, the Company incurred additional debt issuance costs of $3,915 and wrote off previously deferred unamortized debt issuance costs of $428 in 2024. Per the terms of the Amended Credit Agreement, the interest rates applicable to loans under the Amended Revolving Credit Facility are, at the Company’s election, either (i) Term Standard Overnight Financing Rate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Pennant entered into the First Amendment to Amended and Restated Credit Agreement (the “First Amendment”), which provides for an incremental term loan with an aggregate principal amount of $100,000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In conjunction with the First Amendment, the Company incurred additional debt issuance costs of $1,203. The debt issuance costs associated with the Incremental Term Loans are recorded in Long-term debt, net. As of March 31, 2026, the Company’s weighted average interest rate on its outstanding debt was 6.07%.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available borrowing on the Amended Revolving Credit Facility of $174,564, which was net of outstanding letters of credit of $3,436.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the Amended Revolving Credit Facility and the Incremental Term Loans approximates carrying value, due to the short-term natur</w:t>
      </w:r>
      <w:r>
        <w:rPr>
          <w:rFonts w:ascii="Times New Roman;serif" w:hAnsi="Times New Roman;serif"/>
          <w:b w:val="false"/>
          <w:color w:val="000000"/>
          <w:sz w:val="20"/>
          <w:shd w:fill="FFFFFF" w:val="clear"/>
        </w:rPr>
        <w:t xml:space="preserve">e and variable interest rates. </w:t>
      </w:r>
      <w:r>
        <w:rPr>
          <w:rFonts w:ascii="Times New Roman;serif" w:hAnsi="Times New Roman;serif"/>
          <w:b w:val="false"/>
          <w:color w:val="000000"/>
          <w:sz w:val="20"/>
        </w:rPr>
        <w:t>The fair value of this debt is categorized within Level 2 of the fair value hierarchy based on the observable market borrowing 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leverage ratios that impact the amount of interest. As of March 31, 2026,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12. OPTIONS AND AWARDS</w:t>
      </w:r>
    </w:p>
    <w:p>
      <w:pPr>
        <w:pStyle w:val="TextBody"/>
        <w:bidi w:val="0"/>
        <w:spacing w:lineRule="auto" w:line="288" w:before="0" w:after="0"/>
        <w:ind w:left="0" w:right="0" w:firstLine="720"/>
        <w:jc w:val="both"/>
        <w:rPr/>
      </w:pPr>
      <w:r>
        <w:rPr>
          <w:rFonts w:ascii="Times New Roman;serif" w:hAnsi="Times New Roman;serif"/>
          <w:b w:val="false"/>
          <w:color w:val="212529"/>
          <w:sz w:val="20"/>
        </w:rPr>
        <w:t xml:space="preserve">Outstanding options and restricted stock awards of the Company were granted under the Amended and Restated 2019 Omnibus Incentive Plan (the </w:t>
      </w:r>
      <w:r>
        <w:rPr>
          <w:color w:val="000000"/>
        </w:rPr>
        <w:t>“</w:t>
      </w:r>
      <w:r>
        <w:rPr>
          <w:rFonts w:ascii="Times New Roman;serif" w:hAnsi="Times New Roman;serif"/>
          <w:b w:val="false"/>
          <w:color w:val="212529"/>
          <w:sz w:val="20"/>
        </w:rPr>
        <w:t>Amended and Restated Plan</w:t>
      </w:r>
      <w:r>
        <w:rPr>
          <w:color w:val="000000"/>
        </w:rPr>
        <w:t>”</w:t>
      </w:r>
      <w:r>
        <w:rPr>
          <w:rFonts w:ascii="Times New Roman;serif" w:hAnsi="Times New Roman;serif"/>
          <w:b w:val="false"/>
          <w:color w:val="212529"/>
          <w:sz w:val="20"/>
        </w:rPr>
        <w:t xml:space="preserve">) and Long-Term Incentive Plan (the </w:t>
      </w:r>
      <w:r>
        <w:rPr>
          <w:color w:val="000000"/>
        </w:rPr>
        <w:t>“</w:t>
      </w:r>
      <w:r>
        <w:rPr>
          <w:rFonts w:ascii="Times New Roman;serif" w:hAnsi="Times New Roman;serif"/>
          <w:b w:val="false"/>
          <w:color w:val="212529"/>
          <w:sz w:val="20"/>
        </w:rPr>
        <w:t>LTIP</w:t>
      </w:r>
      <w:r>
        <w:rPr>
          <w:color w:val="000000"/>
        </w:rPr>
        <w:t>”</w:t>
      </w:r>
      <w:r>
        <w:rPr>
          <w:rFonts w:ascii="Times New Roman;serif" w:hAnsi="Times New Roman;serif"/>
          <w:b w:val="false"/>
          <w:color w:val="000000"/>
          <w:sz w:val="20"/>
        </w:rPr>
        <w:t>, and together with the Amended and Restated Plan, the “Pennant Plans”</w:t>
      </w:r>
      <w:r>
        <w:rPr>
          <w:rFonts w:ascii="Times New Roman;serif" w:hAnsi="Times New Roman;serif"/>
          <w:b w:val="false"/>
          <w:color w:val="212529"/>
          <w:sz w:val="20"/>
        </w:rPr>
        <w:t>). During the second quarter of 2025, the Company’s stockholders approved the Amended and Restated Plan, which increased the total number of shares authorized for issuance under the 2019 Omnibus Incentive Plan (the “Predecessor Plan”). Including the shares rolled over from the Predecessor Plan, the Amended and Restated Plan provides for the issuance of 3,293 shares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disclosures represent share-based compensation expense relating to the Pennant Plans, including awards to employees of the Company’s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expense for all Pennant Plans for the three months ended March 31, 2026 and 2025 was: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238"/>
        <w:gridCol w:w="1959"/>
        <w:gridCol w:w="1969"/>
        <w:gridCol w:w="109"/>
        <w:gridCol w:w="109"/>
        <w:gridCol w:w="199"/>
        <w:gridCol w:w="199"/>
        <w:gridCol w:w="199"/>
        <w:gridCol w:w="199"/>
        <w:gridCol w:w="386"/>
        <w:gridCol w:w="1128"/>
        <w:gridCol w:w="199"/>
        <w:gridCol w:w="109"/>
        <w:gridCol w:w="109"/>
        <w:gridCol w:w="109"/>
        <w:gridCol w:w="211"/>
        <w:gridCol w:w="616"/>
        <w:gridCol w:w="158"/>
      </w:tblGrid>
      <w:tr>
        <w:trPr/>
        <w:tc>
          <w:tcPr>
            <w:tcW w:w="2238"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6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 to non-employee directors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future periods, the Company estimates it will recognize the following share-based compensation expense for unvested stock options and unvested Restricted Stock as of March 31, 2026: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rP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Recognition Period </w:t>
              <w:br/>
              <w:t>(in years)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Stock Options</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34,161 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option-pricing model to recognize the value of stock-based compensation expense for share-based payment awards under the Pennant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is estimated on the grant date using a Black-Scholes option-pricing model with the following weighted average assumptions for stock options granted as of March 31:</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41"/>
        <w:gridCol w:w="341"/>
        <w:gridCol w:w="342"/>
        <w:gridCol w:w="109"/>
        <w:gridCol w:w="109"/>
        <w:gridCol w:w="109"/>
        <w:gridCol w:w="283"/>
        <w:gridCol w:w="283"/>
        <w:gridCol w:w="706"/>
        <w:gridCol w:w="109"/>
        <w:gridCol w:w="109"/>
        <w:gridCol w:w="109"/>
        <w:gridCol w:w="351"/>
        <w:gridCol w:w="351"/>
        <w:gridCol w:w="352"/>
        <w:gridCol w:w="109"/>
        <w:gridCol w:w="109"/>
        <w:gridCol w:w="109"/>
        <w:gridCol w:w="335"/>
        <w:gridCol w:w="277"/>
        <w:gridCol w:w="692"/>
        <w:gridCol w:w="109"/>
        <w:gridCol w:w="109"/>
        <w:gridCol w:w="109"/>
        <w:gridCol w:w="240"/>
        <w:gridCol w:w="227"/>
        <w:gridCol w:w="566"/>
        <w:gridCol w:w="109"/>
        <w:gridCol w:w="109"/>
        <w:gridCol w:w="109"/>
        <w:gridCol w:w="382"/>
        <w:gridCol w:w="1116"/>
        <w:gridCol w:w="286"/>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Life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Volatility</w:t>
            </w:r>
            <w:r>
              <w:rPr>
                <w:rFonts w:ascii="Times New Roman;serif" w:hAnsi="Times New Roman;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Fair Value of Options</w:t>
            </w:r>
          </w:p>
        </w:tc>
      </w:tr>
      <w:tr>
        <w:trPr/>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employee stock option activity during the three months ended March 31, 2026:</w:t>
      </w:r>
    </w:p>
    <w:p>
      <w:pPr>
        <w:pStyle w:val="TextBody"/>
        <w:bidi w:val="0"/>
        <w:spacing w:before="0" w:after="0"/>
        <w:ind w:left="0" w:right="0" w:firstLine="720"/>
        <w:jc w:val="left"/>
        <w:rPr/>
      </w:pPr>
      <w:r>
        <w:rPr/>
      </w:r>
    </w:p>
    <w:tbl>
      <w:tblPr>
        <w:tblW w:w="7444" w:type="dxa"/>
        <w:jc w:val="left"/>
        <w:tblInd w:w="0" w:type="dxa"/>
        <w:tblLayout w:type="fixed"/>
        <w:tblCellMar>
          <w:top w:w="28" w:type="dxa"/>
          <w:left w:w="28" w:type="dxa"/>
          <w:bottom w:w="28" w:type="dxa"/>
          <w:right w:w="28" w:type="dxa"/>
        </w:tblCellMar>
      </w:tblPr>
      <w:tblGrid>
        <w:gridCol w:w="629"/>
        <w:gridCol w:w="554"/>
        <w:gridCol w:w="556"/>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Exercise Price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Vested</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status of Pennant’s non-vested Restricted Stock, and changes during the three months ended March 31, 2026, is presented below: </w:t>
      </w:r>
    </w:p>
    <w:p>
      <w:pPr>
        <w:pStyle w:val="TextBody"/>
        <w:bidi w:val="0"/>
        <w:spacing w:before="0" w:after="0"/>
        <w:ind w:left="0" w:right="0" w:firstLine="720"/>
        <w:jc w:val="both"/>
        <w:rPr/>
      </w:pPr>
      <w:r>
        <w:rPr/>
      </w:r>
    </w:p>
    <w:tbl>
      <w:tblPr>
        <w:tblW w:w="7719" w:type="dxa"/>
        <w:jc w:val="left"/>
        <w:tblInd w:w="0" w:type="dxa"/>
        <w:tblLayout w:type="fixed"/>
        <w:tblCellMar>
          <w:top w:w="28" w:type="dxa"/>
          <w:left w:w="28" w:type="dxa"/>
          <w:bottom w:w="28" w:type="dxa"/>
          <w:right w:w="28" w:type="dxa"/>
        </w:tblCellMar>
      </w:tblPr>
      <w:tblGrid>
        <w:gridCol w:w="629"/>
        <w:gridCol w:w="554"/>
        <w:gridCol w:w="556"/>
        <w:gridCol w:w="774"/>
        <w:gridCol w:w="774"/>
        <w:gridCol w:w="776"/>
        <w:gridCol w:w="109"/>
        <w:gridCol w:w="109"/>
        <w:gridCol w:w="109"/>
        <w:gridCol w:w="716"/>
        <w:gridCol w:w="2091"/>
        <w:gridCol w:w="5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through which their independent operating subsidiaries lease administrative offices of home health and hospice agencies, senior living communities, and corporate offices with initial lease terms ranging from one to 25 years. Most of these operating leases are non-cancelable,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 The Company also has finance leases which have initial terms between 2 and 5 years. As of March 31, 2026, the Company has a real estate lease with a purchase option that the Company is reasonably certain to exercise and leased vehicles that are considered finance leases under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March 31, 2026, the Company’s independent operating subsidiaries leased 32 senior living communities from subsidiaries of Ensign (“Ensign Leases”) under master lease arrangements</w:t>
      </w:r>
      <w:r>
        <w:rPr>
          <w:rFonts w:ascii="Times New Roman;serif" w:hAnsi="Times New Roman;serif"/>
          <w:b w:val="false"/>
          <w:i/>
          <w:color w:val="000000"/>
          <w:sz w:val="20"/>
        </w:rPr>
        <w:t>.</w:t>
      </w:r>
      <w:r>
        <w:rPr>
          <w:color w:val="FF0000"/>
        </w:rPr>
        <w:t xml:space="preserve"> </w:t>
      </w:r>
      <w:r>
        <w:rPr>
          <w:rFonts w:ascii="Times New Roman;serif" w:hAnsi="Times New Roman;serif"/>
          <w:b w:val="false"/>
          <w:color w:val="000000"/>
          <w:sz w:val="20"/>
        </w:rPr>
        <w:t xml:space="preserve">The existing leases with subsidiaries of Ensign have initial terms of between 14 to 20 years. The total amount of rent expense included in rent - cost of services paid to subsidiaries of Ensign was $3,849 for the three months ended March 31, 2026, and $3,754 for the three months ended March 31, 2025.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Fourteen of the Company’s affiliated senior living communities, excluding the communities that are operated under the Ensign Leases,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Finance lease balances consist of the following:</w:t>
      </w:r>
    </w:p>
    <w:tbl>
      <w:tblPr>
        <w:tblW w:w="8334" w:type="dxa"/>
        <w:jc w:val="left"/>
        <w:tblInd w:w="0" w:type="dxa"/>
        <w:tblLayout w:type="fixed"/>
        <w:tblCellMar>
          <w:top w:w="28" w:type="dxa"/>
          <w:left w:w="28" w:type="dxa"/>
          <w:bottom w:w="28" w:type="dxa"/>
          <w:right w:w="28" w:type="dxa"/>
        </w:tblCellMar>
      </w:tblPr>
      <w:tblGrid>
        <w:gridCol w:w="1738"/>
        <w:gridCol w:w="1524"/>
        <w:gridCol w:w="1537"/>
        <w:gridCol w:w="324"/>
        <w:gridCol w:w="948"/>
        <w:gridCol w:w="167"/>
        <w:gridCol w:w="109"/>
        <w:gridCol w:w="109"/>
        <w:gridCol w:w="109"/>
        <w:gridCol w:w="380"/>
        <w:gridCol w:w="1110"/>
        <w:gridCol w:w="279"/>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balances: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right-of-use assets</w:t>
            </w:r>
            <w:r>
              <w:rPr>
                <w:rFonts w:ascii="Times New Roman;serif" w:hAnsi="Times New Roman;serif"/>
                <w:b w:val="false"/>
                <w:color w:val="000000"/>
                <w:sz w:val="13"/>
              </w:rPr>
              <w:t>(a)</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liabilities—current</w:t>
            </w:r>
            <w:r>
              <w:rPr>
                <w:rFonts w:ascii="Times New Roman;serif" w:hAnsi="Times New Roman;serif"/>
                <w:b w:val="false"/>
                <w:color w:val="000000"/>
                <w:sz w:val="13"/>
              </w:rPr>
              <w:t>(b)</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finance lease liabilities—less current portion</w:t>
            </w:r>
            <w:r>
              <w:rPr>
                <w:rFonts w:ascii="Times New Roman;serif" w:hAnsi="Times New Roman;serif"/>
                <w:b w:val="false"/>
                <w:color w:val="000000"/>
                <w:sz w:val="13"/>
              </w:rPr>
              <w:t>(c)</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Finance right-of-use assets are included in Restricted and other assets on our Condensed Consolidated Balance Sheets.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Finance lease liabilities—current are included in Other accrued liabilities on our Condensed Consolidated Balance Sheets.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Long-term finance lease liabilities—less current portion are included in Other long-term liabilities on our Condensed Consolidated Balance Sheets.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operating lease cost, are as follows:</w:t>
      </w:r>
    </w:p>
    <w:p>
      <w:pPr>
        <w:pStyle w:val="TextBody"/>
        <w:bidi w:val="0"/>
        <w:spacing w:before="0" w:after="0"/>
        <w:ind w:left="0" w:right="0" w:firstLine="720"/>
        <w:jc w:val="left"/>
        <w:rPr/>
      </w:pPr>
      <w:r>
        <w:rPr/>
      </w:r>
    </w:p>
    <w:tbl>
      <w:tblPr>
        <w:tblW w:w="7431" w:type="dxa"/>
        <w:jc w:val="left"/>
        <w:tblInd w:w="0" w:type="dxa"/>
        <w:tblLayout w:type="fixed"/>
        <w:tblCellMar>
          <w:top w:w="28" w:type="dxa"/>
          <w:left w:w="28" w:type="dxa"/>
          <w:bottom w:w="28" w:type="dxa"/>
          <w:right w:w="28" w:type="dxa"/>
        </w:tblCellMar>
      </w:tblPr>
      <w:tblGrid>
        <w:gridCol w:w="1093"/>
        <w:gridCol w:w="958"/>
        <w:gridCol w:w="964"/>
        <w:gridCol w:w="109"/>
        <w:gridCol w:w="109"/>
        <w:gridCol w:w="205"/>
        <w:gridCol w:w="205"/>
        <w:gridCol w:w="205"/>
        <w:gridCol w:w="205"/>
        <w:gridCol w:w="398"/>
        <w:gridCol w:w="1362"/>
        <w:gridCol w:w="205"/>
        <w:gridCol w:w="109"/>
        <w:gridCol w:w="109"/>
        <w:gridCol w:w="109"/>
        <w:gridCol w:w="211"/>
        <w:gridCol w:w="721"/>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 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Rent—cost of services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lease assets</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lease liabilities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3"/>
        <w:gridCol w:w="2744"/>
        <w:gridCol w:w="3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short-term lease cost, which is immaterial.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variable lease cost for operating leases, which costs include property taxes, insurance, common area maintenance, and consumer price index increases, incurred as part of the Company’s triple net leases, and which is included in cost of services for our home health and hospice and senior living leases, and general and administrative expense for our Service Center leases for the three months ended March 31, 2026 and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lease assets is included in Depreciation and amortization on our Condensed Consolidated Statements of Income.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Interest on lease liabilities is included in Interest expense, net on our Condensed Consolidated Statements of Income.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lease maturity analysis for all leases as of March 31, 2026:</w:t>
      </w:r>
    </w:p>
    <w:p>
      <w:pPr>
        <w:pStyle w:val="TextBody"/>
        <w:bidi w:val="0"/>
        <w:spacing w:before="0" w:after="0"/>
        <w:ind w:left="0" w:right="0" w:firstLine="720"/>
        <w:jc w:val="both"/>
        <w:rPr/>
      </w:pPr>
      <w:r>
        <w:rPr/>
      </w:r>
    </w:p>
    <w:tbl>
      <w:tblPr>
        <w:tblW w:w="7573" w:type="dxa"/>
        <w:jc w:val="left"/>
        <w:tblInd w:w="0" w:type="dxa"/>
        <w:tblLayout w:type="fixed"/>
        <w:tblCellMar>
          <w:top w:w="28" w:type="dxa"/>
          <w:left w:w="28" w:type="dxa"/>
          <w:bottom w:w="28" w:type="dxa"/>
          <w:right w:w="28" w:type="dxa"/>
        </w:tblCellMar>
      </w:tblPr>
      <w:tblGrid>
        <w:gridCol w:w="1125"/>
        <w:gridCol w:w="984"/>
        <w:gridCol w:w="996"/>
        <w:gridCol w:w="425"/>
        <w:gridCol w:w="1665"/>
        <w:gridCol w:w="219"/>
        <w:gridCol w:w="464"/>
        <w:gridCol w:w="1356"/>
        <w:gridCol w:w="339"/>
      </w:tblGrid>
      <w:tr>
        <w:trP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 Amounts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Amounts</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total lease liabilities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March 31, 2026, for our operating leases, the weighted average remaining lease term is 10.5 years and the weighted average discount rate is 7.9%. As of December 31, 2025, for our operating leases, the weighted average remaining lease term was 10.7 years and the weighted average discount rate was 7.9%. As of March 31, 2026, for our finance leases, the weighted average remaining lease term and the weighted average discount rate was 1.5 years and 6.2%, respectively. As of December 31, 2025, for our finance leases, the weighted average remaining lease term and the weighted average discount rate was 1.5 years and 6.3%,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$3,794 and $2,854, or 26.9% and 25.1% of earnings before income taxes, for the three months ended March 31, 2026 and 2025, respectively. The increase in the effective tax rate is primarily attributable to higher state income taxes driven by changes in the geographic mix of earnings, net of the related federal tax benefit.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15. DEFINED CONTRIBUTION AND DEFERRED COMPENSATION PLANS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$851 for the three months ended March 31, 2026, and $578 for the three months ended March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Company’s deferred compensation liabilities were $5,966 and $3,816, respectively, in other long-term liabilities on the Condensed Consolidated Balance Sheets. The cash surrender value of the individual variable life insurance contracts is based on investment funds that shadow the investment allocations specified by participants in the DCP. At March 31, 2026 and December 31, 2025, the cash surrender value of the company owned life insurance (“COLI”) policies were $5,969 and $3,812 respectively, and were included as a component of restricted and other assets on the Condensed Consolidated Balance Sheets. There are no outstanding loan amounts offset against the cash surrender value of the COLI policies. The gains and losses recorded for the change in cash surrender value were immaterial for each period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Regulatory Matters - </w:t>
      </w:r>
      <w:r>
        <w:rPr>
          <w:rFonts w:ascii="Times New Roman;serif" w:hAnsi="Times New Roman;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temporary or permanent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Centers for Medicare and Medicaid Services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Cost-Containment Measures - </w:t>
      </w:r>
      <w:r>
        <w:rPr>
          <w:rFonts w:ascii="Times New Roman;serif" w:hAnsi="Times New Roman;serif"/>
          <w:b w:val="false"/>
          <w:color w:val="000000"/>
          <w:sz w:val="20"/>
        </w:rPr>
        <w:t>Government and third-party payors have instituted cost-containment measures designed to limit payments made to providers of healthcare services, may propose or implement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Indemnities - </w:t>
      </w:r>
      <w:r>
        <w:rPr>
          <w:rFonts w:ascii="Times New Roman;serif" w:hAnsi="Times New Roman;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Litigation - </w:t>
      </w:r>
      <w:r>
        <w:rPr>
          <w:rFonts w:ascii="Times New Roman;serif" w:hAnsi="Times New Roman;serif"/>
          <w:b w:val="false"/>
          <w:color w:val="000000"/>
          <w:sz w:val="20"/>
        </w:rPr>
        <w:t xml:space="preserve">The Company’s businesses involve a significant risk of liability given the age and health of the patients and residents served by its independent operating subsidiaries. The Company, its operating subsidiaries,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common in our industry.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potential lawsuits and claims described above, the Company also is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Fraud Enforcement and Recovery Act (“FERA”) and its associated rules, healthcare providers face significant penalties for the knowing retention of government overpayments, even if no false claim was involved. Under current regulations, providers have an obligation to return overpayments to CMS within 60 days of “identification” (i.e., a person has identified an overpayment when the person knowingly receives or retains an overpayment with the same knowledge standard under the FCA) or the date any corresponding cost report is due, whichever is later. This 60-day repayment obligation is suspended, however, when a provider is conducting a good faith investigation to determine the existence of related overpayments that may arise from the same (or similar) cause as the originally identified overpayment, and the provider conducts a timely, good-faith investigation to determine whether related overpayments exist.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Medicare Revenue Recoupments - </w:t>
      </w:r>
      <w:r>
        <w:rPr>
          <w:rFonts w:ascii="Times New Roman;serif" w:hAnsi="Times New Roman;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12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March 31, 2026,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Insurance</w:t>
      </w:r>
      <w:r>
        <w:rPr>
          <w:color w:val="000000"/>
        </w:rPr>
        <w:t xml:space="preserve"> </w:t>
      </w:r>
      <w:r>
        <w:rPr>
          <w:rFonts w:ascii="Times New Roman;serif" w:hAnsi="Times New Roman;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$600 corridor as an additional out-of-pocket retention the Company must satisfy for claims within the policy year before the carrier will reimburse losses. The workers’ compensation insurance has a retention limit of $250 per claim, except for policies held in Texas, which has a retention limit of $100 per claim, California, which has a retention limit of $500 per claim, and Washington and Wyoming, which are subject to state insurance and possess their own limits.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2026 and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2025 (the “2025 Annual Report”), which discusses our business and related risks in greater detail, as well as subsequent reports we may file from time to time on Form 10-K, Form 10-Q and Form 8-K, for additional information. The section entitled “Risk Factors” filed within our 2025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risk factors discussed in this Quarterly Report and the 2025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federal and state changes to, or delays receiving, reimbursement and other aspects of Medicaid and Medicare, including proposed Medicare reimbursement reductions in the Calendar Year 2026 Home Health Prospective Payment System Rate Update Final Rule and changes to Medicaid funding within the One Big Beautiful Bill 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the laws and regulations affecting the U.S. healthcare industry, and changes based on the outcomes of the 2026 midterm elections and state level elections that may affect how these laws are enacted and enforced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proposed changes to payment models and reimbursement amounts within the Medicare and Medicaid fee schedules for future calendar years, including potentially minimal increases in Medicare Advantage rates and payments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future cost containment measures undertaken by payors;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government reviews, audits and investigations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additional regulation affecting the transparency, ownership, operating standards, conditions of licensure or participation in certain payment programs, and staffing of businesses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actions of labor unions, including strikes, work stoppages, unfair labor practices claims, or related labor activity;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leases of our affiliated senior living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inability to complete future acquisitions at attractive prices or at all, and failure to successfully or efficiently integrate new acquisitions into our existing operations and operating subsidiaries;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security breaches and other cyber security incidents;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performance of the financial and credit markets and uncertainties related to our ability to obtain financing or the terms of such financing.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Alabama, Arizona, California, Colorado, Georgia, Idaho, Montana, Nevada, Oklahoma, Oregon, Tennessee, Texas, Utah, Washington, Wisconsin and Wyoming. We also provide home health and hospice operational support through a management service agreement in Connecticut. As of March 31, 2026, our home health and hospice business provided home health, hospice and home care services from 174 agencies operating across these 16 states, and our senior living business operated 63 senior living communities throughout seven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rPr/>
      </w:pPr>
      <w:r>
        <w:rPr/>
      </w:r>
    </w:p>
    <w:tbl>
      <w:tblPr>
        <w:tblW w:w="11038"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308"/>
        <w:gridCol w:w="308"/>
        <w:gridCol w:w="176"/>
        <w:gridCol w:w="109"/>
        <w:gridCol w:w="109"/>
        <w:gridCol w:w="109"/>
        <w:gridCol w:w="308"/>
        <w:gridCol w:w="308"/>
        <w:gridCol w:w="176"/>
        <w:gridCol w:w="109"/>
        <w:gridCol w:w="109"/>
        <w:gridCol w:w="109"/>
        <w:gridCol w:w="337"/>
        <w:gridCol w:w="279"/>
        <w:gridCol w:w="299"/>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experienced improvement in senior living revenue per occupied unit and occupancy during the three months ended March 31, 2026, compared to the same period in 2025. Despite year-over-year gains in revenue per occupied unit and occupancy, competition and inflation will continue to influence revenue growth in our senior living communities.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disclosed under the heading “Government Regulation” in the 2025 Annual Report a summary of regulations that we believe materially affect our business, financial condition or results of operations. Since the time of the filing of the 2025 Annual Report, the following regulations have been updated.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2026, the Consolidated Appropriations Act of 2026 (“CAA 2026”) was passed, which further extended government funding through September 30, 2026. Of specific importance to our businesses are: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Telehealth Waivers: </w:t>
      </w:r>
      <w:r>
        <w:rPr>
          <w:rFonts w:ascii="Times New Roman;serif" w:hAnsi="Times New Roman;serif"/>
          <w:b w:val="false"/>
          <w:color w:val="000000"/>
          <w:sz w:val="20"/>
        </w:rPr>
        <w:t>Since the COVID-19 pandemic, Congress has temporarily waived restrictions so Medicare beneficiaries can access telehealth services at home and outside of rural areas. Medicare recipients can now continue using telehealth under these relaxed rules, regardless of location. The waivers expired on September 30, 2025, but the CAA 2026 reinstated them retroactive to October 1, 2025, while extending them through December 31, 2027. Specifically, key waivers that were restored temporarily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Lifting geographic limitations for medical telehealth services, allowing them to be provided nationwide, including in a person’s home such as an assisted living residence.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Delaying the Medicare requirement for in-person visits for mental health services provided through telehealth or audio-only telecommunications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Permitting telehealth to be used for face-to-face encounters required for Hospice recertification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Extension of Funding for Quality Measure Endorsement, Input, and Selection: </w:t>
      </w:r>
      <w:r>
        <w:rPr>
          <w:rFonts w:ascii="Times New Roman;serif" w:hAnsi="Times New Roman;serif"/>
          <w:b w:val="false"/>
          <w:color w:val="000000"/>
          <w:sz w:val="20"/>
        </w:rPr>
        <w:t>This extends such funding through September 30,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Extension of Funding for Medicare Hospice Surveys: </w:t>
      </w:r>
      <w:r>
        <w:rPr>
          <w:rFonts w:ascii="Times New Roman;serif" w:hAnsi="Times New Roman;serif"/>
          <w:b w:val="false"/>
          <w:color w:val="000000"/>
          <w:sz w:val="20"/>
        </w:rPr>
        <w:t>This extends such funding through December 31,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Sequestration: </w:t>
      </w:r>
      <w:r>
        <w:rPr>
          <w:rFonts w:ascii="Times New Roman;serif" w:hAnsi="Times New Roman;serif"/>
          <w:b w:val="false"/>
          <w:color w:val="000000"/>
          <w:sz w:val="20"/>
        </w:rPr>
        <w:t>This legislation prevents the triggering of statutory 4.0% Statutory Pay-As-You-Go Act of 2010 sequestration cuts to Medicare.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CMS has issued guidance instructing Medicare Administrative Contractors to perform mass adjustments to any paid claims that are inconsistent with the above and instructing Practitioners to resubmit to CMS any returned claims that were previously determined not payable during the shutdown.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 2026, CMS issued the Calendar Year (“CY”) 2027 Hospice Wage Index and Payment Rate Update proposed rule (“Hospice Payment Proposed Rule”). The 2027 Hospice Payment Proposed Rule includes several changes that, if finalized, could materially impact reimbursement of hospice providers. The Hospice Payment Proposed Rule’s net payment update percentage is 2.4%, which is an estimated increase of $785 million in payments from fiscal year 2026 in the aggregate across all hospice providers. The payment update percentage is based on a 3.2% market basket percentage increase, reduced by a 0.8% productivity adjustment. In addition, the Hospice Payment Proposed Rule proposes to update the statutory aggregate cap of the total overall payments per patient that may be made to a hospice annually to $36,210.11 for fiscal year 2027, which is an increase of 2.4% from the 2026 fiscal year cap of $35,361.44.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Hospice Payment Proposed Rule seeks to make a technical change extending hospice’s ability to use telehealth to conduct encounters that otherwise have to be conducted face-to-face through December 31, 2027, to align with the CAA 2026. Further, CMS is proposing to make the hospice election statement addendum, which was originally only provided to hospice patients upon request, mandatory for all hospice elections. In publishing the 2027 Hospice Payment Proposed Rule, CMS explained that this requirement will provide beneficiaries additional transparency regarding the items, services, and drugs not covered under Medicare’s hospice benefits, so that those beneficiaries can make appropriate treatment decisions. Finally, as part of the Hospice Quality Reporting Program, CMS is proposing to add an icon to the Medicare.gov Compare Tool that will identify hospices failing to submit any data or submitting less than the required quality data beginning in the 2028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CODM, reviews financial information at the operating segment level using segment adjusted EBITDAR from operations.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home health admissions</w:t>
      </w:r>
      <w:r>
        <w:rPr>
          <w:rFonts w:ascii="Times New Roman;serif" w:hAnsi="Times New Roman;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Medicare home health admissions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Medicare revenue per completed 60-day home health episode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hospice admissions</w:t>
      </w:r>
      <w:r>
        <w:rPr>
          <w:rFonts w:ascii="Times New Roman;serif" w:hAnsi="Times New Roman;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hospice daily census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Hospice Medicare revenue per day</w:t>
      </w:r>
      <w:r>
        <w:rPr>
          <w:rFonts w:ascii="Times New Roman;serif" w:hAnsi="Times New Roman;serif"/>
          <w:b w:val="false"/>
          <w:color w:val="000000"/>
          <w:sz w:val="20"/>
        </w:rPr>
        <w:t>. The average daily Medicare revenue recorded during any measurement period for services provided to hospice patients.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statistics for the periods indicated:</w:t>
      </w:r>
    </w:p>
    <w:p>
      <w:pPr>
        <w:pStyle w:val="TextBody"/>
        <w:bidi w:val="0"/>
        <w:spacing w:before="0" w:after="0"/>
        <w:jc w:val="left"/>
        <w:rPr/>
      </w:pPr>
      <w:r>
        <w:rPr/>
      </w:r>
    </w:p>
    <w:tbl>
      <w:tblPr>
        <w:tblW w:w="9248" w:type="dxa"/>
        <w:jc w:val="left"/>
        <w:tblInd w:w="0" w:type="dxa"/>
        <w:tblLayout w:type="fixed"/>
        <w:tblCellMar>
          <w:top w:w="28" w:type="dxa"/>
          <w:left w:w="28" w:type="dxa"/>
          <w:bottom w:w="28" w:type="dxa"/>
          <w:right w:w="28" w:type="dxa"/>
        </w:tblCellMar>
      </w:tblPr>
      <w:tblGrid>
        <w:gridCol w:w="1785"/>
        <w:gridCol w:w="1572"/>
        <w:gridCol w:w="1578"/>
        <w:gridCol w:w="109"/>
        <w:gridCol w:w="109"/>
        <w:gridCol w:w="221"/>
        <w:gridCol w:w="221"/>
        <w:gridCol w:w="221"/>
        <w:gridCol w:w="221"/>
        <w:gridCol w:w="429"/>
        <w:gridCol w:w="1253"/>
        <w:gridCol w:w="221"/>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hospice daily census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8"/>
        <w:gridCol w:w="2748"/>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year-to-date average Medicare revenue per 60-day completed episode includes post-period claim adjustments for prior quarters.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Occupancy</w:t>
      </w:r>
      <w:r>
        <w:rPr>
          <w:rFonts w:ascii="Times New Roman;serif" w:hAnsi="Times New Roman;serif"/>
          <w:b w:val="false"/>
          <w:i/>
          <w:color w:val="000000"/>
          <w:sz w:val="20"/>
        </w:rPr>
        <w:t xml:space="preserve">. </w:t>
      </w:r>
      <w:r>
        <w:rPr>
          <w:rFonts w:ascii="Times New Roman;serif" w:hAnsi="Times New Roman;serif"/>
          <w:b w:val="false"/>
          <w:color w:val="000000"/>
          <w:sz w:val="20"/>
        </w:rPr>
        <w:t>The ratio of actual number of days our units are occupied during any measurement period to the number of units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Average monthly revenue per occupied unit</w:t>
      </w:r>
      <w:r>
        <w:rPr>
          <w:rFonts w:ascii="Times New Roman;serif" w:hAnsi="Times New Roman;serif"/>
          <w:b w:val="false"/>
          <w:color w:val="000000"/>
          <w:sz w:val="20"/>
        </w:rPr>
        <w:t>. The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8166" w:type="dxa"/>
        <w:jc w:val="left"/>
        <w:tblInd w:w="0" w:type="dxa"/>
        <w:tblLayout w:type="fixed"/>
        <w:tblCellMar>
          <w:top w:w="28" w:type="dxa"/>
          <w:left w:w="28" w:type="dxa"/>
          <w:bottom w:w="28" w:type="dxa"/>
          <w:right w:w="28" w:type="dxa"/>
        </w:tblCellMar>
      </w:tblPr>
      <w:tblGrid>
        <w:gridCol w:w="1336"/>
        <w:gridCol w:w="1175"/>
        <w:gridCol w:w="1179"/>
        <w:gridCol w:w="109"/>
        <w:gridCol w:w="109"/>
        <w:gridCol w:w="198"/>
        <w:gridCol w:w="198"/>
        <w:gridCol w:w="198"/>
        <w:gridCol w:w="198"/>
        <w:gridCol w:w="383"/>
        <w:gridCol w:w="1120"/>
        <w:gridCol w:w="493"/>
        <w:gridCol w:w="109"/>
        <w:gridCol w:w="109"/>
        <w:gridCol w:w="109"/>
        <w:gridCol w:w="211"/>
        <w:gridCol w:w="616"/>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Home Health.</w:t>
      </w:r>
      <w:r>
        <w:rPr>
          <w:color w:val="000000"/>
        </w:rPr>
        <w:t xml:space="preserve"> </w:t>
      </w:r>
      <w:r>
        <w:rPr>
          <w:rFonts w:ascii="Times New Roman;serif" w:hAnsi="Times New Roman;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These variables are subject to periodic adjustments set by CMS regulations. For further detail regarding PDGM see the </w:t>
      </w:r>
      <w:r>
        <w:rPr>
          <w:rFonts w:ascii="Times New Roman;serif" w:hAnsi="Times New Roman;serif"/>
          <w:b w:val="false"/>
          <w:i/>
          <w:color w:val="000000"/>
          <w:sz w:val="20"/>
        </w:rPr>
        <w:t>Government Regulation</w:t>
      </w:r>
      <w:r>
        <w:rPr>
          <w:color w:val="000000"/>
        </w:rPr>
        <w:t xml:space="preserve"> </w:t>
      </w:r>
      <w:r>
        <w:rPr>
          <w:rFonts w:ascii="Times New Roman;serif" w:hAnsi="Times New Roman;serif"/>
          <w:b w:val="false"/>
          <w:color w:val="000000"/>
          <w:sz w:val="20"/>
        </w:rPr>
        <w:t>section of our 2025 Annual Report.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Hospice.</w:t>
      </w:r>
      <w:r>
        <w:rPr>
          <w:color w:val="000000"/>
        </w:rPr>
        <w:t xml:space="preserve"> </w:t>
      </w:r>
      <w:r>
        <w:rPr>
          <w:rFonts w:ascii="Times New Roman;serif" w:hAnsi="Times New Roman;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Routine Home Care (“RHC”). </w:t>
      </w:r>
      <w:r>
        <w:rPr>
          <w:rFonts w:ascii="Times New Roman;serif" w:hAnsi="Times New Roman;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General Inpatient Care. </w:t>
      </w:r>
      <w:r>
        <w:rPr>
          <w:rFonts w:ascii="Times New Roman;serif" w:hAnsi="Times New Roman;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Continuous Home Care. </w:t>
      </w:r>
      <w:r>
        <w:rPr>
          <w:rFonts w:ascii="Times New Roman;serif" w:hAnsi="Times New Roman;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Inpatient Respite Care.</w:t>
      </w:r>
      <w:r>
        <w:rPr>
          <w:color w:val="000000"/>
        </w:rPr>
        <w:t xml:space="preserve"> </w:t>
      </w:r>
      <w:r>
        <w:rPr>
          <w:rFonts w:ascii="Times New Roman;serif" w:hAnsi="Times New Roman;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CMS has established a two-tiered payment system for RHC services. Hospices are reimbursed at a higher rate for RHC services that are provided for days of service 1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Senior Living Services</w:t>
      </w:r>
      <w:r>
        <w:rPr>
          <w:rFonts w:ascii="Times New Roman;serif" w:hAnsi="Times New Roman;serif"/>
          <w:b w:val="false"/>
          <w:i/>
          <w:color w:val="000000"/>
          <w:sz w:val="20"/>
        </w:rPr>
        <w:t xml:space="preserve">. </w:t>
      </w:r>
      <w:r>
        <w:rPr>
          <w:rFonts w:ascii="Times New Roman;serif" w:hAnsi="Times New Roman;serif"/>
          <w:b w:val="false"/>
          <w:color w:val="000000"/>
          <w:sz w:val="20"/>
        </w:rPr>
        <w:t>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Cost of Services (excluding rent, general and administrative expense, and depreciation and amortization)</w:t>
      </w:r>
      <w:r>
        <w:rPr>
          <w:rFonts w:ascii="Times New Roman;serif" w:hAnsi="Times New Roman;serif"/>
          <w:b w:val="false"/>
          <w:color w:val="000000"/>
          <w:sz w:val="20"/>
        </w:rPr>
        <w:t xml:space="preserve">. Our cost of services represents the costs of operating our independent operating subsidiaries, which primarily consists of employee wages and related benefits, share-based compensation, supplies, purchased services, and ancillary expenses such as the cost of pharmacy and therapy services provided to patients and residents.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Rent—Cost of Services</w:t>
      </w:r>
      <w:r>
        <w:rPr>
          <w:rFonts w:ascii="Times New Roman;serif" w:hAnsi="Times New Roman;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which are included in cost of services and general and administrative expense.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w:t>
      </w:r>
      <w:r>
        <w:rPr>
          <w:rFonts w:ascii="Times New Roman;serif" w:hAnsi="Times New Roman;serif"/>
          <w:b w:val="false"/>
          <w:color w:val="000000"/>
          <w:sz w:val="20"/>
        </w:rPr>
        <w:t>. General and administrative expense consists primarily of employee wages and related benefits and travel expenses for our Service Center personnel in providing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Depreciation and Amortization</w:t>
      </w:r>
      <w:r>
        <w:rPr>
          <w:rFonts w:ascii="Times New Roman;serif" w:hAnsi="Times New Roman;serif"/>
          <w:b w:val="false"/>
          <w:color w:val="000000"/>
          <w:sz w:val="20"/>
        </w:rPr>
        <w:t>. Property and equipment are initially recorded at their historical cost. Depreciation is computed using the straight-line method over the estimated useful lives of the depreciable assets (ranging from one to forty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periods.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within the 2025 Annual Report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Self-insurance reserves</w:t>
      </w:r>
      <w:r>
        <w:rPr>
          <w:color w:val="000000"/>
        </w:rPr>
        <w:t xml:space="preserve"> </w:t>
      </w:r>
      <w:r>
        <w:rPr>
          <w:rFonts w:ascii="Times New Roman;serif" w:hAnsi="Times New Roman;serif"/>
          <w:b w:val="false"/>
          <w:color w:val="000000"/>
          <w:sz w:val="20"/>
        </w:rPr>
        <w:t>- The Company is self-insured for general and professional liability, workers’ compensation, automobile, and its employee health plans while maintaining stop-loss coverage with third-party insurers to limit its total liability exposure. The Company accrues amounts equal to the actuarial estimated costs to settle open claims of insureds, as well as an estimate of the costs of insured claims that have been incurred but not reported. We develop information about the size of the ultimate claims based on historical experience, current industry information, and actuarial analysis;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 The amounts owed by private pay individuals for services and estimate of variable considerations to arrive at the transaction price, including methods and assumptions, used to determine settlements with Medicare and Medicaid adjustments due to audits and reviews; and</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Acquisition accounting and goodwill</w:t>
      </w:r>
      <w:r>
        <w:rPr>
          <w:color w:val="000000"/>
        </w:rPr>
        <w:t xml:space="preserve"> </w:t>
      </w:r>
      <w:r>
        <w:rPr>
          <w:rFonts w:ascii="Times New Roman;serif" w:hAnsi="Times New Roman;serif"/>
          <w:b w:val="false"/>
          <w:color w:val="000000"/>
          <w:sz w:val="20"/>
        </w:rPr>
        <w:t>- The assumptions used to allocate the purchase price paid for assets acquired and liabilities assumed in connection with our acquisitions, and the review of goodwill for impairment at the Company’s annual impairment test date or upon the occurrence of a triggering event.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Information concerning recently issued accounting pronouncements, if applicable, are included in Note 2, </w:t>
      </w:r>
      <w:r>
        <w:rPr>
          <w:rFonts w:ascii="Times New Roman;serif" w:hAnsi="Times New Roman;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erif" w:hAnsi="Times New Roman;serif"/>
          <w:b w:val="false"/>
          <w:color w:val="000000"/>
          <w:sz w:val="20"/>
        </w:rPr>
        <w:t>in the Interim Financial Statements</w:t>
      </w:r>
      <w:r>
        <w:rPr>
          <w:rFonts w:ascii="Times New Roman;serif" w:hAnsi="Times New Roman;serif"/>
          <w:b w:val="false"/>
          <w:color w:val="000000"/>
          <w:sz w:val="20"/>
          <w:shd w:fill="FFFFFF" w:val="clear"/>
        </w:rPr>
        <w:t xml:space="preser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rPr/>
      </w:pPr>
      <w:r>
        <w:rPr/>
      </w:r>
    </w:p>
    <w:tbl>
      <w:tblPr>
        <w:tblW w:w="9136" w:type="dxa"/>
        <w:jc w:val="left"/>
        <w:tblInd w:w="0" w:type="dxa"/>
        <w:tblLayout w:type="fixed"/>
        <w:tblCellMar>
          <w:top w:w="28" w:type="dxa"/>
          <w:left w:w="28" w:type="dxa"/>
          <w:bottom w:w="28" w:type="dxa"/>
          <w:right w:w="28" w:type="dxa"/>
        </w:tblCellMar>
      </w:tblPr>
      <w:tblGrid>
        <w:gridCol w:w="1675"/>
        <w:gridCol w:w="1476"/>
        <w:gridCol w:w="1484"/>
        <w:gridCol w:w="109"/>
        <w:gridCol w:w="109"/>
        <w:gridCol w:w="328"/>
        <w:gridCol w:w="328"/>
        <w:gridCol w:w="328"/>
        <w:gridCol w:w="328"/>
        <w:gridCol w:w="328"/>
        <w:gridCol w:w="328"/>
        <w:gridCol w:w="817"/>
        <w:gridCol w:w="109"/>
        <w:gridCol w:w="109"/>
        <w:gridCol w:w="109"/>
        <w:gridCol w:w="308"/>
        <w:gridCol w:w="308"/>
        <w:gridCol w:w="292"/>
        <w:gridCol w:w="109"/>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98" w:type="dxa"/>
            <w:gridSpan w:val="8"/>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19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GAAP Financial measures for the three months ended March 31, 2026 and 2025: </w:t>
      </w:r>
    </w:p>
    <w:tbl>
      <w:tblPr>
        <w:tblW w:w="8109"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92"/>
        <w:gridCol w:w="192"/>
        <w:gridCol w:w="192"/>
        <w:gridCol w:w="192"/>
        <w:gridCol w:w="372"/>
        <w:gridCol w:w="1457"/>
        <w:gridCol w:w="192"/>
        <w:gridCol w:w="109"/>
        <w:gridCol w:w="109"/>
        <w:gridCol w:w="109"/>
        <w:gridCol w:w="211"/>
        <w:gridCol w:w="82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268,063 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certain financial information regarding our reportable segments for the periods presented. General and administrative expenses are not allocated to the reportable segments.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21"/>
        <w:gridCol w:w="873"/>
        <w:gridCol w:w="879"/>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159,443 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9036" w:type="dxa"/>
        <w:jc w:val="left"/>
        <w:tblInd w:w="0" w:type="dxa"/>
        <w:tblLayout w:type="fixed"/>
        <w:tblCellMar>
          <w:top w:w="28" w:type="dxa"/>
          <w:left w:w="28" w:type="dxa"/>
          <w:bottom w:w="28" w:type="dxa"/>
          <w:right w:w="28" w:type="dxa"/>
        </w:tblCellMar>
      </w:tblPr>
      <w:tblGrid>
        <w:gridCol w:w="1674"/>
        <w:gridCol w:w="1469"/>
        <w:gridCol w:w="1477"/>
        <w:gridCol w:w="109"/>
        <w:gridCol w:w="109"/>
        <w:gridCol w:w="205"/>
        <w:gridCol w:w="205"/>
        <w:gridCol w:w="205"/>
        <w:gridCol w:w="205"/>
        <w:gridCol w:w="398"/>
        <w:gridCol w:w="1362"/>
        <w:gridCol w:w="205"/>
        <w:gridCol w:w="109"/>
        <w:gridCol w:w="109"/>
        <w:gridCol w:w="109"/>
        <w:gridCol w:w="211"/>
        <w:gridCol w:w="72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1"/>
        <w:gridCol w:w="3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2025, an affiliate of the Company held its memory care units in transition and is converting the facility into an assisted living community.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entered into as part of the acquisition agreement consummated on October 1, 2025. All amounts are included in Cost of services. Fees incurred under the transition services agreement were $2,815 for the 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Performance and Valuation Measures:</w:t>
      </w:r>
    </w:p>
    <w:p>
      <w:pPr>
        <w:pStyle w:val="TextBody"/>
        <w:bidi w:val="0"/>
        <w:spacing w:before="0" w:after="0"/>
        <w:ind w:left="0" w:right="0" w:firstLine="720"/>
        <w:jc w:val="left"/>
        <w:rPr/>
      </w:pPr>
      <w:r>
        <w:rPr/>
      </w:r>
    </w:p>
    <w:tbl>
      <w:tblPr>
        <w:tblW w:w="8405" w:type="dxa"/>
        <w:jc w:val="left"/>
        <w:tblInd w:w="0" w:type="dxa"/>
        <w:tblLayout w:type="fixed"/>
        <w:tblCellMar>
          <w:top w:w="28" w:type="dxa"/>
          <w:left w:w="28" w:type="dxa"/>
          <w:bottom w:w="28" w:type="dxa"/>
          <w:right w:w="28" w:type="dxa"/>
        </w:tblCellMar>
      </w:tblPr>
      <w:tblGrid>
        <w:gridCol w:w="1445"/>
        <w:gridCol w:w="1270"/>
        <w:gridCol w:w="1274"/>
        <w:gridCol w:w="109"/>
        <w:gridCol w:w="109"/>
        <w:gridCol w:w="205"/>
        <w:gridCol w:w="205"/>
        <w:gridCol w:w="205"/>
        <w:gridCol w:w="205"/>
        <w:gridCol w:w="398"/>
        <w:gridCol w:w="1362"/>
        <w:gridCol w:w="205"/>
        <w:gridCol w:w="109"/>
        <w:gridCol w:w="109"/>
        <w:gridCol w:w="109"/>
        <w:gridCol w:w="211"/>
        <w:gridCol w:w="72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Non-GAAP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Metrics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Metric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121" w:type="dxa"/>
        <w:jc w:val="left"/>
        <w:tblInd w:w="0" w:type="dxa"/>
        <w:tblLayout w:type="fixed"/>
        <w:tblCellMar>
          <w:top w:w="28" w:type="dxa"/>
          <w:left w:w="28" w:type="dxa"/>
          <w:bottom w:w="28" w:type="dxa"/>
          <w:right w:w="28" w:type="dxa"/>
        </w:tblCellMar>
      </w:tblPr>
      <w:tblGrid>
        <w:gridCol w:w="1342"/>
        <w:gridCol w:w="1178"/>
        <w:gridCol w:w="1185"/>
        <w:gridCol w:w="109"/>
        <w:gridCol w:w="109"/>
        <w:gridCol w:w="205"/>
        <w:gridCol w:w="205"/>
        <w:gridCol w:w="205"/>
        <w:gridCol w:w="205"/>
        <w:gridCol w:w="398"/>
        <w:gridCol w:w="1362"/>
        <w:gridCol w:w="205"/>
        <w:gridCol w:w="109"/>
        <w:gridCol w:w="109"/>
        <w:gridCol w:w="109"/>
        <w:gridCol w:w="211"/>
        <w:gridCol w:w="72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Non-GAAP Measures:</w:t>
            </w:r>
            <w:r>
              <w:rPr>
                <w:rFonts w:ascii="Times New Roman;serif" w:hAnsi="Times New Roman;serif"/>
                <w:b/>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measures, Consolidated EBITDA and Consolidated Adjusted EBITDA, and to the Non-GAAP valuation measure, Consolidated Adjusted EBITDAR, for the periods presented:</w:t>
      </w:r>
    </w:p>
    <w:tbl>
      <w:tblPr>
        <w:tblW w:w="9382" w:type="dxa"/>
        <w:jc w:val="left"/>
        <w:tblInd w:w="0" w:type="dxa"/>
        <w:tblLayout w:type="fixed"/>
        <w:tblCellMar>
          <w:top w:w="28" w:type="dxa"/>
          <w:left w:w="28" w:type="dxa"/>
          <w:bottom w:w="28" w:type="dxa"/>
          <w:right w:w="28" w:type="dxa"/>
        </w:tblCellMar>
      </w:tblPr>
      <w:tblGrid>
        <w:gridCol w:w="1677"/>
        <w:gridCol w:w="1475"/>
        <w:gridCol w:w="1483"/>
        <w:gridCol w:w="109"/>
        <w:gridCol w:w="109"/>
        <w:gridCol w:w="205"/>
        <w:gridCol w:w="205"/>
        <w:gridCol w:w="205"/>
        <w:gridCol w:w="205"/>
        <w:gridCol w:w="398"/>
        <w:gridCol w:w="1362"/>
        <w:gridCol w:w="205"/>
        <w:gridCol w:w="109"/>
        <w:gridCol w:w="109"/>
        <w:gridCol w:w="109"/>
        <w:gridCol w:w="211"/>
        <w:gridCol w:w="616"/>
        <w:gridCol w:w="109"/>
        <w:gridCol w:w="109"/>
        <w:gridCol w:w="109"/>
        <w:gridCol w:w="109"/>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8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65"/>
        <w:gridCol w:w="2720"/>
        <w:gridCol w:w="3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2025, an affiliate of the Company held its memory care units in transition and is converting the facility into an assisted living community.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entered into as part of the acquisition agreement consummated on October 1, 2025. All amounts are included in Cost of services. Fees incurred under the transition services agreement were $2,815 for the 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Segment Adjusted EBITDAR from Operations to Segment Adjusted EBITDA from Operations for the periods presented:</w:t>
      </w:r>
    </w:p>
    <w:p>
      <w:pPr>
        <w:pStyle w:val="TextBody"/>
        <w:bidi w:val="0"/>
        <w:spacing w:before="0" w:after="0"/>
        <w:ind w:left="0" w:right="0" w:firstLine="72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erif" w:hAnsi="Times New Roman;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term of the lease to which the asset applies,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allocate resources to enhance the financial performance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potential acquisition;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transformed operation’s performance;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evaluate the effectiveness of our operational strategies;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compare our operating performance to that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and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any income tax payments we may be required to make;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these non-cash charges do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compensate for these limitations by using Non-GAAP Financial Measures only to supplement net income on a basis prepared in accordance with GAAP in order to provide a more complete understanding of the factors and trends affecting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EBITDA as net income, adjusted for net income attributable to noncontrolling interest, before (a) interest expense (b) provision for income taxes and (c) 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Adjusted EBITDA by adjusting Consolidated EBITDA to exclude the effects of non-core business items, which for the reported periods include,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at start-up operations;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pPr>
      <w:r>
        <w:rPr>
          <w:color w:val="000000"/>
        </w:rPr>
        <w:t>•</w:t>
      </w:r>
      <w:r>
        <w:rPr>
          <w:rFonts w:ascii="Times New Roman;serif" w:hAnsi="Times New Roman;serif"/>
          <w:b w:val="false"/>
          <w:color w:val="000000"/>
          <w:sz w:val="20"/>
        </w:rPr>
        <w:t>acquisition related costs;</w:t>
      </w:r>
      <w:r>
        <w:rPr>
          <w:color w:val="000000"/>
          <w:shd w:fill="FFFFFF" w:val="clear"/>
        </w:rPr>
        <w:t xml:space="preserve"> </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 xml:space="preserve">activities associated with transitioning operations; </w:t>
      </w:r>
      <w:r>
        <w:rPr>
          <w:rFonts w:ascii="Times New Roman;serif" w:hAnsi="Times New Roman;serif"/>
          <w:b w:val="false"/>
          <w:color w:val="000000"/>
          <w:sz w:val="20"/>
          <w:shd w:fill="FFFFFF" w:val="clear"/>
        </w:rPr>
        <w:t>and</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other unusual, non-recurring, or redundant charges.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Valuation Measure</w:t>
      </w:r>
      <w:r>
        <w:rPr>
          <w:rFonts w:ascii="Times New Roman;serif" w:hAnsi="Times New Roman;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Consolidated Adjusted EBITDAR as one measure in determining the value of prospective acquisitions. It is also a measure commonly used by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Three Months Ended March 31, 2026 Compared to the Three Months Ended March 31, 2025 </w:t>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159,870 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$75.5 million, or 36.0%, during the three months ended March 31, 2026. We experienced growth of $69.2 million from increased operational performance in our Home Health and Hospice segment from increased admissions and census, primarily driven by newly acquired agencies when compared to the three months ended March 31, 2025. The growth in our Senior Living segment resulted in an increase in revenue of $6.3 million driven by acquired senior living communities and an improved average rate per occupied room and improved occupancy.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680"/>
        <w:gridCol w:w="1460"/>
        <w:gridCol w:w="1468"/>
        <w:gridCol w:w="223"/>
        <w:gridCol w:w="875"/>
        <w:gridCol w:w="115"/>
        <w:gridCol w:w="115"/>
        <w:gridCol w:w="115"/>
        <w:gridCol w:w="115"/>
        <w:gridCol w:w="223"/>
        <w:gridCol w:w="875"/>
        <w:gridCol w:w="115"/>
        <w:gridCol w:w="109"/>
        <w:gridCol w:w="109"/>
        <w:gridCol w:w="109"/>
        <w:gridCol w:w="211"/>
        <w:gridCol w:w="721"/>
        <w:gridCol w:w="109"/>
        <w:gridCol w:w="109"/>
        <w:gridCol w:w="109"/>
        <w:gridCol w:w="109"/>
        <w:gridCol w:w="255"/>
        <w:gridCol w:w="256"/>
        <w:gridCol w:w="620"/>
      </w:tblGrid>
      <w:tr>
        <w:trPr/>
        <w:tc>
          <w:tcPr>
            <w:tcW w:w="168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Medicare revenue per 60-day completed episode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hospice census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Home health and hospice revenue increased $69.2 million, or 43.3%, for the three months ended March 31, 2026 compared to the prior year quarter. Revenue grew due to an increase in certain key performance indicators, including an increase of 62.7% in total home health admissions, an increase in total hospice admissions of 27.0%, and an increase in average daily hospice census of 37.0% during the three months ended March 31, 2026 compared to the prior year quarter. Growth was also driven by the addition of thirty-seven home health and hospice operations between March 31, 2025 and March 31, 2026. Agencies acquired during calendar year 2025 and year-to-date March 31, 2026 drove an increase in revenue of $53.3 million, representing a 33.3% increase compared to the prior year quarter.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Living Services</w:t>
      </w:r>
    </w:p>
    <w:tbl>
      <w:tblPr>
        <w:tblW w:w="9353" w:type="dxa"/>
        <w:jc w:val="left"/>
        <w:tblInd w:w="0" w:type="dxa"/>
        <w:tblLayout w:type="fixed"/>
        <w:tblCellMar>
          <w:top w:w="28" w:type="dxa"/>
          <w:left w:w="28" w:type="dxa"/>
          <w:bottom w:w="28" w:type="dxa"/>
          <w:right w:w="28" w:type="dxa"/>
        </w:tblCellMar>
      </w:tblPr>
      <w:tblGrid>
        <w:gridCol w:w="1334"/>
        <w:gridCol w:w="1174"/>
        <w:gridCol w:w="1181"/>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Senior living revenue increased $6.3 million, or 12.6%, for the three months ended March 31, 2026 compared to the prior year quarter. Revenue grew due to a 3.8% increase in average monthly revenue per occupied unit and an increase of 10 basis points in occupancy between March 31, 2025</w:t>
      </w:r>
      <w:r>
        <w:rPr>
          <w:color w:val="000000"/>
          <w:shd w:fill="FFFFFF" w:val="clear"/>
        </w:rPr>
        <w:t xml:space="preserve"> </w:t>
      </w:r>
      <w:r>
        <w:rPr>
          <w:rFonts w:ascii="Times New Roman;serif" w:hAnsi="Times New Roman;serif"/>
          <w:b w:val="false"/>
          <w:color w:val="000000"/>
          <w:sz w:val="20"/>
          <w:shd w:fill="FFFFFF" w:val="clear"/>
        </w:rPr>
        <w:t xml:space="preserve">and March 31, 2026. </w:t>
      </w:r>
      <w:r>
        <w:rPr>
          <w:rFonts w:ascii="Times New Roman;serif" w:hAnsi="Times New Roman;serif"/>
          <w:b w:val="false"/>
          <w:color w:val="000000"/>
          <w:sz w:val="20"/>
        </w:rPr>
        <w:t xml:space="preserve">Growth was also driven by the addition of three senior living communities between March 31, 2025 and March 31, 2026. Communities acquired during calendar year 2025 and year-to-date March 31, 2026 drove an increase in revenue of $2.7 million, representing a 5.4% increase compared to the prior year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Cost of Services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rPr/>
      </w:pPr>
      <w:r>
        <w:rPr/>
      </w:r>
    </w:p>
    <w:tbl>
      <w:tblPr>
        <w:tblW w:w="7843" w:type="dxa"/>
        <w:jc w:val="left"/>
        <w:tblInd w:w="0" w:type="dxa"/>
        <w:tblLayout w:type="fixed"/>
        <w:tblCellMar>
          <w:top w:w="28" w:type="dxa"/>
          <w:left w:w="28" w:type="dxa"/>
          <w:bottom w:w="28" w:type="dxa"/>
          <w:right w:w="28" w:type="dxa"/>
        </w:tblCellMar>
      </w:tblPr>
      <w:tblGrid>
        <w:gridCol w:w="810"/>
        <w:gridCol w:w="710"/>
        <w:gridCol w:w="715"/>
        <w:gridCol w:w="224"/>
        <w:gridCol w:w="880"/>
        <w:gridCol w:w="116"/>
        <w:gridCol w:w="116"/>
        <w:gridCol w:w="116"/>
        <w:gridCol w:w="116"/>
        <w:gridCol w:w="224"/>
        <w:gridCol w:w="880"/>
        <w:gridCol w:w="116"/>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232,662 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consolidated cost of services increased $63.9 million, or 37.9%, for the three months ended March 31, 2026 when compared to the three months ended March 31, 2025. Cost of services as a percentage of revenue increased by 110 basis points from 80.4% to 81.5% for the three months ended March 31, 2026 when compared to the three months ended March 31, 2025.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p>
      <w:pPr>
        <w:pStyle w:val="TextBody"/>
        <w:bidi w:val="0"/>
        <w:spacing w:before="0" w:after="0"/>
        <w:jc w:val="both"/>
        <w:rPr/>
      </w:pPr>
      <w:r>
        <w:rPr/>
      </w:r>
    </w:p>
    <w:tbl>
      <w:tblPr>
        <w:tblW w:w="9495" w:type="dxa"/>
        <w:jc w:val="left"/>
        <w:tblInd w:w="0" w:type="dxa"/>
        <w:tblLayout w:type="fixed"/>
        <w:tblCellMar>
          <w:top w:w="28" w:type="dxa"/>
          <w:left w:w="28" w:type="dxa"/>
          <w:bottom w:w="28" w:type="dxa"/>
          <w:right w:w="28" w:type="dxa"/>
        </w:tblCellMar>
      </w:tblPr>
      <w:tblGrid>
        <w:gridCol w:w="1292"/>
        <w:gridCol w:w="1138"/>
        <w:gridCol w:w="1140"/>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$59.3 million, or 44.6%, for the three months ended March 31, 2026 when compared to the three months ended March 31, 2025, primarily due to increased volume of services provided and transition costs related to acquisitions. Cost of services as a percentage of revenue for the three months ended March 31, 2026 increased 80 basis points when compared to the three months ended March 31, 2025.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p>
      <w:pPr>
        <w:pStyle w:val="TextBody"/>
        <w:bidi w:val="0"/>
        <w:spacing w:before="0" w:after="0"/>
        <w:jc w:val="both"/>
        <w:rPr/>
      </w:pPr>
      <w:r>
        <w:rPr/>
      </w:r>
    </w:p>
    <w:tbl>
      <w:tblPr>
        <w:tblW w:w="9234" w:type="dxa"/>
        <w:jc w:val="left"/>
        <w:tblInd w:w="0" w:type="dxa"/>
        <w:tblLayout w:type="fixed"/>
        <w:tblCellMar>
          <w:top w:w="28" w:type="dxa"/>
          <w:left w:w="28" w:type="dxa"/>
          <w:bottom w:w="28" w:type="dxa"/>
          <w:right w:w="28" w:type="dxa"/>
        </w:tblCellMar>
      </w:tblPr>
      <w:tblGrid>
        <w:gridCol w:w="1292"/>
        <w:gridCol w:w="1138"/>
        <w:gridCol w:w="1140"/>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55"/>
        <w:gridCol w:w="256"/>
        <w:gridCol w:w="614"/>
      </w:tblGrid>
      <w:tr>
        <w:trP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related to our Senior Living Services segment increased $4.7 million, or 13.0%, for the three months ended March 31, 2026 when compared to the three months ended March 31, 2025, primarily due to increased wages and benefits and acquisition activity. As a percentage of revenue, costs of service increased by 20 basis points for the three months ended March 31, 2026 when compared to the three months ended March 31, 2025 primarily due to decreases in state relief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Rent—Cost of Services</w:t>
      </w:r>
      <w:r>
        <w:rPr>
          <w:rFonts w:ascii="Times New Roman;serif" w:hAnsi="Times New Roman;serif"/>
          <w:b w:val="false"/>
          <w:color w:val="000000"/>
          <w:sz w:val="20"/>
        </w:rPr>
        <w:t>. Rent expense increased 11.8% from $11.7 million to $13.1 million in the three months ended March 31, 2026 when compared to the three months ended March 31, 2025, primarily as a result of the new leases related to the acquired home health and hospice operations and senior living communities. Rent as a percentage of total revenue decreased 100 basis points from 5.6% for the three months ended March 31, 2025, compared to 4.6% for the three months ended March 31, 2026.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Our general and administrative expense increased $4.8 million, or 32.7%, from $14.8 million to $19.7 million for the three months ended March 31, 2026 when compared to the three months ended March 31, 2025. General and administrative expense as a percentage of revenue decreased 20 basis points from 7.1% to 6.9% during the period. The primary driver of the increase in general and administrative expense was due to an increase in payroll and related benefits and an increase in professional services related to acquisition activities for the three months ended March 31, 2026 when compared to the three months ended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 xml:space="preserve">Depreciation and amortization expense increased $0.7 million, or 38.3%, from $1.9 million to $2.6 million for the three months ended March 31, 2026 when compared to the three months ended March 31, 2025. The increase in depreciation and amortization was due to the increase in overall property and equipment, net balances driven in part by acquisition activity.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$3.8 million and $2.9 million, or 26.9% and 25.1% of earnings before income taxes, for the three months ended March 31, 2026 and 2025, respectively. The increase in the effective tax rate is primarily attributable to higher state income taxes driven by changes in the geographic mix of earnings, net of the related federal tax benefit.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net cash provided by operating activities and borrowings under our Amended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2025, Pennant entered into the First Amendment to Amended and Restated Credit Agreement (the “First Amendment”), which provides for an incremental term loan with an aggregate principal amount of $100.0 million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The Company used the proceeds of the Incremental Term Loans to refinance a portion of the outstanding revolving loans under the Amended Revolving Credit Facility and to pay fees and expenses incurred in connection with the First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2026,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252525"/>
          <w:sz w:val="20"/>
        </w:rPr>
        <w:t>As of</w:t>
      </w:r>
      <w:r>
        <w:rPr>
          <w:color w:val="000000"/>
        </w:rPr>
        <w:t xml:space="preserve"> </w:t>
      </w:r>
      <w:r>
        <w:rPr>
          <w:rFonts w:ascii="Times New Roman;serif" w:hAnsi="Times New Roman;serif"/>
          <w:b w:val="false"/>
          <w:color w:val="000000"/>
          <w:sz w:val="20"/>
        </w:rPr>
        <w:t xml:space="preserve">March 31, 2026, we had $4.9 million of cash and $174.6 million of available borrowing capacity on our Amended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generated through operations, and access to available borrowing capacity under our Amended Credit Agreement, will be sufficient to provide adequate liquidity for the next twelve months for both our operating activities and for opportunities of acquisition growth.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 of Cash Flows for the periods presented: </w:t>
      </w:r>
    </w:p>
    <w:tbl>
      <w:tblPr>
        <w:tblW w:w="7479" w:type="dxa"/>
        <w:jc w:val="left"/>
        <w:tblInd w:w="0" w:type="dxa"/>
        <w:tblLayout w:type="fixed"/>
        <w:tblCellMar>
          <w:top w:w="28" w:type="dxa"/>
          <w:left w:w="28" w:type="dxa"/>
          <w:bottom w:w="28" w:type="dxa"/>
          <w:right w:w="28" w:type="dxa"/>
        </w:tblCellMar>
      </w:tblPr>
      <w:tblGrid>
        <w:gridCol w:w="1525"/>
        <w:gridCol w:w="1343"/>
        <w:gridCol w:w="1347"/>
        <w:gridCol w:w="239"/>
        <w:gridCol w:w="785"/>
        <w:gridCol w:w="123"/>
        <w:gridCol w:w="123"/>
        <w:gridCol w:w="123"/>
        <w:gridCol w:w="123"/>
        <w:gridCol w:w="239"/>
        <w:gridCol w:w="905"/>
        <w:gridCol w:w="123"/>
        <w:gridCol w:w="109"/>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to the Three Months Ended March 31,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used in operating activities for the three months ended March 31, 2026 decreased by $17.8 million when compared to the three months ended March 31, 2025. The primary driver of this difference was an increase in net income of $1.8 million, an increase of $2.0 million in non-cash expenses, and an increase in cash flows from the change in operating assets and liabilities of $14.1 million, net.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for the three months ended March 31, 2026 decreased by $44.9 million compared to the three months ended March 31, 2025, primarily driven by a decrease in business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used in financing activities decreased by approximately $55.8 million for the three months ended March 31, 2026 compared to the three months ended March 31, 2025. The decrease was primarily due to a net decrease in the balance on our line of credit during the three months ended March 31, 2026 compared to the three months ended March 31, 2025. The three months ended March 31, 2025 included a large draw on our Amended Revolving Credit Facility related to acquisition activity.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continue to make draws and payments on our Amended Revolving Credit Facility, as described in Note 11, </w:t>
      </w:r>
      <w:r>
        <w:rPr>
          <w:rFonts w:ascii="Times New Roman;serif" w:hAnsi="Times New Roman;serif"/>
          <w:b w:val="false"/>
          <w:i/>
          <w:color w:val="000000"/>
          <w:sz w:val="20"/>
        </w:rPr>
        <w:t>Debt</w:t>
      </w:r>
      <w:r>
        <w:rPr>
          <w:rFonts w:ascii="Times New Roman;serif" w:hAnsi="Times New Roman;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to the Interim Financial Statements in Part I of this Quarterly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those transactions, there have been no other material changes to our total obligations during the period covered by this Quarterly Report outside of the normal course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Interest Rate Risk</w:t>
      </w:r>
      <w:r>
        <w:rPr>
          <w:rFonts w:ascii="Times New Roman;serif" w:hAnsi="Times New Roman;serif"/>
          <w:b w:val="false"/>
          <w:color w:val="000000"/>
          <w:sz w:val="20"/>
        </w:rPr>
        <w:t xml:space="preserve">. We are exposed to risks associated with market changes in interest rates. On July 31, 2024, Pennant entered into the Amended Credit Agreement, which provides for a revolving credit facility with a syndicate of banks with a borrowing capacity of $250.0 million. On November 3, 2025, Pennant entered into the First Amendment, which provides for an incremental term loan with an aggregate principal amount of $100.0 million. A 1.0% interest rate change would cause interest expense to change by approximately $1.7 million annually based upon our outstanding long-term debt as of March 31, 2026. We manage our exposure to this market risk by monitoring available financing alternatives.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have disclosed under the heading “Risk Factors” in the 2025 Annual Report risk factors that materially affect our business, financial condition or results of operations, and disclosed more recent events relevant to our business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You should carefully consider the risk factors set forth in the 2025 Annual Report and the other information set forth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filing of our 2025 Annual Report on February 26, 2026, the following addition has been made to the risk factors previously disclosed.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0"/>
        </w:rPr>
        <w:t>The Increasing Use of Artificial Intelligence Creates or Increases Regulatory and Business Risks That May Have a Material Impact on Our Results.</w:t>
      </w:r>
      <w:r>
        <w:rPr>
          <w:color w:val="000000"/>
        </w:rPr>
        <w:t xml:space="preserve"> </w:t>
      </w:r>
      <w:r>
        <w:rPr>
          <w:rFonts w:ascii="Times New Roman;serif" w:hAnsi="Times New Roman;serif"/>
          <w:b w:val="false"/>
          <w:color w:val="000000"/>
          <w:sz w:val="20"/>
        </w:rPr>
        <w:t>The use of artificial intelligence (“AI”) in technology is rapidly expanding. AI is embedded in or utilized by systems in ways that may or may not be apparent. The inherent complexity of AI models may make it difficult to understand how decisions are made. Inaccurate outputs due to biased training data, flawed algorithms, or other causes could lead to inappropriate recommendations or decisions. Utilizing AI may create new business associate relationships and heightened risks of data breaches or unauthorized use of protected health information. Laws and regulations relating to AI are changing rapidly at the state and federal level, which may increase compliance costs or render current technologies non-compliant.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Plan Election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Jason P. Steik, Chief Executive Officer, entered into a Rule 10b5-1 trading arrangement on March 10, 2026 (the "Rule 10b5-1 Plan"). Mr. Steik’s 10b5-1 Plan provides for the potential sale of only the number of shares of the Company’s common stock necessary to cover the tax obligations generated by the vesting of 7,600 shares of the Company's common stock between the adoption date of the Rule 10b5-1 Plan and its expiration on November 16, 2029.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Steik’s Rule 10b5-1 trading arrangement was entered into during an open trading window and is intended to satisfy the affirmative defense conditions of Rule 10b5-1(c) under the Securities Exchange Act of 1934, as amended, and the Company's policies regarding transactions in Company securities.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Bylaws of The Pennant Group, Inc., effective as of February 21, 2022 (incorporated by reference to Exhibit 3.1 to The Pennant Group, Inc.’s Current Report on Form 8-K (File No. 001-38900) filed with the on SEC February 22, 2022).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Pennant Group, Inc. Amended and Restated 2019 Omnibus Incentive Plan (incorporated by reference to Exhibit 4.5 to The Pennant Group, Inc.’s Registration Statement on Form S-8 (File No. 001-38900) filed with the SEC on July 7, 2025).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11q1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12q1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21q1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22q12026.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6fba94dde3e486fa3dcfdecc4a5e5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398" w:type="dxa"/>
        <w:jc w:val="left"/>
        <w:tblInd w:w="0" w:type="dxa"/>
        <w:tblLayout w:type="fixed"/>
        <w:tblCellMar>
          <w:top w:w="28" w:type="dxa"/>
          <w:left w:w="28" w:type="dxa"/>
          <w:bottom w:w="28" w:type="dxa"/>
          <w:right w:w="28" w:type="dxa"/>
        </w:tblCellMar>
      </w:tblPr>
      <w:tblGrid>
        <w:gridCol w:w="629"/>
        <w:gridCol w:w="553"/>
        <w:gridCol w:w="558"/>
        <w:gridCol w:w="328"/>
        <w:gridCol w:w="328"/>
        <w:gridCol w:w="328"/>
        <w:gridCol w:w="1940"/>
        <w:gridCol w:w="1940"/>
        <w:gridCol w:w="279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5870"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31"/>
        <w:gridCol w:w="731"/>
        <w:gridCol w:w="731"/>
        <w:gridCol w:w="731"/>
        <w:gridCol w:w="731"/>
        <w:gridCol w:w="7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w:t>
            </w:r>
          </w:p>
        </w:tc>
        <w:tc>
          <w:tcPr>
            <w:tcW w:w="44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4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7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March 31, 2026,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7"/>
        <w:gridCol w:w="587"/>
        <w:gridCol w:w="587"/>
        <w:gridCol w:w="655"/>
        <w:gridCol w:w="587"/>
        <w:gridCol w:w="587"/>
        <w:gridCol w:w="668"/>
        <w:gridCol w:w="587"/>
        <w:gridCol w:w="587"/>
        <w:gridCol w:w="587"/>
        <w:gridCol w:w="587"/>
        <w:gridCol w:w="587"/>
        <w:gridCol w:w="587"/>
        <w:gridCol w:w="587"/>
        <w:gridCol w:w="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6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March 31, 2026,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5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hyperlink" Target="https://www.sec.gov/Archives/edgar/data/1766400/000176640025000077/exhibit45pntgar2019incenti.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22172</Words>
  <Characters>125812</Characters>
  <CharactersWithSpaces>146663</CharactersWithSpaces>
  <Paragraphs>2554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