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6"/>
        </w:rPr>
      </w:pPr>
      <w:r>
        <w:rPr>
          <w:rFonts w:ascii="Times New Roman;sans-serif" w:hAnsi="Times New Roman;sans-serif"/>
          <w:b w:val="false"/>
          <w:color w:val="000000"/>
          <w:sz w:val="6"/>
        </w:rPr>
        <w:t>f</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88" w:before="0" w:after="0"/>
        <w:jc w:val="center"/>
        <w:rPr>
          <w:rFonts w:ascii="Times New Roman;sans-serif" w:hAnsi="Times New Roman;sans-serif"/>
          <w:b/>
          <w:color w:val="000000"/>
          <w:sz w:val="6"/>
        </w:rPr>
      </w:pPr>
      <w:r>
        <w:rPr>
          <w:rFonts w:ascii="Times New Roman;sans-serif" w:hAnsi="Times New Roman;sans-serif"/>
          <w:b/>
          <w:color w:val="000000"/>
          <w:sz w:val="6"/>
        </w:rPr>
        <w:t>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tbl>
      <w:tblPr>
        <w:tblW w:w="9432" w:type="dxa"/>
        <w:jc w:val="center"/>
        <w:tblInd w:w="0" w:type="dxa"/>
        <w:tblLayout w:type="fixed"/>
        <w:tblCellMar>
          <w:top w:w="28" w:type="dxa"/>
          <w:left w:w="28" w:type="dxa"/>
          <w:bottom w:w="28" w:type="dxa"/>
          <w:right w:w="28" w:type="dxa"/>
        </w:tblCellMar>
      </w:tblPr>
      <w:tblGrid>
        <w:gridCol w:w="124"/>
        <w:gridCol w:w="109"/>
        <w:gridCol w:w="109"/>
        <w:gridCol w:w="2657"/>
        <w:gridCol w:w="2657"/>
        <w:gridCol w:w="3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bidi w:val="0"/>
        <w:spacing w:lineRule="auto" w:line="288" w:before="0" w:after="0"/>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2024.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ind w:left="0" w:right="0" w:firstLine="720"/>
        <w:jc w:val="left"/>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r>
        <w:rPr>
          <w:rFonts w:ascii="Times New Roman;sans-serif" w:hAnsi="Times New Roman;sans-serif"/>
          <w:b/>
          <w:color w:val="000000"/>
          <w:sz w:val="18"/>
        </w:rPr>
        <w:t>.</w:t>
      </w:r>
    </w:p>
    <w:p>
      <w:pPr>
        <w:pStyle w:val="TextBody"/>
        <w:bidi w:val="0"/>
        <w:spacing w:lineRule="auto" w:line="288" w:before="100" w:after="283"/>
        <w:jc w:val="center"/>
        <w:rPr/>
      </w:pPr>
      <w:r>
        <w:rPr>
          <w:rFonts w:ascii="Times New Roman;sans-serif" w:hAnsi="Times New Roman;sans-serif"/>
          <w:b/>
          <w:color w:val="000000"/>
          <w:sz w:val="18"/>
        </w:rPr>
        <w:t xml:space="preserve">Commission file number: </w:t>
      </w:r>
      <w:r>
        <w:rPr>
          <w:rFonts w:ascii="Times New Roman;sans-serif" w:hAnsi="Times New Roman;sans-serif"/>
          <w:b w:val="false"/>
          <w:color w:val="000000"/>
          <w:sz w:val="20"/>
        </w:rPr>
        <w:t>001-38900</w:t>
      </w:r>
      <w:r>
        <w:rPr>
          <w:color w:val="000000"/>
        </w:rPr>
        <w:t xml:space="preserve"> </w:t>
      </w:r>
    </w:p>
    <w:p>
      <w:pPr>
        <w:pStyle w:val="TextBody"/>
        <w:bidi w:val="0"/>
        <w:spacing w:lineRule="auto" w:line="288" w:before="60" w:after="283"/>
        <w:jc w:val="center"/>
        <w:rPr>
          <w:rFonts w:ascii="Times New Roman;sans-serif" w:hAnsi="Times New Roman;sans-serif"/>
          <w:b/>
          <w:color w:val="000000"/>
          <w:sz w:val="6"/>
        </w:rPr>
      </w:pPr>
      <w:r>
        <w:rPr>
          <w:rFonts w:ascii="Times New Roman;sans-serif" w:hAnsi="Times New Roman;sans-serif"/>
          <w:b/>
          <w:color w:val="000000"/>
          <w:sz w:val="6"/>
        </w:rPr>
        <w:t>_______________________________________________________________________________________________________________________________________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40"/>
        </w:rPr>
      </w:pPr>
      <w:r>
        <w:rPr>
          <w:rFonts w:ascii="Times New Roman;sans-serif" w:hAnsi="Times New Roman;sans-serif"/>
          <w:b/>
          <w:color w:val="000000"/>
          <w:sz w:val="40"/>
        </w:rPr>
        <w:t>THE PENNANT GROUP,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4"/>
        <w:gridCol w:w="424"/>
        <w:gridCol w:w="606"/>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p>
      <w:pPr>
        <w:pStyle w:val="TextBody"/>
        <w:bidi w:val="0"/>
        <w:spacing w:lineRule="auto" w:line="288" w:before="0" w:after="0"/>
        <w:jc w:val="center"/>
        <w:rPr/>
      </w:pPr>
      <w:r>
        <w:rPr>
          <w:rFonts w:ascii="Times New Roman;sans-serif" w:hAnsi="Times New Roman;sans-serif"/>
          <w:b/>
          <w:color w:val="000000"/>
          <w:sz w:val="20"/>
        </w:rPr>
        <w:t>1675 East Riverside Drive</w:t>
      </w:r>
      <w:r>
        <w:rPr>
          <w:rFonts w:ascii="Times New Roman;sans-serif" w:hAnsi="Times New Roman;sans-serif"/>
          <w:b/>
          <w:color w:val="000000"/>
          <w:sz w:val="18"/>
        </w:rPr>
        <w:t xml:space="preserve">, </w:t>
      </w:r>
      <w:r>
        <w:rPr>
          <w:rFonts w:ascii="Times New Roman;sans-serif" w:hAnsi="Times New Roman;sans-serif"/>
          <w:b/>
          <w:color w:val="000000"/>
          <w:sz w:val="20"/>
        </w:rPr>
        <w:t>Suite 150</w:t>
      </w:r>
      <w:r>
        <w:rPr>
          <w:rFonts w:ascii="Times New Roman;sans-serif" w:hAnsi="Times New Roman;sans-serif"/>
          <w:b/>
          <w:color w:val="000000"/>
          <w:sz w:val="18"/>
        </w:rPr>
        <w:t xml:space="preserve">, </w:t>
      </w:r>
      <w:r>
        <w:rPr>
          <w:rFonts w:ascii="Times New Roman;sans-serif" w:hAnsi="Times New Roman;sans-serif"/>
          <w:b/>
          <w:color w:val="000000"/>
          <w:sz w:val="20"/>
        </w:rPr>
        <w:t>Eagle</w:t>
      </w:r>
      <w:r>
        <w:rPr>
          <w:rFonts w:ascii="Times New Roman;sans-serif" w:hAnsi="Times New Roman;sans-serif"/>
          <w:b/>
          <w:color w:val="000000"/>
          <w:sz w:val="18"/>
        </w:rPr>
        <w:t xml:space="preserve">, </w:t>
      </w:r>
      <w:r>
        <w:rPr>
          <w:rFonts w:ascii="Times New Roman;sans-serif" w:hAnsi="Times New Roman;sans-serif"/>
          <w:b/>
          <w:color w:val="000000"/>
          <w:sz w:val="20"/>
        </w:rPr>
        <w:t xml:space="preserve">ID </w:t>
      </w:r>
      <w:r>
        <w:rPr>
          <w:rFonts w:ascii="Times New Roman;sans-serif" w:hAnsi="Times New Roman;sans-serif"/>
          <w:b/>
          <w:color w:val="000000"/>
          <w:sz w:val="18"/>
        </w:rPr>
        <w:t xml:space="preserve">83616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and Zip Code)</w:t>
      </w:r>
    </w:p>
    <w:p>
      <w:pPr>
        <w:pStyle w:val="TextBody"/>
        <w:bidi w:val="0"/>
        <w:spacing w:lineRule="auto" w:line="288" w:before="0" w:after="0"/>
        <w:jc w:val="center"/>
        <w:rPr/>
      </w:pPr>
      <w:r>
        <w:rPr>
          <w:rFonts w:ascii="Times New Roman;sans-serif" w:hAnsi="Times New Roman;sans-serif"/>
          <w:b/>
          <w:color w:val="000000"/>
          <w:sz w:val="20"/>
        </w:rPr>
        <w:t>(208)</w:t>
      </w:r>
      <w:r>
        <w:rPr>
          <w:color w:val="000000"/>
        </w:rPr>
        <w:t xml:space="preserve"> </w:t>
      </w:r>
      <w:r>
        <w:rPr>
          <w:rFonts w:ascii="Times New Roman;sans-serif" w:hAnsi="Times New Roman;sans-serif"/>
          <w:b/>
          <w:color w:val="000000"/>
          <w:sz w:val="18"/>
        </w:rPr>
        <w:t>506-6100</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6"/>
        </w:rPr>
      </w:pPr>
      <w:r>
        <w:rPr>
          <w:rFonts w:ascii="Times New Roman;sans-serif" w:hAnsi="Times New Roman;sans-serif"/>
          <w:b/>
          <w:color w:val="000000"/>
          <w:sz w:val="6"/>
        </w:rPr>
        <w:t>__________________________________________________________________________________________________________________________________________________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Exchange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0" w:after="0"/>
        <w:ind w:left="0" w:right="0" w:firstLine="495"/>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Exchange Act: None</w:t>
      </w:r>
    </w:p>
    <w:p>
      <w:pPr>
        <w:pStyle w:val="TextBody"/>
        <w:bidi w:val="0"/>
        <w:spacing w:before="0" w:after="0"/>
        <w:jc w:val="center"/>
        <w:rPr/>
      </w:pPr>
      <w:r>
        <w:rPr/>
      </w:r>
    </w:p>
    <w:p>
      <w:pPr>
        <w:pStyle w:val="TextBody"/>
        <w:bidi w:val="0"/>
        <w:spacing w:lineRule="auto" w:line="264" w:before="0" w:after="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color w:val="000000"/>
        </w:rPr>
        <w:t>☒</w:t>
      </w:r>
      <w:r>
        <w:rPr>
          <w:rFonts w:ascii="Times New Roman;sans-serif" w:hAnsi="Times New Roman;sans-serif"/>
          <w:b w:val="false"/>
          <w:color w:val="000000"/>
          <w:sz w:val="18"/>
        </w:rPr>
        <w:t xml:space="preserve">Yes </w:t>
      </w:r>
      <w:r>
        <w:rPr>
          <w:color w:val="000000"/>
        </w:rPr>
        <w:t>☐</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if the registrant is not required to file reports pursuant to Section 13 or Section 15(d) of the Act.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before="0" w:after="0"/>
        <w:jc w:val="left"/>
        <w:rPr/>
      </w:pPr>
      <w:r>
        <w:rPr/>
      </w:r>
    </w:p>
    <w:p>
      <w:pPr>
        <w:pStyle w:val="TextBody"/>
        <w:bidi w:val="0"/>
        <w:spacing w:lineRule="auto" w:line="264"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before="0" w:after="0"/>
        <w:ind w:left="0" w:right="0" w:firstLine="495"/>
        <w:jc w:val="both"/>
        <w:rPr/>
      </w:pPr>
      <w:r>
        <w:rPr/>
      </w:r>
    </w:p>
    <w:p>
      <w:pPr>
        <w:pStyle w:val="TextBody"/>
        <w:bidi w:val="0"/>
        <w:spacing w:lineRule="auto" w:line="264" w:before="0" w:after="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before="0" w:after="0"/>
        <w:ind w:left="0" w:right="0" w:firstLine="495"/>
        <w:jc w:val="left"/>
        <w:rPr/>
      </w:pPr>
      <w:r>
        <w:rPr/>
      </w:r>
    </w:p>
    <w:p>
      <w:pPr>
        <w:pStyle w:val="TextBody"/>
        <w:bidi w:val="0"/>
        <w:spacing w:lineRule="auto" w:line="26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64" w:before="0" w:after="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64" w:before="0" w:after="0"/>
        <w:jc w:val="both"/>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64" w:before="0" w:after="0"/>
        <w:jc w:val="left"/>
        <w:rPr/>
      </w:pPr>
      <w:r>
        <w:rPr>
          <w:rFonts w:ascii="Times New Roman;sans-serif" w:hAnsi="Times New Roman;sans-serif"/>
          <w:b w:val="false"/>
          <w:color w:val="000000"/>
          <w:sz w:val="18"/>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64" w:before="0" w:after="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ind w:left="0" w:right="0" w:firstLine="495"/>
        <w:jc w:val="left"/>
        <w:rPr/>
      </w:pPr>
      <w:r>
        <w:rPr/>
      </w:r>
    </w:p>
    <w:p>
      <w:pPr>
        <w:pStyle w:val="TextBody"/>
        <w:bidi w:val="0"/>
        <w:spacing w:lineRule="auto" w:line="264" w:before="0" w:after="0"/>
        <w:jc w:val="both"/>
        <w:rPr/>
      </w:pPr>
      <w:r>
        <w:rPr>
          <w:rFonts w:ascii="Times New Roman;sans-serif" w:hAnsi="Times New Roman;sans-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ans-serif" w:hAnsi="Times New Roman;sans-serif"/>
          <w:b w:val="false"/>
          <w:color w:val="000000"/>
          <w:sz w:val="18"/>
        </w:rPr>
        <w:t xml:space="preserve">Yes </w:t>
      </w:r>
      <w:r>
        <w:rPr>
          <w:color w:val="000000"/>
        </w:rPr>
        <w:t xml:space="preserve">☒ </w:t>
      </w:r>
      <w:r>
        <w:rPr>
          <w:rFonts w:ascii="Times New Roman;sans-serif" w:hAnsi="Times New Roman;sans-serif"/>
          <w:b w:val="false"/>
          <w:color w:val="000000"/>
          <w:sz w:val="18"/>
        </w:rPr>
        <w:t>No</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February 24, 2025, 34,429,989 shares of the registrant’s common stock were outstanding. The aggregate market value of the shares of common stock held by non-affiliates of the registrant on the last business day of the registrant's most recently completed second fiscal quarter (June 30, 2024) was approximately $669,703,000 based upon the closing price of the common stock on such date. For purposes of this calculation, the registrant has excluded the market value of all common stock beneficially owned by all executive officers and directors of the registrant.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 on Incorporation by Reference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Part III of this Form 10-K incorporates information by reference from the Registrant's definitive proxy statement on Schedule 14A for the Registrant's 2025 Annual Meeting of Stockholders to be filed within 120 days after the close of the fiscal year covered by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318"/>
        <w:gridCol w:w="318"/>
        <w:gridCol w:w="325"/>
        <w:gridCol w:w="2813"/>
        <w:gridCol w:w="2787"/>
        <w:gridCol w:w="281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
              <w:r>
                <w:rPr>
                  <w:rStyle w:val="InternetLink"/>
                  <w:rFonts w:ascii="Times New Roman;sans-serif" w:hAnsi="Times New Roman;sans-serif"/>
                  <w:b w:val="false"/>
                  <w:color w:val="0000FF"/>
                  <w:sz w:val="20"/>
                  <w:u w:val="single"/>
                </w:rPr>
                <w:t>Item 1.</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
              <w:r>
                <w:rPr>
                  <w:rStyle w:val="InternetLink"/>
                  <w:rFonts w:ascii="Times New Roman;sans-serif" w:hAnsi="Times New Roman;sans-serif"/>
                  <w:b w:val="false"/>
                  <w:color w:val="0000FF"/>
                  <w:sz w:val="20"/>
                  <w:u w:val="single"/>
                </w:rPr>
                <w:t>Business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9">
              <w:r>
                <w:rPr>
                  <w:rStyle w:val="InternetLink"/>
                  <w:rFonts w:ascii="Times New Roman;sans-serif" w:hAnsi="Times New Roman;sans-serif"/>
                  <w:b w:val="false"/>
                  <w:color w:val="0000FF"/>
                  <w:sz w:val="20"/>
                  <w:u w:val="single"/>
                </w:rPr>
                <w:t>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58">
              <w:r>
                <w:rPr>
                  <w:rStyle w:val="InternetLink"/>
                  <w:rFonts w:ascii="Times New Roman;sans-serif" w:hAnsi="Times New Roman;sans-serif"/>
                  <w:b w:val="false"/>
                  <w:color w:val="0000FF"/>
                  <w:sz w:val="20"/>
                  <w:u w:val="single"/>
                </w:rPr>
                <w:t>Item1A.</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58">
              <w:r>
                <w:rPr>
                  <w:rStyle w:val="InternetLink"/>
                  <w:rFonts w:ascii="Times New Roman;sans-serif" w:hAnsi="Times New Roman;sans-serif"/>
                  <w:b w:val="false"/>
                  <w:color w:val="0000FF"/>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58">
              <w:r>
                <w:rPr>
                  <w:rStyle w:val="InternetLink"/>
                  <w:rFonts w:ascii="Times New Roman;sans-serif" w:hAnsi="Times New Roman;sans-serif"/>
                  <w:b w:val="false"/>
                  <w:color w:val="0000FF"/>
                  <w:sz w:val="20"/>
                  <w:u w:val="single"/>
                </w:rPr>
                <w:t>17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61">
              <w:r>
                <w:rPr>
                  <w:rStyle w:val="InternetLink"/>
                  <w:rFonts w:ascii="Times New Roman;sans-serif" w:hAnsi="Times New Roman;sans-serif"/>
                  <w:b w:val="false"/>
                  <w:color w:val="0000FF"/>
                  <w:sz w:val="20"/>
                  <w:u w:val="single"/>
                </w:rPr>
                <w:t>Item 1B.</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61">
              <w:r>
                <w:rPr>
                  <w:rStyle w:val="InternetLink"/>
                  <w:rFonts w:ascii="Times New Roman;sans-serif" w:hAnsi="Times New Roman;sans-serif"/>
                  <w:b w:val="false"/>
                  <w:color w:val="0000FF"/>
                  <w:sz w:val="20"/>
                  <w:u w:val="single"/>
                </w:rPr>
                <w:t>Unresolved Staff Comments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61">
              <w:r>
                <w:rPr>
                  <w:rStyle w:val="InternetLink"/>
                  <w:rFonts w:ascii="Times New Roman;sans-serif" w:hAnsi="Times New Roman;sans-serif"/>
                  <w:b w:val="false"/>
                  <w:color w:val="0000FF"/>
                  <w:sz w:val="20"/>
                  <w:u w:val="single"/>
                </w:rPr>
                <w:t>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64">
              <w:r>
                <w:rPr>
                  <w:rStyle w:val="InternetLink"/>
                  <w:rFonts w:ascii="Times New Roman;sans-serif" w:hAnsi="Times New Roman;sans-serif"/>
                  <w:b w:val="false"/>
                  <w:color w:val="0000FF"/>
                  <w:sz w:val="20"/>
                  <w:u w:val="single"/>
                </w:rPr>
                <w:t>Item 1C.</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64">
              <w:r>
                <w:rPr>
                  <w:rStyle w:val="InternetLink"/>
                  <w:rFonts w:ascii="Times New Roman;sans-serif" w:hAnsi="Times New Roman;sans-serif"/>
                  <w:b w:val="false"/>
                  <w:color w:val="0000FF"/>
                  <w:sz w:val="20"/>
                  <w:u w:val="single"/>
                </w:rPr>
                <w:t>Cybersecurity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64">
              <w:r>
                <w:rPr>
                  <w:rStyle w:val="InternetLink"/>
                  <w:rFonts w:ascii="Times New Roman;sans-serif" w:hAnsi="Times New Roman;sans-serif"/>
                  <w:b w:val="false"/>
                  <w:color w:val="0000FF"/>
                  <w:sz w:val="20"/>
                  <w:u w:val="single"/>
                </w:rPr>
                <w:t>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67">
              <w:r>
                <w:rPr>
                  <w:rStyle w:val="InternetLink"/>
                  <w:rFonts w:ascii="Times New Roman;sans-serif" w:hAnsi="Times New Roman;sans-serif"/>
                  <w:b w:val="false"/>
                  <w:color w:val="0000FF"/>
                  <w:sz w:val="20"/>
                  <w:u w:val="single"/>
                </w:rPr>
                <w:t xml:space="preserve">Item 2. </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67">
              <w:r>
                <w:rPr>
                  <w:rStyle w:val="InternetLink"/>
                  <w:rFonts w:ascii="Times New Roman;sans-serif" w:hAnsi="Times New Roman;sans-serif"/>
                  <w:b w:val="false"/>
                  <w:color w:val="0000FF"/>
                  <w:sz w:val="20"/>
                  <w:u w:val="single"/>
                </w:rPr>
                <w:t>Properties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67">
              <w:r>
                <w:rPr>
                  <w:rStyle w:val="InternetLink"/>
                  <w:rFonts w:ascii="Times New Roman;sans-serif" w:hAnsi="Times New Roman;sans-serif"/>
                  <w:b w:val="false"/>
                  <w:color w:val="0000FF"/>
                  <w:sz w:val="20"/>
                  <w:u w:val="single"/>
                </w:rPr>
                <w:t>27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70">
              <w:r>
                <w:rPr>
                  <w:rStyle w:val="InternetLink"/>
                  <w:rFonts w:ascii="Times New Roman;sans-serif" w:hAnsi="Times New Roman;sans-serif"/>
                  <w:b w:val="false"/>
                  <w:color w:val="0000FF"/>
                  <w:sz w:val="20"/>
                  <w:u w:val="single"/>
                </w:rPr>
                <w:t>Item 3.</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70">
              <w:r>
                <w:rPr>
                  <w:rStyle w:val="InternetLink"/>
                  <w:rFonts w:ascii="Times New Roman;sans-serif" w:hAnsi="Times New Roman;sans-serif"/>
                  <w:b w:val="false"/>
                  <w:color w:val="0000FF"/>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70">
              <w:r>
                <w:rPr>
                  <w:rStyle w:val="InternetLink"/>
                  <w:rFonts w:ascii="Times New Roman;sans-serif" w:hAnsi="Times New Roman;sans-serif"/>
                  <w:b w:val="false"/>
                  <w:color w:val="0000FF"/>
                  <w:sz w:val="20"/>
                  <w:u w:val="single"/>
                </w:rPr>
                <w:t>28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73">
              <w:r>
                <w:rPr>
                  <w:rStyle w:val="InternetLink"/>
                  <w:rFonts w:ascii="Times New Roman;sans-serif" w:hAnsi="Times New Roman;sans-serif"/>
                  <w:b w:val="false"/>
                  <w:color w:val="0000FF"/>
                  <w:sz w:val="20"/>
                  <w:u w:val="single"/>
                </w:rPr>
                <w:t>Item 4.</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73">
              <w:r>
                <w:rPr>
                  <w:rStyle w:val="InternetLink"/>
                  <w:rFonts w:ascii="Times New Roman;sans-serif" w:hAnsi="Times New Roman;sans-serif"/>
                  <w:b w:val="false"/>
                  <w:color w:val="0000FF"/>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73">
              <w:r>
                <w:rPr>
                  <w:rStyle w:val="InternetLink"/>
                  <w:rFonts w:ascii="Times New Roman;sans-serif" w:hAnsi="Times New Roman;sans-serif"/>
                  <w:b w:val="false"/>
                  <w:color w:val="0000FF"/>
                  <w:sz w:val="20"/>
                  <w:u w:val="single"/>
                </w:rPr>
                <w:t>28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79">
              <w:r>
                <w:rPr>
                  <w:rStyle w:val="InternetLink"/>
                  <w:rFonts w:ascii="Times New Roman;sans-serif" w:hAnsi="Times New Roman;sans-serif"/>
                  <w:b w:val="false"/>
                  <w:color w:val="0000FF"/>
                  <w:sz w:val="20"/>
                  <w:u w:val="single"/>
                </w:rPr>
                <w:t xml:space="preserve">Item 5. </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79">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79">
              <w:r>
                <w:rPr>
                  <w:rStyle w:val="InternetLink"/>
                  <w:rFonts w:ascii="Times New Roman;sans-serif" w:hAnsi="Times New Roman;sans-serif"/>
                  <w:b w:val="false"/>
                  <w:color w:val="0000FF"/>
                  <w:sz w:val="20"/>
                  <w:u w:val="single"/>
                </w:rPr>
                <w:t>28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88">
              <w:r>
                <w:rPr>
                  <w:rStyle w:val="InternetLink"/>
                  <w:rFonts w:ascii="Times New Roman;sans-serif" w:hAnsi="Times New Roman;sans-serif"/>
                  <w:b w:val="false"/>
                  <w:color w:val="0000FF"/>
                  <w:sz w:val="20"/>
                  <w:u w:val="single"/>
                </w:rPr>
                <w:t>Item 6.</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88">
              <w:r>
                <w:rPr>
                  <w:rStyle w:val="InternetLink"/>
                  <w:rFonts w:ascii="Times New Roman;sans-serif" w:hAnsi="Times New Roman;sans-serif"/>
                  <w:b w:val="false"/>
                  <w:color w:val="0000FF"/>
                  <w:sz w:val="20"/>
                  <w:u w:val="single"/>
                </w:rPr>
                <w:t>[Reserved]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88">
              <w:r>
                <w:rPr>
                  <w:rStyle w:val="InternetLink"/>
                  <w:rFonts w:ascii="Times New Roman;sans-serif" w:hAnsi="Times New Roman;sans-serif"/>
                  <w:b w:val="false"/>
                  <w:color w:val="0000FF"/>
                  <w:sz w:val="20"/>
                  <w:u w:val="single"/>
                </w:rPr>
                <w:t>29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91">
              <w:r>
                <w:rPr>
                  <w:rStyle w:val="InternetLink"/>
                  <w:rFonts w:ascii="Times New Roman;sans-serif" w:hAnsi="Times New Roman;sans-serif"/>
                  <w:b w:val="false"/>
                  <w:color w:val="0000FF"/>
                  <w:sz w:val="20"/>
                  <w:u w:val="single"/>
                </w:rPr>
                <w:t>Item 7.</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91">
              <w:r>
                <w:rPr>
                  <w:rStyle w:val="InternetLink"/>
                  <w:rFonts w:ascii="Times New Roman;sans-serif" w:hAnsi="Times New Roman;sans-serif"/>
                  <w:b w:val="false"/>
                  <w:color w:val="0000FF"/>
                  <w:sz w:val="20"/>
                  <w:u w:val="single"/>
                </w:rPr>
                <w:t>29</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45">
              <w:r>
                <w:rPr>
                  <w:rStyle w:val="InternetLink"/>
                  <w:rFonts w:ascii="Times New Roman;sans-serif" w:hAnsi="Times New Roman;sans-serif"/>
                  <w:b w:val="false"/>
                  <w:color w:val="0000FF"/>
                  <w:sz w:val="20"/>
                  <w:u w:val="single"/>
                </w:rPr>
                <w:t>Item 7A.</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45">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45">
              <w:r>
                <w:rPr>
                  <w:rStyle w:val="InternetLink"/>
                  <w:rFonts w:ascii="Times New Roman;sans-serif" w:hAnsi="Times New Roman;sans-serif"/>
                  <w:b w:val="false"/>
                  <w:color w:val="0000FF"/>
                  <w:sz w:val="20"/>
                  <w:u w:val="single"/>
                </w:rPr>
                <w:t>44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48">
              <w:r>
                <w:rPr>
                  <w:rStyle w:val="InternetLink"/>
                  <w:rFonts w:ascii="Times New Roman;sans-serif" w:hAnsi="Times New Roman;sans-serif"/>
                  <w:b w:val="false"/>
                  <w:color w:val="0000FF"/>
                  <w:sz w:val="20"/>
                  <w:u w:val="single"/>
                </w:rPr>
                <w:t>Item 8.</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48">
              <w:r>
                <w:rPr>
                  <w:rStyle w:val="InternetLink"/>
                  <w:rFonts w:ascii="Times New Roman;sans-serif" w:hAnsi="Times New Roman;sans-serif"/>
                  <w:b w:val="false"/>
                  <w:color w:val="0000FF"/>
                  <w:sz w:val="20"/>
                  <w:u w:val="single"/>
                </w:rPr>
                <w:t>Financial Statements and Supplementary Data</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48">
              <w:r>
                <w:rPr>
                  <w:rStyle w:val="InternetLink"/>
                  <w:rFonts w:ascii="Times New Roman;sans-serif" w:hAnsi="Times New Roman;sans-serif"/>
                  <w:b w:val="false"/>
                  <w:color w:val="0000FF"/>
                  <w:sz w:val="20"/>
                  <w:u w:val="single"/>
                </w:rPr>
                <w:t>44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51">
              <w:r>
                <w:rPr>
                  <w:rStyle w:val="InternetLink"/>
                  <w:rFonts w:ascii="Times New Roman;sans-serif" w:hAnsi="Times New Roman;sans-serif"/>
                  <w:b w:val="false"/>
                  <w:color w:val="0000FF"/>
                  <w:sz w:val="20"/>
                  <w:u w:val="single"/>
                </w:rPr>
                <w:t>Item 9.</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5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51">
              <w:r>
                <w:rPr>
                  <w:rStyle w:val="InternetLink"/>
                  <w:rFonts w:ascii="Times New Roman;sans-serif" w:hAnsi="Times New Roman;sans-serif"/>
                  <w:b w:val="false"/>
                  <w:color w:val="0000FF"/>
                  <w:sz w:val="20"/>
                  <w:u w:val="single"/>
                </w:rPr>
                <w:t>44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54">
              <w:r>
                <w:rPr>
                  <w:rStyle w:val="InternetLink"/>
                  <w:rFonts w:ascii="Times New Roman;sans-serif" w:hAnsi="Times New Roman;sans-serif"/>
                  <w:b w:val="false"/>
                  <w:color w:val="0000FF"/>
                  <w:sz w:val="20"/>
                  <w:u w:val="single"/>
                </w:rPr>
                <w:t>Item 9A.</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54">
              <w:r>
                <w:rPr>
                  <w:rStyle w:val="InternetLink"/>
                  <w:rFonts w:ascii="Times New Roman;sans-serif" w:hAnsi="Times New Roman;sans-serif"/>
                  <w:b w:val="false"/>
                  <w:color w:val="0000FF"/>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54">
              <w:r>
                <w:rPr>
                  <w:rStyle w:val="InternetLink"/>
                  <w:rFonts w:ascii="Times New Roman;sans-serif" w:hAnsi="Times New Roman;sans-serif"/>
                  <w:b w:val="false"/>
                  <w:color w:val="0000FF"/>
                  <w:sz w:val="20"/>
                  <w:u w:val="single"/>
                </w:rPr>
                <w:t>44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60">
              <w:r>
                <w:rPr>
                  <w:rStyle w:val="InternetLink"/>
                  <w:rFonts w:ascii="Times New Roman;sans-serif" w:hAnsi="Times New Roman;sans-serif"/>
                  <w:b w:val="false"/>
                  <w:color w:val="0000FF"/>
                  <w:sz w:val="20"/>
                  <w:u w:val="single"/>
                </w:rPr>
                <w:t>Item 9B.</w:t>
              </w:r>
            </w:hyperlink>
            <w:r>
              <w:rPr>
                <w:color w:val="000000"/>
              </w:rPr>
              <w:t xml:space="preserve"> </w:t>
            </w:r>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60">
              <w:r>
                <w:rPr>
                  <w:rStyle w:val="InternetLink"/>
                  <w:rFonts w:ascii="Times New Roman;sans-serif" w:hAnsi="Times New Roman;sans-serif"/>
                  <w:b w:val="false"/>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60">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66">
              <w:r>
                <w:rPr>
                  <w:rStyle w:val="InternetLink"/>
                  <w:rFonts w:ascii="Times New Roman;sans-serif" w:hAnsi="Times New Roman;sans-serif"/>
                  <w:b w:val="false"/>
                  <w:color w:val="0000FF"/>
                  <w:sz w:val="20"/>
                  <w:u w:val="single"/>
                </w:rPr>
                <w:t>Item 9C.</w:t>
              </w:r>
            </w:hyperlink>
            <w:r>
              <w:rPr>
                <w:color w:val="000000"/>
              </w:rPr>
              <w:t xml:space="preserve"> </w:t>
            </w:r>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66">
              <w:r>
                <w:rPr>
                  <w:rStyle w:val="InternetLink"/>
                  <w:rFonts w:ascii="Times New Roman;sans-serif" w:hAnsi="Times New Roman;sans-serif"/>
                  <w:b w:val="false"/>
                  <w:color w:val="0000FF"/>
                  <w:sz w:val="20"/>
                  <w:u w:val="single"/>
                </w:rPr>
                <w:t>Disclosure Regarding Foreign Jurisdictions that Prevent Inspections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66">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72">
              <w:r>
                <w:rPr>
                  <w:rStyle w:val="InternetLink"/>
                  <w:rFonts w:ascii="Times New Roman;sans-serif" w:hAnsi="Times New Roman;sans-serif"/>
                  <w:b w:val="false"/>
                  <w:color w:val="0000FF"/>
                  <w:sz w:val="20"/>
                  <w:u w:val="single"/>
                </w:rPr>
                <w:t>Item 10.</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72">
              <w:r>
                <w:rPr>
                  <w:rStyle w:val="InternetLink"/>
                  <w:rFonts w:ascii="Times New Roman;sans-serif" w:hAnsi="Times New Roman;sans-serif"/>
                  <w:b w:val="false"/>
                  <w:color w:val="0000FF"/>
                  <w:sz w:val="20"/>
                  <w:u w:val="single"/>
                </w:rPr>
                <w:t>Directors, Executive Officers and Corporate Governance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72">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75">
              <w:r>
                <w:rPr>
                  <w:rStyle w:val="InternetLink"/>
                  <w:rFonts w:ascii="Times New Roman;sans-serif" w:hAnsi="Times New Roman;sans-serif"/>
                  <w:b w:val="false"/>
                  <w:color w:val="0000FF"/>
                  <w:sz w:val="20"/>
                  <w:u w:val="single"/>
                </w:rPr>
                <w:t>Item 11.</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75">
              <w:r>
                <w:rPr>
                  <w:rStyle w:val="InternetLink"/>
                  <w:rFonts w:ascii="Times New Roman;sans-serif" w:hAnsi="Times New Roman;sans-serif"/>
                  <w:b w:val="false"/>
                  <w:color w:val="0000FF"/>
                  <w:sz w:val="20"/>
                  <w:u w:val="single"/>
                </w:rPr>
                <w:t>Executive Compensation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75">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78">
              <w:r>
                <w:rPr>
                  <w:rStyle w:val="InternetLink"/>
                  <w:rFonts w:ascii="Times New Roman;sans-serif" w:hAnsi="Times New Roman;sans-serif"/>
                  <w:b w:val="false"/>
                  <w:color w:val="0000FF"/>
                  <w:sz w:val="20"/>
                  <w:u w:val="single"/>
                </w:rPr>
                <w:t xml:space="preserve">Item 12. </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78">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78">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81">
              <w:r>
                <w:rPr>
                  <w:rStyle w:val="InternetLink"/>
                  <w:rFonts w:ascii="Times New Roman;sans-serif" w:hAnsi="Times New Roman;sans-serif"/>
                  <w:b w:val="false"/>
                  <w:color w:val="0000FF"/>
                  <w:sz w:val="20"/>
                  <w:u w:val="single"/>
                </w:rPr>
                <w:t>Item 13.</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81">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81">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84">
              <w:r>
                <w:rPr>
                  <w:rStyle w:val="InternetLink"/>
                  <w:rFonts w:ascii="Times New Roman;sans-serif" w:hAnsi="Times New Roman;sans-serif"/>
                  <w:b w:val="false"/>
                  <w:color w:val="0000FF"/>
                  <w:sz w:val="20"/>
                  <w:u w:val="single"/>
                </w:rPr>
                <w:t>Item 14.</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84">
              <w:r>
                <w:rPr>
                  <w:rStyle w:val="InternetLink"/>
                  <w:rFonts w:ascii="Times New Roman;sans-serif" w:hAnsi="Times New Roman;sans-serif"/>
                  <w:b w:val="false"/>
                  <w:color w:val="0000FF"/>
                  <w:sz w:val="20"/>
                  <w:u w:val="single"/>
                </w:rPr>
                <w:t>Principal Accountant Fees and Services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84">
              <w:r>
                <w:rPr>
                  <w:rStyle w:val="InternetLink"/>
                  <w:rFonts w:ascii="Times New Roman;sans-serif" w:hAnsi="Times New Roman;sans-serif"/>
                  <w:b w:val="false"/>
                  <w:color w:val="0000FF"/>
                  <w:sz w:val="20"/>
                  <w:u w:val="single"/>
                </w:rPr>
                <w:t>47</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0">
              <w:r>
                <w:rPr>
                  <w:rStyle w:val="InternetLink"/>
                  <w:rFonts w:ascii="Times New Roman;sans-serif" w:hAnsi="Times New Roman;sans-serif"/>
                  <w:b w:val="false"/>
                  <w:color w:val="0000FF"/>
                  <w:sz w:val="20"/>
                  <w:u w:val="single"/>
                </w:rPr>
                <w:t>Item 15.</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0">
              <w:r>
                <w:rPr>
                  <w:rStyle w:val="InternetLink"/>
                  <w:rFonts w:ascii="Times New Roman;sans-serif" w:hAnsi="Times New Roman;sans-serif"/>
                  <w:b w:val="false"/>
                  <w:color w:val="0000FF"/>
                  <w:sz w:val="20"/>
                  <w:u w:val="single"/>
                </w:rPr>
                <w:t>Exhibits, Financial Statements and Schedules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90">
              <w:r>
                <w:rPr>
                  <w:rStyle w:val="InternetLink"/>
                  <w:rFonts w:ascii="Times New Roman;sans-serif" w:hAnsi="Times New Roman;sans-serif"/>
                  <w:b w:val="false"/>
                  <w:color w:val="0000FF"/>
                  <w:sz w:val="20"/>
                  <w:u w:val="single"/>
                </w:rPr>
                <w:t>48</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3">
              <w:r>
                <w:rPr>
                  <w:rStyle w:val="InternetLink"/>
                  <w:rFonts w:ascii="Times New Roman;sans-serif" w:hAnsi="Times New Roman;sans-serif"/>
                  <w:b w:val="false"/>
                  <w:color w:val="0000FF"/>
                  <w:sz w:val="20"/>
                  <w:u w:val="single"/>
                </w:rPr>
                <w:t>Item 16.</w:t>
              </w:r>
            </w:hyperlink>
          </w:p>
        </w:tc>
        <w:tc>
          <w:tcPr>
            <w:tcW w:w="84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3">
              <w:r>
                <w:rPr>
                  <w:rStyle w:val="InternetLink"/>
                  <w:rFonts w:ascii="Times New Roman;sans-serif" w:hAnsi="Times New Roman;sans-serif"/>
                  <w:b w:val="false"/>
                  <w:color w:val="0000FF"/>
                  <w:sz w:val="20"/>
                  <w:u w:val="single"/>
                </w:rPr>
                <w:t>Form 10-K Summary</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93">
              <w:r>
                <w:rPr>
                  <w:rStyle w:val="InternetLink"/>
                  <w:rFonts w:ascii="Times New Roman;sans-serif" w:hAnsi="Times New Roman;sans-serif"/>
                  <w:b w:val="false"/>
                  <w:color w:val="0000FF"/>
                  <w:sz w:val="20"/>
                  <w:u w:val="single"/>
                </w:rPr>
                <w:t>50</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6">
              <w:r>
                <w:rPr>
                  <w:rStyle w:val="InternetLink"/>
                  <w:rFonts w:ascii="Times New Roman;sans-serif" w:hAnsi="Times New Roman;sans-serif"/>
                  <w:b w:val="false"/>
                  <w:color w:val="0000FF"/>
                  <w:sz w:val="20"/>
                  <w:u w:val="single"/>
                </w:rPr>
                <w:t>Signatures</w:t>
              </w:r>
            </w:hyperlink>
          </w:p>
        </w:tc>
        <w:tc>
          <w:tcPr>
            <w:tcW w:w="8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196">
              <w:r>
                <w:rPr>
                  <w:rStyle w:val="InternetLink"/>
                  <w:rFonts w:ascii="Times New Roman;sans-serif" w:hAnsi="Times New Roman;sans-serif"/>
                  <w:b w:val="false"/>
                  <w:color w:val="0000FF"/>
                  <w:sz w:val="20"/>
                  <w:u w:val="single"/>
                </w:rPr>
                <w:t>51</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8419"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reports, filings and other public announcements, including this Annual Report on Form 10-K may from time to time contain statements that do not directly or exclusively relate to historical facts. Such statements are “forward-looking statements” within the meaning of the Private Securities Litigation Reform Act of 1995, and typically include, but are not limited to, our expected future financial position, results of operations, cash flows, financing plans, business strategy, budgets, capital expenditures, competitive positions, growth opportunities and plans and objectives of management. Forward-looking statements can often be identified by words such as “anticipate,” “expect,” “intend,” “plan,” “predict,” “believe,” “seek,” “estimate,” “may,” “will,” “should,” “would,” “could,” “potential,” “continue,” “ongoing,” similar expressions, and variations or negatives of these words. These statements are subject to the safe harbors created under the Securities Act of 1933, as amended (the “Securities Act”), and the Securities Exchange Act of 1934, as amended (the “Exchange Act”). These statements are not guarantees of future performance and are subject to risks, uncertainties and assumptions that are difficult to predict. Therefore, our actual results could differ materially and adversely from those expressed in any forward-looking statements as a result of various factors, some of which are listed in Part 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xml:space="preserve">, of this Annual Report on Form 10-K for the year ended December 31, 2024. Accordingly, you should not rely upon forward-looking statements as predictions of future events. These forward-looking statements speak only as of the date of this Annual Report, and are based on our current expectations, estimates and projections about our industry and business, management's beliefs, and certain assumptions made by us, all of which are subject to change. We undertake no obligation to revise or update publicly any forward-looking statement for any reason, except as otherwise required by law.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Annual Report on Form 10-K, the words, “Pennant,” “Company,” “we,” “our” and “us” refer to The Pennant Group, Inc. and its consolidated subsidiaries. All of our independent operating subsidiaries, and the Service Center (defined below) are operated by separate, wholly-owned, independent subsidiaries that have their own management, employees and assets. References herein to the consolidated “Company” and “its” assets and activities, as well as the use of the terms “we,” “us,” “our” and similar terms in this Annual Report are not meant to imply, nor should they be construed as meaning, that The Pennant Group, Inc. has direct operating assets, employees or revenue, or that any of the subsidiaries are operated by The Pennant Group,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Pennant Group, Inc. is a holding company with no direct operating assets, employees or revenues. In addition, certain of our wholly-owned independent subsidiaries, collectively referred to as the “Service Center,” provide centralized accounting, payroll, human resources, information technology, legal, risk management, compliance oversight and other services to the other independent operating subsidiaries through contractual relationships with such subsidiaries.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address of our headquarters is 1675 East Riverside Drive, Suite 150, Eagle, ID 83616, and our telephone number is (208) 506-6100. Our corporate website is located at www.pennantgroup.com. The information contained in, or that can be accessed through, our website does not constitute a part of this Annual Report on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    </w:t>
      </w:r>
      <w:r>
        <w:rPr>
          <w:rFonts w:ascii="Times New Roman;sans-serif" w:hAnsi="Times New Roman;sans-serif"/>
          <w:b/>
          <w:i/>
          <w:color w:val="000000"/>
          <w:sz w:val="20"/>
        </w:rPr>
        <w:t>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Overview</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Pennant Group, Inc. is a leading provider of high-quality healthcare services to patients or residents of all ages, including the growing senior population, in the United States. Through our innovative operating model and unique core values, we strive to be the provider of choice in the communities we 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operate multiple lines of business, including home health, hospice and senior living, throughout Arizona, California, Colorado, Idaho, Montana, Nevada, Oklahoma, Oregon, Texas, Utah, Washington, Wisconsin and Wyoming. We also provide home health and hospice operational support through a management service agreement in Connecticut. We provide home health and hospice services through 123 agencies, and senior living services at 57 communities with 3,960 total units in our assisted living, independent living and memory care business. We derive revenue from a diversified blend of payors including Medicare and Medicaid programs, private pay patients and residents, and managed care payors.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key differentiators are our (1) ability to recruit, train, and develop talented local leaders at each of our operations; (2) innovative operating model that empowers those leaders to make decisions that meet the needs of patients and residents, employees, referral sources and the communities they serve with the support of our service center; (3) disciplined growth strategy; and (4) ability to achieve quality care outcomes in cost effective settings. In our experience, healthcare is a local endeavor, largely dependent upon personal and professional relationships, community reputation and an ability to adapt to the changing needs of patients, residents, partners and communities. As our operational leaders build strong relationships with key partners in their local communities, they are empowered to make informed and critical operational decisions that produce quality care outcomes and more effectively meet the needs of our patients and residents.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home health and hospice businesses achieve quality outcomes—as measured by multiple industry and value-based metrics (such as hospital readmission rates)—in cost-effective settings. We believe our senior living business is able to offer our residents a safe and tailored quality-of-life at an affordable cost, thus appealing to a broad population. With our platform of diversified service offerings, we believe that we are well-positioned to take advantage of favorable demographic shifts as well as industry trends that reward providers offering quality care in lower cost settings.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Our Innovative Operating Model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innovative operating model is the foundation of our superior performance and success. Our operating model is founded on two core principles: (1) healthcare is a local business where providers are most successful when key operational decision-making meets local community needs and occurs close to patients or residents and employees, and (2) peer accountability from operational and resource partners is more effective at driving excellent clinical and financial results than traditional hierarchical or “top-down” accountability structures.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model is innovative because each operation functions under the direction of local clinical and operational leaders, each of whom is empowered to make decisions based on the unique needs of the patients or residents, partners and communities they serve. This is in contrast to typical models where control and key decision-making is centralized at the corporate level. Moreover, we utilize a “cluster model,” where every operation is part of a defined “cluster,” which is a group of geographically proximate operations working together to allow leaders to communicate and provide support and accountability to each other. Clusters create incentives for leaders to share best practices and real-time data and benchmark clinical and financial performance with their cluster partners. We believe this locally-driven data-sharing and peer accountability model is unique among healthcare and senior living providers and has proven effective in improving clinical care, enhancing patient and resident satisfaction and promoting operational efficiencies. This “cluster” operating model is the same model used by local leaders prior to our spin-off from The Ensign Group, Inc. in 2019 (further discussed below under </w:t>
      </w:r>
      <w:r>
        <w:rPr>
          <w:rFonts w:ascii="Times New Roman;sans-serif" w:hAnsi="Times New Roman;sans-serif"/>
          <w:b w:val="false"/>
          <w:i/>
          <w:color w:val="000000"/>
          <w:sz w:val="20"/>
        </w:rPr>
        <w:t>Company History</w:t>
      </w:r>
      <w:r>
        <w:rPr>
          <w:rFonts w:ascii="Times New Roman;sans-serif" w:hAnsi="Times New Roman;sans-serif"/>
          <w:b w:val="false"/>
          <w:color w:val="000000"/>
          <w:sz w:val="20"/>
        </w:rPr>
        <w:t>) and is key to the success of our future operations.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organizational structure empowers our highly dedicated leaders and staff at the local level to make key decisions and creates a sense of ownership over operational and clinical results and the overall employee experience. Each operation’s leader and their staff are encouraged to make their operations the “provider of choice” in the communities they serve. To accomplish this goal, our leaders work closely with their clinical staff and our expert resources to identify unique patient and resident needs and priorities in their communities and to create superior service offerings tailored to those needs and priorities. We believe that our localized approach to program development and care leads prospective patients or residents and referral sources to choose or recommend our operations.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Similarly, our emphasis on empowering local decision-makers encourages leaders to strive to become the “employer of choice” in the communities they serve. One of our core values is the principle that the best patient care is provided by employees who experience significant work satisfaction because they are valued as individuals. Our leaders work hard to embody this core value to attract, train, and retain outstanding clinical staff by creating a work environment that fosters critical thinking, measurement, and relevance. Our local teams are motivated and empowered to quickly and proactively meet the needs of those they serve, without waiting for permission to act or being bound to a “one-size-fits-all” corporate strategy. In many markets, we attribute census growth and excellent clinical and financial outcomes to a healthy organizational culture built on these</w:t>
      </w:r>
      <w:r>
        <w:rPr>
          <w:color w:val="000000"/>
        </w:rPr>
        <w:t xml:space="preserve"> </w:t>
      </w:r>
      <w:r>
        <w:rPr>
          <w:rFonts w:ascii="Times New Roman;sans-serif" w:hAnsi="Times New Roman;sans-serif"/>
          <w:b w:val="false"/>
          <w:color w:val="000000"/>
          <w:sz w:val="20"/>
        </w:rPr>
        <w:t>principles. With strong employee satisfaction across the organization, we believe we can continue to attract and retain the best talent in our industries.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Lastly, while our teams are local, they are also supported by cutting-edge systems and our “Service Center”, which is staffed with teams of subject-matter experts who advise regarding their respective fields of expertise, including information technology, compliance oversight, human resources, accounting, payroll, legal, risk management, and other services. The partnership and peer accountability that exists between our local leaders and Service Center resources allows each operation to improve while benefiting from the technical expertise, systems and accountability provided by our Service Center.</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Partner of Choice in Local Healthcare Communities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view healthcare services primarily as a local business, driven by personal relationships, reputation and the ability to identify and address unmet community needs. We believe our success is largely driven by our ability to build strong relationships with key stakeholders within the local healthcare communities, leveraging our reputation for providing superior care.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are a partner of choice to payors, providers, patients, residents and employees in the healthcare communities we serve. As a partner, we focus on improving care outcomes and the quality of life of our patients and residents in their home. Our local leadership approach facilitates the development of strong professional relationships within communities, which allows us to better understand and meet the needs of our partners. We believe our emphasis on working closely with other providers, payors, residents and patients yields unique, customized solutions and programs that meet local market needs and improve clinical outcomes, which in turn accelerates revenue growth and profitability.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trusted partner to, and work closely with, payors and acute and post-acute providers to deliver innovative healthcare solutions in lower cost settings. In the markets we serve, we have initiated joint venture partnerships, developed formal and informal preferred provider relationships with key referral sources, and implemented transitional care programs that result in better coordination within the care continuum. These solutions have produced significant benefits to patients, residents, payors, and other providers, including reduced hospital readmission rates, appropriate transitions within the care continuum, overall cost savings, increased patient satisfaction and improved quality outcomes. In addition, positive, repeated interactions and data sharing result in strong local relationships and encourage referrals from our acute and post-acute care partners. As we continue to strengthen these formal and informal relationships and expand our referral base, we believe we will continue to drive revenue growth and operational results.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Company History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Pennant Group, Inc. was incorporated as a Delaware corporation on January 24, 2019, for the purpose of holding the home health and hospice agencies and substantially all of the senior living businesses of The Ensign Group, Inc. (“Ensign”), which was formed in 1999 with the goal of establishing a new level of quality care within the skilled nursing industry. On October 1, 2019, Ensign completed the separation of Pennant (the “Spin-Off”). We believe that, through our innovative operating model, we can foster a new level of patient care and professional competence at our independent operating subsidiaries and set new industry standards for quality home health and hospice and senior living services.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independent operating subsidiaries are organized into industry-specific portfolio companies, which we believe has enabled us to maintain a local, field-driven organizational structure, to attract qualified leaders and expert resources, and to effectively identify, acquire, and improve operations. Each of our portfolio companies has its own leader. These experienced and proven leaders are generally taken from the ranks of our operational leaders to serve as resources to independent operating subsidiaries within their own portfolio companies and have the primary responsibility for recruiting qualified talent, finding potential acquisition targets, and identifying other strategic and organic growth opportunities. We believe this decentralized organizational structure will continue to improve the quality of our recruiting and facilitate successful acquisitions.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We have two reportable segments: (1) home health and hospice services, which includes our home health, hospice, home care, and geriatric primary and palliative care businesses; and (2) senior living services, which includes our assisted living, independent living and memory care services. We also report an “all other” category that includes general and administrative expense. Our reporting segments are business units that offer different services and are managed separately to provide greater visibility into those operations. For more information about our operating segments, as well as financial information, see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and Note 6, </w:t>
      </w:r>
      <w:r>
        <w:rPr>
          <w:rFonts w:ascii="Times New Roman;sans-serif" w:hAnsi="Times New Roman;sans-serif"/>
          <w:b w:val="false"/>
          <w:i/>
          <w:color w:val="000000"/>
          <w:sz w:val="20"/>
        </w:rPr>
        <w:t>Business Segments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to the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Home Health and Hospice. </w:t>
      </w:r>
      <w:r>
        <w:rPr>
          <w:rFonts w:ascii="Times New Roman;sans-serif" w:hAnsi="Times New Roman;sans-serif"/>
          <w:b w:val="false"/>
          <w:color w:val="000000"/>
          <w:sz w:val="20"/>
        </w:rPr>
        <w:t>As of December 31, 2024, we provided home health and hospice services through 123 agencies. We also provide home health and hospice operational support through a management service agreement in Connecticut. Our home health services consist of providing a combination of clinical services including nursing, speech, occupational and physical therapy, medical social work and home health aide services within a patient's home. Home health is often a cost-effective solution for patients and can also increase their quality of life by allowing them to receive excellent clinical services in the comfort and convenience of each patient’s home. Our hospice services focus on the physical, spiritual and psychosocial needs of terminally ill patients and their families and consist primarily of clinical care, education and counseling. Our home care services include the provision of case management services, personal care services, and assistance with the activities of daily living. Our geriatric primary and palliative care services include physician and nurse practitioner services provided in the home, facility, or other appropriate setting. We generated approximately 64.7%, 66.9% and 67.7% of our home health and hospice segment revenue from Medicare during the years ended December 31, 2024, 2023 and 2022,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Senior Living. </w:t>
      </w:r>
      <w:r>
        <w:rPr>
          <w:rFonts w:ascii="Times New Roman;sans-serif" w:hAnsi="Times New Roman;sans-serif"/>
          <w:b w:val="false"/>
          <w:color w:val="000000"/>
          <w:sz w:val="20"/>
        </w:rPr>
        <w:t xml:space="preserve">As of December 31, 2024, we provided assisted living, independent living and memory care services in 57 communities with 3,960 total available units. Our senior living operations provide a variety of services tailored to our residents’ needs, including residential accommodations, activities, meals, housekeeping and assistance in the activities of daily living to seniors who are independent or who require some support, but not at the level of clinical care provided in a skilled nursing facility. We generate revenue in these communities primarily from private pay sources, with a portion earned from Medicaid or other state-specific programs. We derived approximately 69.4%, 68.8% and 71.3% of our senior living revenue from private pay sources during the years ended December 31, 2024, 2023 and 2022, respectively.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following strategies are primarily responsible for our growth to date and will continue to drive the growth of our business: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Grow Talent Base and Develop Future Leaders.</w:t>
      </w:r>
      <w:r>
        <w:rPr>
          <w:color w:val="000000"/>
        </w:rPr>
        <w:t xml:space="preserve"> </w:t>
      </w:r>
      <w:r>
        <w:rPr>
          <w:rFonts w:ascii="Times New Roman;sans-serif" w:hAnsi="Times New Roman;sans-serif"/>
          <w:b w:val="false"/>
          <w:color w:val="000000"/>
          <w:sz w:val="20"/>
        </w:rPr>
        <w:t xml:space="preserve">We view ourselves as a leadership company. Our growth strategy is focused on expanding our talent base and recruiting and developing future leaders. A key component of our organizational culture is our belief that strong local leadership is a primary ingredient to operational success. We use a multi-faceted strategy to identify and recruit proven business leaders from various industries and backgrounds. To develop these leaders, we have a rigorous “CEO-in-Training Program” that includes significant in-person instruction on leadership, clinical and operational topics, as well as extensive on-the-ground training and active learning with key leaders from across the organization. After placement in a local operation, our leaders continue to receive training and regular feedback and support from operational, clinical and Service Center peers. We also have similar programs for our new and emerging clinical leaders. We believe our model of empowering local leaders and providing them a platform of support, including expert resources and industry-leading systems, will continue to attract and retain highly talented and entrepreneurial leaders.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Focus on Organic Growth.</w:t>
      </w:r>
      <w:r>
        <w:rPr>
          <w:color w:val="000000"/>
        </w:rPr>
        <w:t xml:space="preserve"> </w:t>
      </w:r>
      <w:r>
        <w:rPr>
          <w:rFonts w:ascii="Times New Roman;sans-serif" w:hAnsi="Times New Roman;sans-serif"/>
          <w:b w:val="false"/>
          <w:color w:val="000000"/>
          <w:sz w:val="20"/>
        </w:rPr>
        <w:t xml:space="preserve">We believe that we have a significant opportunity to drive organic growth within our current portfolio, including recently acquired operations. As we improve clinical outcomes, quality of care and operational results at each of our existing and newly acquired operations, we believe we will become a provider of choice in the communities we serve, which leads to census growth. Through this census growth, and as we continue to expand our service areas and offerings, we believe we will continue to translate revenue growth into bottom line success with rigorous adherence to our core operating principles. By effectively using data systems and analytics and embracing a culture of transparency and accountability, we expect to see our local leaders steadily improving operational results. We believe our unique operating model will continue to cultivate steady and consistent organic growth in the future.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Pursue Disciplined Acquisition Strategy</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The disciplined acquisition and integration of strategic and underperforming operations is a key element of our past success and is integral to our future growth plans. Historically, we have successfully transitioned both turnaround and stable target businesses, transforming them into top-quality operations preferred by referral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sources and community partners. We plan to continue to take advantage of the fragmented home health, hospice and senior living industries by being proactive yet disciplined in acquiring strategic and underperforming operations with high upside potential within both existing and new geographic markets. With experienced leaders in place at the local level and demonstrated success in improving operating conditions at acquired businesses, we believe we are well positioned to continue expanding our footprint through strategic and opportunistic acquisitions.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Leverage Our Operational Capabilities to Expand Partnerships. </w:t>
      </w:r>
      <w:r>
        <w:rPr>
          <w:rFonts w:ascii="Times New Roman;sans-serif" w:hAnsi="Times New Roman;sans-serif"/>
          <w:b w:val="false"/>
          <w:color w:val="000000"/>
          <w:sz w:val="20"/>
        </w:rPr>
        <w:t xml:space="preserve">Our local leadership approach enables us to adapt to and efficiently meet the needs of our partners in the communities we serve. Our clinical and data analytics capabilities foster solutions and allow us to optimize clinical outcomes. We use this data to communicate with key partners in an effort to reduce overall cost of care and drive improved clinical outcomes. We also operate joint ventures with leading health systems, which allows us to expand our partnership in the space, and we may undertake additional joint ventures in the future. We will continue to expand formal and informal partnerships across the healthcare continuum by strategically investing in programs and data analytics that help us and our partners improve care transitions, achieve better outcomes and reduce costs.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Growth and Acquisition History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historical growth can be attributed to our expertise in acquiring strategic and underperforming operations and transforming them into market leaders in clinical quality, staff competency and financial performance. Our local leaders are trained to identify these opportunities for long-term organic growth as we strive to become the provider of choice in our local communities. Accordingly, we plan to continue to drive organic growth and acquire additional operations in existing and new markets in a disciplined manner. </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2014 to 2024, we grew our home health and hospice services and senior living services revenue by 669.0% or a compounded annual growth rate of 22.6%.</w:t>
      </w:r>
    </w:p>
    <w:p>
      <w:pPr>
        <w:pStyle w:val="TextBody"/>
        <w:bidi w:val="0"/>
        <w:spacing w:before="0" w:after="0"/>
        <w:ind w:left="0" w:right="0" w:firstLine="720"/>
        <w:jc w:val="both"/>
        <w:rPr/>
      </w:pPr>
      <w:r>
        <w:rPr/>
      </w:r>
    </w:p>
    <w:p>
      <w:pPr>
        <w:pStyle w:val="TextBody"/>
        <w:bidi w:val="0"/>
        <w:spacing w:before="0" w:after="0"/>
        <w:jc w:val="center"/>
        <w:rPr/>
      </w:pPr>
      <w:r>
        <w:rPr/>
        <w:drawing>
          <wp:inline distT="0" distB="0" distL="0" distR="0">
            <wp:extent cx="6238875" cy="3810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6238875" cy="3810000"/>
                    </a:xfrm>
                    <a:prstGeom prst="rect">
                      <a:avLst/>
                    </a:prstGeom>
                  </pic:spPr>
                </pic:pic>
              </a:graphicData>
            </a:graphic>
          </wp:inline>
        </w:drawing>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December 31, 2014 to December 31, 2024, we grew the number of our home health and hospice agencies and senior living units by 392.0% and 149.5%, respectively.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Agency and Unit Growth Since 2014</w:t>
      </w:r>
    </w:p>
    <w:p>
      <w:pPr>
        <w:pStyle w:val="TextBody"/>
        <w:bidi w:val="0"/>
        <w:spacing w:before="0" w:after="0"/>
        <w:jc w:val="center"/>
        <w:rPr/>
      </w:pPr>
      <w:r>
        <w:rPr/>
        <w:drawing>
          <wp:inline distT="0" distB="0" distL="0" distR="0">
            <wp:extent cx="3238500" cy="28575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3238500" cy="2857500"/>
                    </a:xfrm>
                    <a:prstGeom prst="rect">
                      <a:avLst/>
                    </a:prstGeom>
                  </pic:spPr>
                </pic:pic>
              </a:graphicData>
            </a:graphic>
          </wp:inline>
        </w:drawing>
      </w:r>
      <w:r>
        <w:rPr/>
        <w:drawing>
          <wp:inline distT="0" distB="0" distL="0" distR="0">
            <wp:extent cx="3238500" cy="28575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3238500" cy="2857500"/>
                    </a:xfrm>
                    <a:prstGeom prst="rect">
                      <a:avLst/>
                    </a:prstGeom>
                  </pic:spPr>
                </pic:pic>
              </a:graphicData>
            </a:graphic>
          </wp:inline>
        </w:drawing>
      </w:r>
    </w:p>
    <w:tbl>
      <w:tblPr>
        <w:tblW w:w="13259" w:type="dxa"/>
        <w:jc w:val="left"/>
        <w:tblInd w:w="0" w:type="dxa"/>
        <w:tblLayout w:type="fixed"/>
        <w:tblCellMar>
          <w:top w:w="28" w:type="dxa"/>
          <w:left w:w="28" w:type="dxa"/>
          <w:bottom w:w="28" w:type="dxa"/>
          <w:right w:w="28" w:type="dxa"/>
        </w:tblCellMar>
      </w:tblPr>
      <w:tblGrid>
        <w:gridCol w:w="689"/>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616"/>
        <w:gridCol w:w="237"/>
      </w:tblGrid>
      <w:tr>
        <w:trPr/>
        <w:tc>
          <w:tcPr>
            <w:tcW w:w="6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living communities</w:t>
            </w:r>
            <w:r>
              <w:rPr>
                <w:rFonts w:ascii="Times New Roman;sans-serif" w:hAnsi="Times New Roman;sans-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living units</w:t>
            </w:r>
            <w:r>
              <w:rPr>
                <w:rFonts w:ascii="Times New Roman;sans-serif" w:hAnsi="Times New Roman;sans-serif"/>
                <w:b w:val="false"/>
                <w:color w:val="000000"/>
                <w:sz w:val="13"/>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During January 2022, affiliates of the Company entered into certain operations transfer agreements with affiliates of Ensign, providing for the transfer of the operations of five senior living communities.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continue to grow our revenue and earnings by expanding our existing operations and acquiring additional operations in existing and new markets.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Industry Trends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healthcare sector is one of the largest and fastest-growing sectors of the U.S. economy. According to the Centers for Medicare and Medicaid Services (“CMS”), national healthcare spending increased from 8.9% of U.S. GDP, or $253 billion, in 1980 to an estimated 17.6% of GDP, or $4.8 trillion, in 2023. CMS projects national healthcare spending will grow by an average of 5.6% annually from 2023 through 2032, accounting for approximately 19.7% of U.S. GDP, or approximately $7.7 trillion, in 2032.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home health and hospice segment is growing within the overall healthcare landscape in the United States. According to Grandview Research, Inc., the home health market is expected to grow at a compounded annual growth rate (“CAGR”) of 8.0% from 2024 to 2030. The hospice industry is estimated at approximately $37.9 billion and is projected to grow at an estimated CAGR of 8.1% from 2024 to 2030. The senior living market is expected to expand at an estimated CAGR of 4.2% between 2024 to 2030. We believe that the industries in which we operate will continue to benefit from several macroeconomic and regulatory trends highlighted below: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Increased Demand Driven by Aging Populations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As seniors account for an increasing percentage of the total U.S. population, we believe demand for home health and hospice will continue to increase and demand for senior living services will improve. According to the U.S. Census Bureau in 2023, between 2022 and 2060, the number of individuals over 65 years old is projected to be one of the fastest growing segments of the United States population, growing from 17% to 24%. The Bureau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identified the year 2030 as the year all baby boomers will be more than 65 years of age. The Bureau expects the over-65 population segment to increase nearly 54% to 89 million by 2060 (from 2022) as compared to the total U.S. population which is projected to increase by 9.3% over that same time period. Furthermore, the generation currently retiring has access to fewer post-retirement benefits and accumulated less savings than in the past, creating demand for more affordable senior housing and in-home care options. As a high-quality provider in lower cost settings, we believe we are well-positioned to benefit from this trend.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Shift of Patient Care to Lower Cost Alternatives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The growth of the senior population in the U.S. continues to increase healthcare costs, often at a rate faster than the available funding from government-sponsored healthcare programs. In response, government payors have adopted measures that encourage the treatment of patients in their homes and other cost-effective settings where the staffing requirements and associated costs are often significantly lower than the alternatives. With our emphasis on the home health, hospice and senior living industries, which are among the lowest cost settings within the post-acute care continuum, we expect this shift to continue to drive our growth.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Transition to Value-Based Payment Models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In response to rising healthcare spending, certain markets’ commercial, government and other payors are shifting away from fee-for-service payment models toward value-based models, including risk-based payment models that tie financial incentives to quality, efficiency and coordination of care. We believe that payors will continue to emphasize reimbursement models driven by value and that our clinical outcomes combined with our services in cost effective settings will be increasingly rewarded. Many of our home health agencies already receive value-based payments, and we are well-positioned to capitalize on this trend as it unfolds across the markets we serve. Please see further discussion of value-based payment models below under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Significant Acquisition and Consolidation Opportunities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The home health, hospice and senior living industries are highly fragmented markets with thousands of small and regional providers and only a handful of large national players. There were over 11,300 Medicare-certified home health agencies operating in 2022, with the top ten largest operators accounting for approximately 26.6% of the market. There are approximately 6,000 hospice agencies in the U.S. with the top ten largest operators accounting for about 19.1% of the total market share. As with the home health and hospice industries, there is significant fragmentation in the senior housing industry, with the top 25 operators owning approximately 28% of the licensed beds within the US. We believe that our strategy of acquiring strategic and underperforming operations in these highly fragmented markets will be an instrumental to our future growth.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Changing Regulatory Framework</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Regulations and reimbursement change frequently in our industries. Our model is designed to successfully navigate these regulatory and reimbursement changes. For example, effective January 1, 2020, CMS enacted additional changes to the Medicare home health prospective payment system (“HH PPS”) with the implementation of the Patient Driven Groupings Model (“PDGM”). As discussed in greater detail below under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and adjusted in subsequent calendar years’ payment rules, this reimbursement structure involved case mix calculation methodology refinements, changes to low-utilization payment adjustment (“LUPA”) thresholds, the elimination of therapy thresholds, a change to the unit of payment from a 60-day episode to a 30-day period of care, and reduction in fiscal year 2020 and full elimination in fiscal year 2021 of requests for anticipated payments (“RAPs”), which were no longer available by January 1, 2022. In fiscal year 2022, CMS replaced the RAP process with the home health Notice of Admission (“NOA”), which requires a single NOA filing that will cover continuous 30-day periods of care until the patient is discharged. We believe our unique operating model has allowed us to effectively transition to PDGM as local operations and clinical leaders, supported by our expert resources, have adapted to the new reimbursement environment.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Payor Sources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revenue primarily from Medicare and Medicaid programs, managed care and private insurance, and private and other payors.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Medicare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Medicare is a federal program that provides healthcare benefits to individuals who are 65 years of age or older or are disabled. The Medicare home health benefit is available both for patients who need care following discharge from an inpatient facility and patients who suffer from chronic conditions that require ongoing but intermittent care. The Medicare hospice benefit is also available to Medicare-eligible patients with terminal illnesses, certified by a physician, where life expectancy is six months or less.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i/>
          <w:color w:val="000000"/>
          <w:sz w:val="20"/>
        </w:rPr>
        <w:t>Medicaid</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Medicaid is a program financed by state funds and matching federal funds administered by state agencies or managed care organizations on their behalf. Medicaid programs generally provide health benefits for qualifying individuals and may supplement Medicare benefits for the disabled and for persons aged 65 and older meeting financial eligibility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requirements. Medicaid reimbursement formulas are established by each state with the approval of the federal government in accordance with federal guidelines.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Medicaid reimbursement varies from state to state and is based upon a number of different methodologies, including cost-based, prospective payment, case mixed adjusted payments, and negotiated rates. Rates are subject to a state’s annual budgetary requirements and funding, statutory and regulatory changes and interpretations and rulings by individual state agencies and State Plan Amendments approved by CMS.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i/>
          <w:color w:val="000000"/>
          <w:sz w:val="20"/>
        </w:rPr>
        <w:t>Managed Care and Private Insurance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Managed care patients consist of individuals who are insured by certain third-party entities, or who are Medicare beneficiaries who have assigned their Medicare benefits to a managed care organization plan. Another type of insurance, long-term care insurance, is also becoming more widely available to consumers and is not expected to contribute significantly to industry revenues in the near term. </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i/>
          <w:color w:val="000000"/>
          <w:sz w:val="20"/>
        </w:rPr>
        <w:t>Private and Other Payors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Private and other payors consist primarily of individuals, family members or other third parties who directly pay for the services we provide.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total revenue by payor source as a percent of revenue generated by each of our reportable segments and as a percentage of total revenue for the year ended December 31, 2024: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86"/>
        <w:gridCol w:w="514"/>
        <w:gridCol w:w="519"/>
        <w:gridCol w:w="109"/>
        <w:gridCol w:w="109"/>
        <w:gridCol w:w="109"/>
        <w:gridCol w:w="437"/>
        <w:gridCol w:w="433"/>
        <w:gridCol w:w="1067"/>
        <w:gridCol w:w="249"/>
        <w:gridCol w:w="249"/>
        <w:gridCol w:w="249"/>
        <w:gridCol w:w="340"/>
        <w:gridCol w:w="337"/>
        <w:gridCol w:w="827"/>
        <w:gridCol w:w="109"/>
        <w:gridCol w:w="109"/>
        <w:gridCol w:w="109"/>
        <w:gridCol w:w="448"/>
        <w:gridCol w:w="438"/>
        <w:gridCol w:w="1099"/>
        <w:gridCol w:w="109"/>
        <w:gridCol w:w="109"/>
        <w:gridCol w:w="109"/>
        <w:gridCol w:w="337"/>
        <w:gridCol w:w="279"/>
        <w:gridCol w:w="816"/>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Reimbursement for Specific Services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adjustments to reimbursement under Medicare and Medicaid have had a significant effect on our revenue and results of operations. Recently enacted, pending and proposed legislation and administrative rulemaking at the federal and state levels could have similar effects on our business. Efforts to impose reduced reimbursement rates, greater discounts, cost sequestrations in federal spending bills passed by Congress, and more stringent cost controls by government and other payors are expected to continue for the foreseeable future and could adversely affect our business, financial condition and results of operations. Additionally, any delay or default by the federal or state governments in making Medicare and/or Medicaid reimbursement payments could materially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Reimbursement for Home Health Services</w:t>
      </w:r>
      <w:r>
        <w:rPr>
          <w:rFonts w:ascii="Times New Roman;sans-serif" w:hAnsi="Times New Roman;sans-serif"/>
          <w:b w:val="false"/>
          <w:color w:val="000000"/>
          <w:sz w:val="20"/>
        </w:rPr>
        <w:t xml:space="preserve">. Our home health business derives substantially all of its revenue from Medicare, managed care, and private pay sources, which may vary in the markets we serve. Our home health services generally consist of providing some combination of the services of registered nurses, speech, occupational and physical therapists, medical social workers and certified home health aides. Home health is often a cost-effective solution for patients and can also increase their quality of life and allow them to receive quality medical care in the comfort and convenience of a familiar setting.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Reimbursement for Hospice Services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Hospice revenues are primarily derived from Medicare. We receive one of four predetermined rate categories based on four different levels of care provided: routine home care, continuous home care, inpatient respite care and general inpatient care. This payment structure is designed to include all of the services needed to manage a beneficiary’s care, consisting primarily of clinical care, education and counseling. These rates are subject to annual adjustments based on inflation and geographic wage considerations.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Reimbursement for Senior Living Services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Assisted living, independent living and memory care community revenue is primarily derived from private pay residents at rates we establish based upon the services we provide and market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area of operation. In addition, Medicaid or other state-specific programs in some states where we operate supplement payments for board and care services provided in assisted living and memory care communities.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post-acute care industry is highly competitive, and we expect that the industry will become increasingly competitive in the future. The industry is highly fragmented and characterized by numerous local and regional providers, in addition to large national providers that have achieved geographic diversity and economies of scale. Some of our independent operating subsidiaries also compete with skilled nursing facilities, inpatient rehabilitation facilities and long-term acute care hospitals. Competitiveness may vary significantly from location to location, depending upon factors such as the number of competing operations, availability of services, expertise of staff, and the physical appearance and amenities of senior living communities. We believe that the primary competitive factors in the post-acute care industry are: </w:t>
      </w:r>
    </w:p>
    <w:p>
      <w:pPr>
        <w:pStyle w:val="TextBody"/>
        <w:bidi w:val="0"/>
        <w:spacing w:before="0" w:after="0"/>
        <w:ind w:left="0" w:right="0" w:firstLine="450"/>
        <w:jc w:val="both"/>
        <w:rPr/>
      </w:pPr>
      <w:r>
        <w:rPr/>
      </w:r>
    </w:p>
    <w:p>
      <w:pPr>
        <w:pStyle w:val="TextBody"/>
        <w:bidi w:val="0"/>
        <w:spacing w:lineRule="auto" w:line="240" w:before="0" w:after="120"/>
        <w:ind w:left="0" w:right="0" w:hanging="315"/>
        <w:jc w:val="left"/>
        <w:rPr/>
      </w:pPr>
      <w:r>
        <w:rPr>
          <w:color w:val="000000"/>
        </w:rPr>
        <w:t>•</w:t>
      </w:r>
      <w:r>
        <w:rPr>
          <w:rFonts w:ascii="Times New Roman;sans-serif" w:hAnsi="Times New Roman;sans-serif"/>
          <w:b w:val="false"/>
          <w:color w:val="000000"/>
          <w:sz w:val="20"/>
        </w:rPr>
        <w:t xml:space="preserve">ability to attract and to retain qualified leaders and caregivers; </w:t>
      </w:r>
    </w:p>
    <w:p>
      <w:pPr>
        <w:pStyle w:val="TextBody"/>
        <w:bidi w:val="0"/>
        <w:spacing w:lineRule="auto" w:line="240" w:before="0" w:after="120"/>
        <w:ind w:left="0" w:right="0" w:hanging="315"/>
        <w:jc w:val="left"/>
        <w:rPr/>
      </w:pPr>
      <w:r>
        <w:rPr>
          <w:color w:val="000000"/>
        </w:rPr>
        <w:t>•</w:t>
      </w:r>
      <w:r>
        <w:rPr>
          <w:rFonts w:ascii="Times New Roman;sans-serif" w:hAnsi="Times New Roman;sans-serif"/>
          <w:b w:val="false"/>
          <w:color w:val="000000"/>
          <w:sz w:val="20"/>
        </w:rPr>
        <w:t xml:space="preserve">reputation and achievements of quality healthcare outcomes and patient and resident satisfaction; </w:t>
      </w:r>
    </w:p>
    <w:p>
      <w:pPr>
        <w:pStyle w:val="TextBody"/>
        <w:bidi w:val="0"/>
        <w:spacing w:lineRule="auto" w:line="240" w:before="0" w:after="120"/>
        <w:ind w:left="0" w:right="0" w:hanging="315"/>
        <w:jc w:val="left"/>
        <w:rPr/>
      </w:pPr>
      <w:r>
        <w:rPr>
          <w:color w:val="000000"/>
        </w:rPr>
        <w:t>•</w:t>
      </w:r>
      <w:r>
        <w:rPr>
          <w:rFonts w:ascii="Times New Roman;sans-serif" w:hAnsi="Times New Roman;sans-serif"/>
          <w:b w:val="false"/>
          <w:color w:val="000000"/>
          <w:sz w:val="20"/>
        </w:rPr>
        <w:t xml:space="preserve">attractiveness and location of senior living communities and other physical assets; </w:t>
      </w:r>
    </w:p>
    <w:p>
      <w:pPr>
        <w:pStyle w:val="TextBody"/>
        <w:bidi w:val="0"/>
        <w:spacing w:lineRule="auto" w:line="240" w:before="0" w:after="120"/>
        <w:ind w:left="0" w:right="0" w:hanging="315"/>
        <w:jc w:val="left"/>
        <w:rPr/>
      </w:pPr>
      <w:r>
        <w:rPr>
          <w:color w:val="000000"/>
        </w:rPr>
        <w:t>•</w:t>
      </w:r>
      <w:r>
        <w:rPr>
          <w:rFonts w:ascii="Times New Roman;sans-serif" w:hAnsi="Times New Roman;sans-serif"/>
          <w:b w:val="false"/>
          <w:color w:val="000000"/>
          <w:sz w:val="20"/>
        </w:rPr>
        <w:t xml:space="preserve">the expertise and commitment of operational leaders and employees; and </w:t>
      </w:r>
    </w:p>
    <w:p>
      <w:pPr>
        <w:pStyle w:val="TextBody"/>
        <w:bidi w:val="0"/>
        <w:spacing w:lineRule="auto" w:line="240" w:before="0" w:after="120"/>
        <w:ind w:left="0" w:right="0" w:hanging="315"/>
        <w:jc w:val="left"/>
        <w:rPr/>
      </w:pPr>
      <w:r>
        <w:rPr>
          <w:color w:val="000000"/>
        </w:rPr>
        <w:t>•</w:t>
      </w:r>
      <w:r>
        <w:rPr>
          <w:rFonts w:ascii="Times New Roman;sans-serif" w:hAnsi="Times New Roman;sans-serif"/>
          <w:b w:val="false"/>
          <w:color w:val="000000"/>
          <w:sz w:val="20"/>
        </w:rPr>
        <w:t xml:space="preserve">private equity, payors, and other firms with greater financial resources and/or lower costs of capital with similar asset acquisition objectives. </w:t>
      </w:r>
    </w:p>
    <w:p>
      <w:pPr>
        <w:pStyle w:val="TextBody"/>
        <w:bidi w:val="0"/>
        <w:spacing w:before="0" w:after="0"/>
        <w:ind w:left="0" w:right="0" w:firstLine="45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compete effectively in each market by establishing a reputation within the local community as the “provider of choice.” This means that the operation leaders are generally free to discern and address the unique needs and priorities of healthcare professionals, customers and other stakeholders in the local community or market, and then create superior service offerings that are calculated to encourage prospective customers and referral sources to choose or recommend the operation.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Increased competition could limit our ability to attract and retain patients and residents, maintain or increase rates of reimbursement or to expand our business. Some of our competitors have greater financial and other resources than we have, may have greater brand recognition and may be more established in their respective communities than we are. Competing companies may also offer newer or more recently renovated communities or different programs or services than we offer and may, therefore, attract individuals who are currently patients of our operations, potential residents of our senior living communities, or who are otherwise receiving our healthcare services. Other competitors may have lower expenses or other competitive advantages than we do and, therefore, provide services at lower prices than we offer.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few barriers to entry in the home health and hospice business in jurisdictions that do not require certificates of need or permits of approval. Our primary competition in these jurisdictions comes from local privately and publicly owned providers and hospital-owned healthcare providers. We compete based on the availability of personnel, the quality of services, expertise of visiting staff, and, in certain instances, on the price of our services. In addition, we compete with a number of non-profit organizations that finance acquisitions and capital expenditures on a tax-exempt basis and charity-funded programs that may have strong ties to their local medical communities and receive charitable contributions that are unavailable to us.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living services also compete with local, regional and national companies. The primary competitive factors in these businesses include reputation, attractiveness and location of physical assets, cost of services, quality of clinical services, responsiveness to patient or resident needs, location and the ability to provide support in other areas such as third-party reimbursement, information management and patient recordkeeping. The market for acquiring and/or operating senior living communities is highly competitive, and some of our present and potential senior living competitors have, or may obtain, greater financial resources than us and may have a lower cost of capital.</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Our Competitive Strengths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are well positioned to benefit from the ongoing regulatory, reimbursement and demographic changes within the home health, hospice and senior living industries. We believe that we will achieve clinical, financial and cultural success as a direct result of the following key competitive strengths: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Innovative Operating Model.</w:t>
      </w:r>
      <w:r>
        <w:rPr>
          <w:color w:val="000000"/>
        </w:rPr>
        <w:t xml:space="preserve"> </w:t>
      </w:r>
      <w:r>
        <w:rPr>
          <w:rFonts w:ascii="Times New Roman;sans-serif" w:hAnsi="Times New Roman;sans-serif"/>
          <w:b w:val="false"/>
          <w:color w:val="000000"/>
          <w:sz w:val="20"/>
        </w:rPr>
        <w:t xml:space="preserve">We believe healthcare should be operated primarily as a local business. Our innovative operating model, described in Part 1, Item 1 - </w:t>
      </w:r>
      <w:r>
        <w:rPr>
          <w:color w:val="000000"/>
        </w:rPr>
        <w:t>“</w:t>
      </w:r>
      <w:r>
        <w:rPr>
          <w:rFonts w:ascii="Times New Roman;sans-serif" w:hAnsi="Times New Roman;sans-serif"/>
          <w:b w:val="false"/>
          <w:i/>
          <w:color w:val="000000"/>
          <w:sz w:val="20"/>
        </w:rPr>
        <w:t>Our Innovative Operating Model”</w:t>
      </w:r>
      <w:r>
        <w:rPr>
          <w:rFonts w:ascii="Times New Roman;sans-serif" w:hAnsi="Times New Roman;sans-serif"/>
          <w:b w:val="false"/>
          <w:color w:val="000000"/>
          <w:sz w:val="20"/>
        </w:rPr>
        <w:t xml:space="preserve">, is one of our key competitive strengths. </w:t>
      </w:r>
    </w:p>
    <w:p>
      <w:pPr>
        <w:pStyle w:val="TextBody"/>
        <w:bidi w:val="0"/>
        <w:spacing w:before="0" w:after="0"/>
        <w:ind w:left="0" w:right="0" w:firstLine="4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Effective Talent Recruitment, Development and Retention. </w:t>
      </w:r>
      <w:r>
        <w:rPr>
          <w:rFonts w:ascii="Times New Roman;sans-serif" w:hAnsi="Times New Roman;sans-serif"/>
          <w:b w:val="false"/>
          <w:color w:val="000000"/>
          <w:sz w:val="20"/>
        </w:rPr>
        <w:t xml:space="preserve">We believe we have an advantage and are successful in attracting, developing, and retaining outstanding business and clinical leaders to lead our independent operating subsidiaries. Our unique operating model, which emphasizes local decision making and team building, supported by our platform of expert resources and best-in-class systems, attracts a highly talented and entrepreneurial group of leaders. Our operational leaders are committed to ongoing training and participate in regular leadership development and educational programs. We believe that our commitment to professional development strengthens the quality of our operational leaders and staff and will continue to differentiate us from our competitors.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Proven Track Record of Successful Acquisitions.</w:t>
      </w:r>
      <w:r>
        <w:rPr>
          <w:color w:val="000000"/>
        </w:rPr>
        <w:t xml:space="preserve"> </w:t>
      </w:r>
      <w:r>
        <w:rPr>
          <w:rFonts w:ascii="Times New Roman;sans-serif" w:hAnsi="Times New Roman;sans-serif"/>
          <w:b w:val="false"/>
          <w:color w:val="000000"/>
          <w:sz w:val="20"/>
        </w:rPr>
        <w:t xml:space="preserve">We adhere to a disciplined acquisition strategy focused on sourcing and selectively acquiring operations within our target markets. Local leaders are heavily involved in the acquisition process and are recognized and rewarded as these acquired operations become the provider of choice in the communities they serve. Through our innovative operating model and disciplined approach to strategic growth, we have completed and successfully transitioned dozens of value-add operations. Our expertise in acquiring and transforming strategic and underperforming operations allows us to consider a broad range of potential acquisition targets and will be a key element of our future success. </w:t>
      </w:r>
    </w:p>
    <w:p>
      <w:pPr>
        <w:pStyle w:val="TextBody"/>
        <w:bidi w:val="0"/>
        <w:spacing w:before="0" w:after="0"/>
        <w:ind w:left="0" w:right="0" w:firstLine="45"/>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Superior Clinical Outcomes and Quality Care. </w:t>
      </w:r>
      <w:r>
        <w:rPr>
          <w:rFonts w:ascii="Times New Roman;sans-serif" w:hAnsi="Times New Roman;sans-serif"/>
          <w:b w:val="false"/>
          <w:color w:val="000000"/>
          <w:sz w:val="20"/>
        </w:rPr>
        <w:t xml:space="preserve">We will continue to succeed by delivering high quality home health, hospice and senior living services. Using the CMS five-star quality rating criteria, our home health agencies achieved an average of 4.1 out of 5 stars across all agencies for the for the year ended December 31, 2024, compared to the industry average of 3.0 stars (see </w:t>
      </w:r>
      <w:r>
        <w:rPr>
          <w:rFonts w:ascii="Times New Roman;sans-serif" w:hAnsi="Times New Roman;sans-serif"/>
          <w:b w:val="false"/>
          <w:i/>
          <w:color w:val="000000"/>
          <w:sz w:val="20"/>
        </w:rPr>
        <w:t>Government Regulation</w:t>
      </w:r>
      <w:r>
        <w:rPr>
          <w:color w:val="000000"/>
        </w:rPr>
        <w:t xml:space="preserve"> </w:t>
      </w:r>
      <w:r>
        <w:rPr>
          <w:rFonts w:ascii="Times New Roman;sans-serif" w:hAnsi="Times New Roman;sans-serif"/>
          <w:b w:val="false"/>
          <w:color w:val="000000"/>
          <w:sz w:val="20"/>
        </w:rPr>
        <w:t xml:space="preserve">below for further discussion on the five-star quality rating system). Our locally driven, patient-centered approach to clinical care allows us to meet the unique needs of our patients, resulting in improved clinical outcomes, including reduced hospital readmission rates. These improved outcomes are driven by both our talented local clinicians and our data-driven analytical approach to patient care and risk stratification. We believe that our achievement of high-quality clinical outcomes positions us as a solution for patients, residents and referral sources, leading to census growth and improved profitability. </w:t>
      </w:r>
    </w:p>
    <w:p>
      <w:pPr>
        <w:pStyle w:val="TextBody"/>
        <w:bidi w:val="0"/>
        <w:spacing w:before="0" w:after="0"/>
        <w:ind w:left="0" w:right="0" w:firstLine="45"/>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Diversified Portfolio by Payor and Services.</w:t>
      </w:r>
      <w:r>
        <w:rPr>
          <w:color w:val="000000"/>
        </w:rPr>
        <w:t xml:space="preserve"> </w:t>
      </w:r>
      <w:r>
        <w:rPr>
          <w:rFonts w:ascii="Times New Roman;sans-serif" w:hAnsi="Times New Roman;sans-serif"/>
          <w:b w:val="false"/>
          <w:color w:val="000000"/>
          <w:sz w:val="20"/>
        </w:rPr>
        <w:t xml:space="preserve">As of December 31, 2024, we operated 123 home health and hospice agencies and 57 senior living communities across 13 states. Because of this diversified portfolio, our blended payor mix was 48.3% Medicare, 13.2% Medicaid, 13.3% managed care and 25.2% private pay and other for the year ended December 31, 2024. Our balanced payor mix can provide greater business stability through economic cycles and mitigates volatility arising from government-driven reimbursement changes. For the year ended December 31, 2024, we generated 74.7% of our revenue from home health and hospice services and 25.3% of our revenue from senior living services. Our diversified service portfolio allows us to opportunistically execute on our acquisition strategy as valuations fluctuate over industry cycles.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Human Capital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operation of our home health and hospice operations and senior living communities requires a large number of highly skilled healthcare professionals and support staff. As of December 31, 2024, we had approximately 7,000 employees who were employed by our independent operating subsidiaries or our Service Center.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ability to attract and retain future leaders is critical to our ongoing success. Therefore, we are dedicated to continuously recruiting and developing a diverse group of capable leaders. As described in Part 1, Item 1., </w:t>
      </w:r>
      <w:r>
        <w:rPr>
          <w:rFonts w:ascii="Times New Roman;sans-serif" w:hAnsi="Times New Roman;sans-serif"/>
          <w:b w:val="false"/>
          <w:i/>
          <w:color w:val="000000"/>
          <w:sz w:val="20"/>
        </w:rPr>
        <w:t>Grow Talent Base and Develop Future Leaders,</w:t>
      </w:r>
      <w:r>
        <w:rPr>
          <w:color w:val="000000"/>
        </w:rPr>
        <w:t xml:space="preserve"> </w:t>
      </w:r>
      <w:r>
        <w:rPr>
          <w:rFonts w:ascii="Times New Roman;sans-serif" w:hAnsi="Times New Roman;sans-serif"/>
          <w:b w:val="false"/>
          <w:color w:val="000000"/>
          <w:sz w:val="20"/>
        </w:rPr>
        <w:t>our CEO-in-Training and Clinical Operations Leadership Training programs provide significant in-person instruction and extensive training with key leaders from across the organization to empower local leaders.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2024, 67.7% of our total expenses were payroll related. Periodically, market forces, which vary by region, require that we increase wages in excess of general inflation or increases in reimbursement rates we receive. We believe that we staff appropriately, focusing primarily on the acuity level and day-to-day needs of our patients and residents. We seek to manage our labor costs by improving staff retention, improving operating efficiencies, maintaining competitive wage rates and benefits and reducing reliance on overtime compensation and temporary nursing agency services.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healthcare industry as a whole has been experiencing shortages of qualified professional clinical staff. We believe that our ability to attract and retain qualified professional clinical staff stems from our ability to offer attractive wage and benefits packages, a high level of employee training, a culture that provides incentives for individual efforts and a quality work environment.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i/>
          <w:color w:val="000000"/>
          <w:sz w:val="20"/>
        </w:rPr>
        <w:t xml:space="preserve">General. </w:t>
      </w:r>
      <w:r>
        <w:rPr>
          <w:rFonts w:ascii="Times New Roman;sans-serif" w:hAnsi="Times New Roman;sans-serif"/>
          <w:b w:val="false"/>
          <w:color w:val="000000"/>
          <w:sz w:val="20"/>
        </w:rPr>
        <w:t xml:space="preserve">The laws and statutes affecting the regulatory landscape of the home health, hospice and senior living industries continue to expand. We expect that these changes will continue. In addition to this changing regulatory environment,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officials are increasingly focusing their efforts on the enforcement of these laws. In order to operate our businesses, we must comply with federal, state and local laws relating to, among other things, licensure, delivery and adequacy of medical care, distribution of pharmaceuticals, equipment, personnel, operating policies, fire prevention, immigration, employment, rate-setting, billing and reimbursement, building codes and environmental protection. Additionally, we must also adhere to federal and state anti-fraud and abuse laws, such as anti-kickback statutes and, physician referral laws, as well as safety and health standards set by the Occupational Safety and Health Administration (“OSHA”). Changes in laws or regulations, or new interpretations of existing laws may have an adverse impact on our methods and costs of doing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operating subsidiaries are also subject to various regulations and licensing requirements promulgated by state and local health and social service agencies and other regulatory authorities. Requirements vary from state to state, and these requirements can affect, among other things, personnel education and training, patient and personnel records, services, staffing levels, monitoring of patient wellness, patient furnishings, housekeeping services, dietary requirements, emergency plans and procedures, certification and licensing of staff prior to beginning employment, and patient rights. These laws and regulations could limit our ability to expand into new markets and to expand our services and facilities in existing markets.</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i/>
          <w:color w:val="000000"/>
          <w:sz w:val="20"/>
        </w:rPr>
        <w:t xml:space="preserve">Recent Updates. </w:t>
      </w:r>
      <w:r>
        <w:rPr>
          <w:rFonts w:ascii="Times New Roman;sans-serif" w:hAnsi="Times New Roman;sans-serif"/>
          <w:b w:val="false"/>
          <w:color w:val="000000"/>
          <w:sz w:val="20"/>
        </w:rPr>
        <w:t xml:space="preserve">On July 30, 2024, CMS issued the 2025 Hospice Payment Rate Update Final Rule (the “Hospice Payment Final Rule”). The Hospice Payment Final Rule’s payment update percentage is 2.9%, which is an estimated increase of $790 million in payments from fiscal year 2024. The payment update percentage is based on a 3.4% market basket percentage increase, which is reduced by a 0.5% productivity adjustment. Hospices that fail to meet quality reporting requirements under the Hospice Quality Reporting Program (“HQRP”) will receive a 4% reduction to the annual hospice payment update percentage increase for that year, resulting in a total decrease of 1.1% to those non-compliant hospices’ payments and more than negating the payment update percentage for fiscal year 2025. The Hospice Payment Final Rule also adds two new process measures to HQRP: timely reassessment of pain impact, and timely reassessment of non-pain symptom impact, which are both expected to begin in fiscal year 2028. In addition, the Hospice Payment Final Rule updates the statutory aggregate cap that limits the overall payments per patient that may be made to a hospice annually. The hospice cap amount for the 2025 fiscal year is $34,465.34, increased from the 2024 fiscal year cap of $33,494.01. The Hospice Payment Final Rule also includes clarifying revisions to the hospice conditions of participation; updates statistical area delineations; and makes changes to the Consumer Assessment of Healthcare Providers and Systems (“CAHPS”) Hospice Survey.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2024, CMS issued the 2025 Home Health Prospective Payment System Final Rule (the “Home Health Payment Final Rule”). The Home Health Payment Final Rule’s payment update percentage for calendar year 2025 is 2.7%, an estimated increase of $445 million from calendar year 2024, which is reduced by an estimated 1.8% behavioral adjustment, along with a 0.4% estimated reduction for fixed dollar losses, resulting in an aggregate net increase of 0.5%, or $85 million, for the calendar year 2025 payment rate compared to calendar year 2024. The Home Health Payment Final Rule also recalibrates PDGM case-mix weights, finalizes an update to the home health wage index, updates home health conditions of participation to require patient acceptance policies, and establishes or updates certain LUPA add-on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2024, CMS announced a Period of Enhanced Oversight for newly enrolled hospices in Arizona, California, Nevada, and Texas. The program includes hospices that are newly enrolled, or that undergo a change of ownership, or reactivating after being in a deactivated status after July 13, 2023. Such hospices are subject to enhanced oversight for up to one year and may undergo medical review by CMS contractors to deter fraud, waste and abuse of Medicare funds. This period of enhanced oversight may last up to one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22, 2024, CMS published the Ensuring Access to Medicaid Services Final Rule (the “Access Rule”), which creates and, over the course of five years, implements new obligations for providers of home- and community-based services (“HCBS”), including non-skilled personal care services in the home. The Access Rule requires that, beginning in 2030, states must implement data collection and monitoring systems to ensure that, subject to exceptions, Medicaid-funded HCBS providers spend at least 80% of their Medicaid HCBS reimbursement on compensation for direct care workers, as opposed to administrative overhead or profits. The Access Rule further requires states to establish a grievance system for addressing services provided in the fee-for-service context, publish fee-for-service payment rates paid by Medicaid, publish the average hourly rate paid to HCBS care providers, and develop hardship exemptions and separate requirements for small providers, with these requirements to be implemented within one to three years from the Access Rule taking effect. We anticipate potential changes to the Access Rule, or offsetting Medicaid rate increases, before the Access Rule’s ultimate implementation in six years.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Medicare. </w:t>
      </w:r>
      <w:r>
        <w:rPr>
          <w:rFonts w:ascii="Times New Roman;sans-serif" w:hAnsi="Times New Roman;sans-serif"/>
          <w:b w:val="false"/>
          <w:color w:val="000000"/>
          <w:sz w:val="20"/>
        </w:rPr>
        <w:t>All providers are subject to compliance with various federal, state and local statutes and regulations in the U.S. and receive periodic inspection by state licensing agencies to review standards of medical care, equipment and safety.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Conditions of Participation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Our home health and hospice operations must comply with regulations promulgated by the United States Department of Health and Human Services (“HHS”) and CMS in order to participate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Medicare program and receive Medicare payments. Among other things, these conditions of participation (the “CoPs”), relate to the type of operation, its personnel and its standards of medical care, as well as its compliance with state and local laws and regulations. </w:t>
      </w:r>
    </w:p>
    <w:p>
      <w:pPr>
        <w:pStyle w:val="TextBody"/>
        <w:bidi w:val="0"/>
        <w:spacing w:before="0" w:after="0"/>
        <w:ind w:left="0" w:right="0" w:firstLine="81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Home Health Quality Reporting Requirements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CoPs require home health agencies to submit quality reporting data through Outcome and Assessment Information Set (“OASIS”) assessments within 30 days of completing the assessment of the Medicare and Medicaid beneficiary as a condition of payment and for quality measurement purposes. If the OASIS assessment is not found in CMS’s quality system upon receipt of a final claim for a home health episode and the receipt date of the claim is more than 30 days after the assessment completion date, CMS will deny the claim. Home health agencies that do not submit quality measure data to CMS incur a 4% reduction in their annual home health payment update. Under this CoP, all home health agencies are required to timely submit both a Start of Care or Resumption of Care OASIS assessment and a Transfer or Discharge OASIS assessment for a minimum of 90% of all episodes.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CMS requires that all Medicare certified home health and hospice agencies participate in CAHPS surveys. CAHPS surveys are designed to produce comparable data on the perspective of patients and their caregivers that allows meaningful and objective comparisons between agencies. Home health and hospice agencies that do not submit the required data incur a 4% reduction in their annual base rate payment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Home Health Star Rating</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As a consumer tool for selecting a home health provider, CMS has used a five-star rating model to rate home health agencies since 2015. This Quality of Patient Care Star Rating is a summary measure of a home health agency’s performance based upon how well it provides patient care. CMS uses seven measurements indicating quality to determine its quality of patient care rating, including how often the agency initiated care in a timely manner, how often patients demonstrated improvements in ambulation, bed transferring, bathing, oral medication administration, less shortness of breath, and decreased need for acute care hospitalization. According to CMS, a 3-star rating means the agency provides good quality of care, as a 3-star rating applies to most home health agencies. According to the January 2025 quarterly refresh of CMS Home Health Compare star rating criteria, our home health agencies have achieved an average of </w:t>
      </w:r>
      <w:r>
        <w:rPr>
          <w:rFonts w:ascii="Times New Roman;sans-serif" w:hAnsi="Times New Roman;sans-serif"/>
          <w:b w:val="false"/>
          <w:color w:val="000000"/>
          <w:sz w:val="20"/>
          <w:shd w:fill="FFFFFF" w:val="clear"/>
        </w:rPr>
        <w:t>4.1</w:t>
      </w:r>
      <w:r>
        <w:rPr>
          <w:color w:val="000000"/>
        </w:rPr>
        <w:t xml:space="preserve"> </w:t>
      </w:r>
      <w:r>
        <w:rPr>
          <w:rFonts w:ascii="Times New Roman;sans-serif" w:hAnsi="Times New Roman;sans-serif"/>
          <w:b w:val="false"/>
          <w:color w:val="000000"/>
          <w:sz w:val="20"/>
        </w:rPr>
        <w:t xml:space="preserve">out of 5 stars across all agencies compared to the industry average of 3.0 stars. </w:t>
      </w:r>
    </w:p>
    <w:p>
      <w:pPr>
        <w:pStyle w:val="TextBody"/>
        <w:bidi w:val="0"/>
        <w:spacing w:before="0" w:after="0"/>
        <w:ind w:left="0" w:right="0" w:firstLine="720"/>
        <w:jc w:val="both"/>
        <w:rPr/>
      </w:pPr>
      <w:r>
        <w:rPr/>
      </w:r>
    </w:p>
    <w:p>
      <w:pPr>
        <w:pStyle w:val="TextBody"/>
        <w:bidi w:val="0"/>
        <w:spacing w:lineRule="auto" w:line="288" w:before="0" w:after="0"/>
        <w:ind w:left="0" w:right="0" w:firstLine="810"/>
        <w:jc w:val="both"/>
        <w:rPr/>
      </w:pPr>
      <w:r>
        <w:rPr>
          <w:rFonts w:ascii="Times New Roman;sans-serif" w:hAnsi="Times New Roman;sans-serif"/>
          <w:b/>
          <w:i/>
          <w:color w:val="000000"/>
          <w:sz w:val="20"/>
        </w:rPr>
        <w:t>Home Health Reimbursement Under PDGM</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To qualify for home health services, Medicare CoPs require that beneficiaries (1) be homebound (meaning that the beneficiary is unable to leave their home without a considerable and taxing effort); (2) require intermittent skilled nursing, physical therapy, or speech therapy services; (3) have a face to face encounter that (a) has occurred no more than 90 days prior to the start of care or within 30 days after the start of care, (b) was related to the primary reason the patient requires home health services, and (c) was performed by a physician or allowed non-physician provider; and (4) receive treatment under a plan of care established and periodically reviewed by a physician.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PDGM, Medicare provides agencies with payments for each 30-day payment period provided to beneficiaries. There is no limit to the number of periods of care a beneficiary who remains eligible for the home health benefit can receive. The reimbursement rate is determined by a set of factors intended to account for the cost of providing care to each patient. Payments may be adjusted for certain variables including, but not limited to the number of visits provided, patient transfers, and other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Home Health Value Based Purchasing (“HHVBP”)</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After introducing HHVBP models in select states from 2016 to 2021, CMS expanded HHVBP to all fifty states beginning on January 1, 2022. Fiscal Year (“FY”) 2022 was the pre-implementation year wherein CMS provided Home Health Agencies (“HHAs”) with resources and training, which allowed HHAs time to prepare and learn about the expectations and requirements of the expanded HHVBP Model without risk to payments. FY 2023 (beginning on January 1, 2023) was the first full performance year for the expanded HHVBP Model. FY 2024 was the second year for the expanded HHVBP model, based on FY 2022 for its baseline, and HHA performance for the FY 2024 applicable measure set determines payment adjustments applicable to FY 2026 Medicare fee-for-service claims by HHAs. FY 2025 is the first year when payment will be adjusted determined on FY 2023 performance. Payment adjustments could be as much as 5% in 2025 based on data obtained in FY 2023 and CMS could increase the payment adjustment percentage in future years.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Review Choice Demonstration for Home Health Services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Review Choice Demonstration for Home Health Services (“RCD”) is mandatory for our HHAs in Texas and allows them to select from three initial options for payment review:</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Pre-claim review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Post-payment review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Minimal post-payment review with a 25% payment reduction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a 6-month period, HHAs demonstrating compliance with Medicare rules through pre-claim review or post-payment review will have additional choices, including relief from most reviews except for a review of a small sample of claims. (To be eligible, HHAs must meet a 90% target full provisional affirmation rate based on a minimum 10 requests or claims submitted.) This program is designed to reduce the number of Medicare appeals, improve provider compliance with Medicare program requirements, should not delay care to Medicare beneficiaries, and does not alter or reduce the Medicare home health benefit.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Hospice Special Focus Program</w:t>
      </w:r>
      <w:r>
        <w:rPr>
          <w:rFonts w:ascii="Times New Roman;sans-serif" w:hAnsi="Times New Roman;sans-serif"/>
          <w:b w:val="false"/>
          <w:color w:val="000000"/>
          <w:sz w:val="20"/>
        </w:rPr>
        <w:t>. In 2024, CMS implemented a Hospice Special Focus Program (“HSFP”). Under this program, 50 hospices will be selected annually for inclusion in the HSFP based on certain quality and survey data. Hospices in the HSFP will be surveyed at least semiannually every 6 months for a period of 18 months. To successfully exit the HSFP, a hospice must have two surveys within 18 months with no uncorrected condition-level deficiencies, and no pending complaint investigations triaged at the immediate jeopardy or condition-level and must otherwise be substantially compliant with all applicable requirements.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Hospice Reimbursement and Cap Amounts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Payments are based on daily rates for each day a beneficiary is enrolled in the hospice benefit and are subject to two annual caps.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Routine Home Care (“RHC”)</w:t>
      </w:r>
      <w:r>
        <w:rPr>
          <w:rFonts w:ascii="Times New Roman;sans-serif" w:hAnsi="Times New Roman;sans-serif"/>
          <w:b/>
          <w:color w:val="000000"/>
          <w:sz w:val="20"/>
        </w:rPr>
        <w:t xml:space="preserve">. </w:t>
      </w:r>
      <w:r>
        <w:rPr>
          <w:rFonts w:ascii="Times New Roman;sans-serif" w:hAnsi="Times New Roman;sans-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General Inpatient Care. </w:t>
      </w:r>
      <w:r>
        <w:rPr>
          <w:rFonts w:ascii="Times New Roman;sans-serif" w:hAnsi="Times New Roman;sans-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 xml:space="preserve">Continuous Home Care. </w:t>
      </w:r>
      <w:r>
        <w:rPr>
          <w:rFonts w:ascii="Times New Roman;sans-serif" w:hAnsi="Times New Roman;sans-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Inpatient Respite Care.</w:t>
      </w:r>
      <w:r>
        <w:rPr>
          <w:color w:val="000000"/>
        </w:rPr>
        <w:t xml:space="preserve"> </w:t>
      </w:r>
      <w:r>
        <w:rPr>
          <w:rFonts w:ascii="Times New Roman;sans-serif" w:hAnsi="Times New Roman;sans-serif"/>
          <w:b w:val="false"/>
          <w:color w:val="000000"/>
          <w:sz w:val="20"/>
        </w:rPr>
        <w:t>Short-term, inpatient care to give temporary relief to the caregiver who regularly provides care to the patient.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CMS has established a two-tiered payment system for RHC. Hospices are reimbursed at a higher rate for RHC services provided from days of service one through 60 and then a lower rate for all subsequent days of service. CMS also provided for a Service Intensity Add-On, which increases payments for certain RHC services provided by registered nurses and social workers to hospice patients during the final seven days of life.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payments are subject to two fixed annual caps, which are assessed on a provider-number basis and are broken into an inpatient cap amount and an overall payment cap. These cap amounts are calculated and published by the applicable Medicare fiscal intermediary on an annual basis covering the fiscal year, measured as the period from October 1 through September 30. The inpatient cap limits hospice care provided on an inpatient basis. This cap limits the number of days that are paid at the higher inpatient care rate to 20.0% of the total number of days of hospice care that are provided to all Medicare beneficiaries served by a provider. The daily rate for all days exceeding the cap is the standard RHC daily rate, and the provider must reimburse Medicare for any payments received exceeding that amount. The Medicare fiscal intermediary calculates the overall payment cap at the end of each hospice cap period to determine the maximum allowable payments to a hospice provider during the period. We estimate our potential cap exposure by using available information to compare our actual reimbursement for all hospice services provided during the period to the number of beneficiaries we served multiplied by the statutory per beneficiary cap amount. If payments received by any one of our hospice provider numbers exceeds either of these caps, we are required to reimburse Medicare for payments received in excess of the cap amounts. The hospice cap amount for the 2024 fiscal year was $33,494.01. The hospice cap amount for the 2025 fiscal year is $34,465.34, which is a 2.9% increase over the 2024 fiscal year hospice cap.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Improving Medicare Post-Acute Care Transformation Act of 2014 (“IMPACT Act”)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IMPACT Act requires the submission of standardized assessment data for quality improvement, payment and discharge planning purposes across the spectrum of post-acute care providers (“PACs”), including home health agencies. Failure to report such data when required subjects a PAC to a 2% reduction in market basket prices then in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Hospice Quality Reporting Requirements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HQRP, mandated by the Patient Protection and Affordable Care Act, requires hospice agencies to submit required quality data for inclusion on the public facing Hospice Compare website hosted by CMS. Hospices that fail to meet quality reporting requirements receive a 4.0% reduction to the annual market basket update for the next fiscal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Licensure and Certificates of Need (“CON”). </w:t>
      </w:r>
      <w:r>
        <w:rPr>
          <w:rFonts w:ascii="Times New Roman;sans-serif" w:hAnsi="Times New Roman;sans-serif"/>
          <w:b w:val="false"/>
          <w:color w:val="000000"/>
          <w:sz w:val="20"/>
        </w:rPr>
        <w:t>Home health, hospice and most senior living communities operate under licenses granted by the health authorities of their respective states. Some states require healthcare providers (including home health, hospice and most senior living providers) to obtain prior state approval for the purchase, construction or expansion of healthcare operations, or changes in services. Certain states, including a number in which we operate, carefully restrict new entrants into the market based on demographic and/or demonstrative usage of additional providers. These states limit the entry of new providers or services and the expansion of existing providers or services in their markets through a CON process, which is periodically evaluated and updated as required by applicable state law. For those states that require a CON, we must also complete a separate application process establishing a location and must receive required approvals. Washington and Montana are the only CON states in which we operate home health or hospice agencies.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Patient Protection and Affordable Care Act (“ACA”). </w:t>
      </w:r>
      <w:r>
        <w:rPr>
          <w:rFonts w:ascii="Times New Roman;sans-serif" w:hAnsi="Times New Roman;sans-serif"/>
          <w:b w:val="false"/>
          <w:color w:val="000000"/>
          <w:sz w:val="20"/>
        </w:rPr>
        <w:t xml:space="preserve">Various healthcare reform provisions became law upon enactment of the ACA in 2010. The reforms contained in the ACA have affected our independent operating subsidiaries in some manner and are directed in large part at increased quality and cost reductions. These reforms include modifications to the conditions of qualification for payment, bundling of payments to cover both acute and post-acute care and the imposition of enrollment limitations on new providers. In 2022 and 2023, HHS engaged in rulemaking under Section 1557 of the ACA that would expand the influence and authority of existing civil rights laws, and prohibitions against discrimination on the bases of race, national origin, sex (or sex stereotype), gender identity or expression, disability, or age, within the healthcare context. On April 27, 2024, HHS finalized and published a final rule containing revised regulations that implemented Section 1557 of the ACA and its anti-discrimination provisions, which contains staggered implementation dates that began taking effect on July 5, 2024. Presidential and congressional elections may result in significant changes in legislation, regulation, and implementation of Medicare, Medicaid, and government policy, along with potential changes to tax rates and other tax treatment of our operations. We continually monitor these developments so we can respond to the changing regulatory environment impacting our business. These rules could be amended by the current administration.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Civil Rights.</w:t>
      </w:r>
      <w:r>
        <w:rPr>
          <w:color w:val="000000"/>
        </w:rPr>
        <w:t xml:space="preserve"> </w:t>
      </w:r>
      <w:r>
        <w:rPr>
          <w:rFonts w:ascii="Times New Roman;sans-serif" w:hAnsi="Times New Roman;sans-serif"/>
          <w:b w:val="false"/>
          <w:color w:val="000000"/>
          <w:sz w:val="20"/>
        </w:rPr>
        <w:t xml:space="preserve">On January 25, 2024, the HHS Office for Civil Rights (“OCR”) issued guidance to healthcare providers, services, and facilities emphasizing the importance of non-discriminatory visitation policies consistent with CMS regulations and the U.S. National Strategy to Counter Antisemitism, highlighting the prohibition of discrimination based on religion or other protected characteristics during public health emergencies. This guidance also addresses instances of non-compliance, such as unequal treatment based on religious beliefs or dietary restrictions, and outlines the support OCR provides to ensure compliance, encouraging affected individuals to file complaints for potential enforcement actions. This guidance could be amended by the current administration.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Civil and Criminal Fraud and Abuse Laws and Enforcement</w:t>
      </w:r>
      <w:r>
        <w:rPr>
          <w:rFonts w:ascii="Times New Roman;sans-serif" w:hAnsi="Times New Roman;sans-serif"/>
          <w:b w:val="false"/>
          <w:color w:val="000000"/>
          <w:sz w:val="20"/>
        </w:rPr>
        <w:t>. Various complex federal and state laws exist which govern a wide array of referrals, relationships and arrangements, and prohibit fraud by healthcare providers. Governmental agencies are devoting increasing attention and resources to such anti-fraud efforts. In connection with our involvement with federal healthcare reimbursement programs, the government or those acting on its behalf may bring an action under the False Claims Act (“FCA”), alleging that a healthcare provider has defrauded the government by submitting a claim for items or services not rendered as claimed, which may include coding errors, billing for services not provided, and submitting false or erroneous cost reports. The FCA is a frequent topic of analysis for the United States Supreme Court. As a result, interpretations of the FCA’s meaning periodically change, and the FCA has been, and may be in the future, amended by Congress as a result of United States Supreme Court decisions. Civil monetary penalties (“CMPs”) under the FCA and other authorities, including the Civil Monetary Penalties Law, 42 U.S.C. § 1320a-7a, are substantial and are adjusted annually for inflation. Under the qui tam or “whistleblower” provisions of the FCA, a private individual with knowledge of fraud may bring a claim on behalf of the federal government and receive a percentage of the federal government’s recovery. Due to these whistleblower incentives, lawsuits have become more frequent. Many states also have a false claim prohibition that mirrors or tracks the federal FCA. Federal law also provides that the Office of the Inspector General for HHS (“OIG”) has the authority to exclude individuals and entities from federally funded healthcare programs on a number of grounds, including, but not limited to, certain types of criminal offenses, licensure revocations or suspensions, and exclusion from state or other federal healthcare programs. In addition, CMS can recover overpayments from healthcare providers up to five years following the year in which payment was made.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adverse consequences if we violate federal law related to certain Medicare physician referrals. Section 1877 of the Social Security Act, commonly known as the “Stark Law,” provides that a physician may not refer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Medicare or Medicaid patient for a “designated health service” to an entity with which the physician or an immediate family member has a financial relationship unless the financial arrangement meets an exception under the Stark Law or its regulations. Any funds collected for an item or service resulting from a referral that violates the Stark Law must be repaid to Medicare or Medicaid, any other third-party payor, and the patient. In addition, CMPs, which are adjusted for annual inflation, treble damages, and Medicare exclusion may be imposed for presenting or causing to be presented, a claim for a service rendered in violation of the Stark Law. Many states have enacted healthcare provider referral laws that go beyond physician self-referrals or apply to a greater range of services than just the designated health services under the Stark Law.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Monitoring Compliance in our Operations. </w:t>
      </w:r>
      <w:r>
        <w:rPr>
          <w:rFonts w:ascii="Times New Roman;sans-serif" w:hAnsi="Times New Roman;sans-serif"/>
          <w:b w:val="false"/>
          <w:color w:val="000000"/>
          <w:sz w:val="20"/>
        </w:rPr>
        <w:t>As a healthcare provider, we have a compliance program to help us comply with various requirements of federal, state and private healthcare programs. Our compliance program includes, among other things, (1) policies and procedures modeled after applicable laws, regulations, government manuals and industry practices and customs that govern the clinical, reimbursement and operational aspects of our subsidiaries; (2) training about our compliance process for the employees of our independent operating subsidiaries, our directors and officers; (3) training about Medicare and Medicaid laws, fraud and abuse prevention, clinical standards and practices, and claim submission and reimbursement policies and procedures for appropriate employees; and (4) internal controls that monitor, for example, the accuracy of claims, reimbursement submissions, cost reports and source documents, provision of patient care, services, and supplies as required by applicable standards and laws, accuracy of clinical assessment and treatment documentation, and implementation of judicial and regulatory requirements (e.g., background checks, licensing and training). The results of our compliance program are regularly reported to the board of directors.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government agencies and other authorities periodically inspect our operations to assess our compliance with various standards, rules and regulations. The robust regulatory and enforcement environment continues to impact healthcare providers, especially in connection with responses to any alleged noncompliance identified in periodic surveys and other inspections by government authorities. Unannounced surveys or inspections generally occur at least annually at our independent operating subsidiaries and may also follow a government agency's receipt of a complaint about an operation. We are also subject to regulatory reviews relating to Medicare services, billings and potential overpayments resulting from the Recovery Audit Contractors, Zone Program Integrity Contractors, Program Safeguard Contractors, Unified Program Integrity Contractors, Supplemental Medical Review Contractors and Medicaid Integrity Contributors programs in which third party firms engaged by CMS conduct extensive reviews of claims data and medical and other records to identify potential improper payments under the Medicare programs. We must pass these inspections to maintain our licensure under state law, to obtain or maintain certification under the Medicare and Medicaid programs, to continue participation in the Veterans Administration (“VA”) program at some operations, and/or to comply with our provider contracts with managed care clients at many operations. From time to time, we, like others in the healthcare industry, may receive notices from federal and state regulatory agencies alleging that we failed to substantially comply with applicable standards, rules or regulations. These notices may require us to take corrective action, may impose CMPs for noncompliance, and may threaten or impose other sanctions and operating restrictions, up through and including the loss of licensure and termination of, or exclusion from, important payor relationships. If our operations fail to comply with these directives or otherwise fail to comply substantially with licensure and certification laws, rules and regulations, we could lose our certification as a Medicare or Medicaid provider, lose our state licenses to operate and be subject to fines and penalties.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operations in our industries with otherwise acceptable regulatory histories are generally given an opportunity to correct deficiencies and continue their participation in the Medicare and Medicaid programs by a certain date, usually within nine months, although where denial of payment or similar remedies are asserted, such interim remedies go into effect much sooner. Operations with poor regulatory histories continue to be classified by CMS as poor performing operations notwithstanding any intervening change in ownership, unless the new owner obtains a new Medicare provider agreement instead of assuming the operation's existing agreement. However, new owners (including us, historically) nearly always assume the existing Medicare provider agreement due to the difficulty and time delays generally associated with obtaining new Medicare certifications, especially in previously certified locations with sub-par operating histories. Accordingly, operations that have poor regulatory histories before we acquire them may be more likely to have sanctions imposed upon them by CMS or state regulators.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Regulations Regarding Patient Record Confidentiality. </w:t>
      </w:r>
      <w:r>
        <w:rPr>
          <w:rFonts w:ascii="Times New Roman;sans-serif" w:hAnsi="Times New Roman;sans-serif"/>
          <w:b w:val="false"/>
          <w:color w:val="000000"/>
          <w:sz w:val="20"/>
        </w:rPr>
        <w:t xml:space="preserve">We are also subject to laws and regulations enacted to protect the confidentiality of patient health information. For example, HHS has issued rules pursuant to Health Insurance Portability and Accountability Act of 1996 (“HIPAA”) as amended by the Health Information Technology for Economic and Clinical Health (“HITECH”) Act, which relate to the privacy of certain patient information and provide patients with the right of access to their health information. These rules govern our use and disclosure of protected health information. We have established policies and procedures to comply with HIPAA privacy, security and breach notification requirements at our facilities and operations subject to HIPAA. We maintain a company-wide HIPAA compliance plan, which we believe complies with the HIPAA regulations. The HIPAA regulations have and will continue to impose significant costs on our facilities in order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comply with these standards. Our operations are also subject to any federal or state privacy-related laws that are more restrictive than the privacy regulations issued under HIPAA. These laws vary and could impose additional penalties for privacy and security breaches. In December 2024, HHS issued a notice of proposed rulemaking proposing several changes to HIPAA’s security rule, including, among other things, requiring written procedures to respond to security incidents, annual security compliance audits, encryption of PHI, and use of multi-factor authentication. These requirements could change before the proposed rule is finalized.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Climate Laws.</w:t>
      </w:r>
      <w:r>
        <w:rPr>
          <w:color w:val="000000"/>
        </w:rPr>
        <w:t xml:space="preserve"> </w:t>
      </w:r>
      <w:r>
        <w:rPr>
          <w:rFonts w:ascii="Times New Roman;sans-serif" w:hAnsi="Times New Roman;sans-serif"/>
          <w:b w:val="false"/>
          <w:color w:val="000000"/>
          <w:sz w:val="20"/>
        </w:rPr>
        <w:t>In 2023, California enacted SB 253 and SB 261, which require new climate disclosures from companies doing business in California. SB 253 requires companies with annual revenues of $1 billion or more to disclose their greenhouse gas emissions. SB 261 requires companies with annual revenues of $500 million or more to disclose their climate-related risks and the measures they use to reduce and adapt to those risks. These reports are first due from companies in 2026. Additional details regarding the application and requirements of these laws will be included in future regulations.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Antitrust Laws. </w:t>
      </w:r>
      <w:r>
        <w:rPr>
          <w:rFonts w:ascii="Times New Roman;sans-serif" w:hAnsi="Times New Roman;sans-serif"/>
          <w:b w:val="false"/>
          <w:color w:val="000000"/>
          <w:sz w:val="20"/>
        </w:rPr>
        <w:t>We are also subject to federal and state antitrust laws. Enforcement of the antitrust laws against healthcare providers is common, and antitrust liability may arise in a wide variety of circumstances, including third party contracting, physician relations, joint venture, merger, affiliation and acquisition activities. In some respects, the application of federal and state antitrust laws to healthcare is still evolving, and enforcement activity by federal and state agencies appears to be increasing. At various times, healthcare providers and insurance and managed care organizations may be subject to an investigation by a governmental agency charged with the enforcement of antitrust laws or may be subject to administrative or judicial action by a federal or state agency or a private party. Violators of the antitrust laws could be subject to criminal and civil enforcement by federal and state agencies, as well as by private litigants.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Regulations Specific to Senior Living Communities. </w:t>
      </w:r>
      <w:r>
        <w:rPr>
          <w:rFonts w:ascii="Times New Roman;sans-serif" w:hAnsi="Times New Roman;sans-serif"/>
          <w:b w:val="false"/>
          <w:color w:val="000000"/>
          <w:sz w:val="20"/>
        </w:rPr>
        <w:t>Senior living services revenue is primarily derived from private pay residents at rates we establish based upon the needs of the resident, the amount of services we provide the resident, and market rate environment in the area of operation. In addition, Medicaid or other state-specific programs may supplement payments for board and care services provided in senior living communities. A majority of states provide, or are approved to provide, Medicaid payments for personal care and medical services to some residents in licensed senior living communities under waivers granted by or under Medicaid state plans approved by CMS. State Medicaid programs control costs for assisted living and other home- and community-based services by various means such as restrictive financial and functional eligibility standards, enrollment limits and waiting lists. States that administer Medicaid programs for services in senior living communities are responsible for monitoring the services at, and physical conditions of, the participating communities. As a result of the growth of assisted living in recent years, states have adopted licensing standards applicable to assisted living communities. Most state licensing standards apply to assisted living communities regardless of whether they accept Medicaid funding.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living segment is subject to a variety of federal, state and local environmental laws and regulations. As a senior living services provider, we face regulatory requirements in areas of air and water quality control, medical and low-level radioactive waste management and disposal, asbestos management, response to mold and lead-based paint in our facilities and employee safety.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an operator of our communities, we also may be required to investigate and remediate hazardous substances that are located on and/or under the property, including any such substances that may have migrated off, or may have been discharged or transported from the property. Part of our operations involves the handling, use, storage, transportation, disposal and discharge of medical, biological, infectious, toxic, flammable and other hazardous materials, wastes, pollutants or contaminants. In addition, we are sometimes unable to determine with certainty whether prior uses of our communities and properties or surrounding properties may have produced continuing environmental contamination or noncompliance, particularly where the timing or cost of making such determinations is not deemed cost-effective. These activities, as well as the possible presence of such materials in, on and under our properties, may result in damage to individuals, property or the environment; may interrupt operations or increase costs; may result in legal liability, damages, injunctions or fines; may result in investigations, administrative proceedings, penalties or other governmental agency actions. Associated costs may not be covered by insurance.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under the Securities Exchange Act of 1934, as amended (the “Exchange Act”). Consequently, we are required to file reports and information with the Securities and Exchange Commission (“SEC”), including reports on the following forms: annual reports on Form 10-K, quarterly reports on Form 10-Q, current reports on Form 8-K, and amendments to those reports filed or furnished pursuant to Section 13(a) or 15(d) of the Exchange Act. These reports and other information concerning our company may be accessed through the SEC’s website at http://www.sec.gov.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may also find on our website at www.pennantgroup.com electronic copies of our annual reports on Form 10-K, quarterly reports on Form 10-Q, current reports on Form 8-K and amendments to those reports filed or furnished pursuant to Section 13(a) or 15(d) of the Exchange Act. Such filings are placed on our website as soon as reasonably possible after they are filed with the SEC. All such filings are available free of charge. Information contained in our website is not deemed to be a part of this Annual Report on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Based on the information currently known to us, we believe that the following information identifies material risk factors affecting our company. However, the risks and uncertainties we face are not limited to those described below. Additional risks and uncertainties may also adversely affect our business. If any of the following risks and uncertainties develops into actual events, these events could have a material adverse effect on our business, financial condition or results of operations. In such case, the trading price of our common stock could decline.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Our revenue could be impacted by federal changes to reimbursement and other aspects of Medicare.</w:t>
      </w:r>
      <w:r>
        <w:rPr>
          <w:color w:val="000000"/>
        </w:rPr>
        <w:t xml:space="preserve"> </w:t>
      </w:r>
      <w:r>
        <w:rPr>
          <w:rFonts w:ascii="Times New Roman;sans-serif" w:hAnsi="Times New Roman;sans-serif"/>
          <w:b w:val="false"/>
          <w:color w:val="000000"/>
          <w:sz w:val="20"/>
        </w:rPr>
        <w:t xml:space="preserve">We derived 48.3% of our revenue from the Medicare program for the year ended December 31, 2024, which is typical. In addition, other payors may use published Medicare rates as a basis for reimbursements. The Medicare program and its reimbursement rates, caps, deductibles and rules are subject to frequent change for a variety of reasons, which is discussed in Item 1.,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xml:space="preserve">. Budget pressures also frequently lead the federal government to reduce or limit reimbursement rates under Medicare, and to adjust when or how those reductions or limitations are implemented, including sometimes doing so retroactively. Additionally, Medicare payments can be delayed or denied (including retroactively) due to determinations that certain costs, services or providers are not covered. Accordingly, if Medicare reimbursement rates are reduced or fail to increase as quickly as our costs, if we do not realize an adequate percentage of billed Medicare charges, or if there are changes in the way these programs pay for services or what services or providers are covered, our business and results of operations would be adversely affected. CMS has also introduced in the past, and will likely introduce in the future, new payment models, such as value-based arrangements or payment models that look to numerous factors in order to issue full payment, in markets in which we operate. Those models may depend on the formation of preferred provider relationships among payors and providers. Our operations may not successfully implement or adapt to these changes and our operations could be materially impacted.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Reductions in Medicaid reimbursement rates or changes in the rules governing the Medicaid program could have a material, adverse effect on our revenues, financial condition and results of operations.</w:t>
      </w:r>
      <w:r>
        <w:rPr>
          <w:color w:val="000000"/>
        </w:rPr>
        <w:t xml:space="preserve"> </w:t>
      </w:r>
      <w:r>
        <w:rPr>
          <w:rFonts w:ascii="Times New Roman;sans-serif" w:hAnsi="Times New Roman;sans-serif"/>
          <w:b w:val="false"/>
          <w:color w:val="000000"/>
          <w:sz w:val="20"/>
        </w:rPr>
        <w:t>We derived 13.2% of our revenue from Medicaid programs for the year ended December 31, 2024, which is typical. Any budget reductions or funding restrictions, discontinuance or reduction of federal matching, change in payment methodology or delays in states in which we operate could adversely affect our net patient service revenue and profitability. Like Medicare payments, Medicaid payments can be delayed due to budgetary constraints of the state or state agencies responsible for making such payments, and Medicaid payments may be declined (including retroactively) due to determinations that certain costs, services or providers are not covered by the state Medicaid agency or its intermediary organizations. Additionally, in many states where we operate Medicaid benefits are administered through Medicaid Managed Care Organizations (“MCOs”), which are operated by private insurance companies. These MCOs may apply different, stricter standards for reimbursement and prior authorization of our services, which may further adversely affect our ability to be paid for our services. We can expect continuing cost containment pressures on Medicaid outlays, whether administered directly by a state program or through an MCO, for our services.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Reforms to the U.S. healthcare system continue to impose new requirements upon us and may lower our reimbursements.</w:t>
      </w:r>
      <w:r>
        <w:rPr>
          <w:color w:val="000000"/>
        </w:rPr>
        <w:t xml:space="preserve"> </w:t>
      </w:r>
      <w:r>
        <w:rPr>
          <w:rFonts w:ascii="Times New Roman;sans-serif" w:hAnsi="Times New Roman;sans-serif"/>
          <w:b w:val="false"/>
          <w:color w:val="000000"/>
          <w:sz w:val="20"/>
        </w:rPr>
        <w:t xml:space="preserve">Healthcare reform is a key political and legislative focal point. We cannot predict what effect legislative or regulatory changes (including, for instance, proposals for Medicare-for-All or public option insurers operated by one or more individual states), will have on our business, including the demand for our services or the amount of reimbursement available for those services. The consequences of elections are not yet fully known for this industry, and our industry may be affected by presidential and congressional election outcomes. It is possible new laws may lower reimbursement or increase the cost of doing business and adversely affect our business.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We are subject to various government reviews, audits and investigations that could adversely affect our business, including an obligation to refund amounts previously paid to us, potential criminal charges, the imposition of fines, and/or the loss of our right to participate in Medicare and Medicaid programs.</w:t>
      </w:r>
      <w:r>
        <w:rPr>
          <w:color w:val="000000"/>
        </w:rPr>
        <w:t xml:space="preserve"> </w:t>
      </w:r>
      <w:r>
        <w:rPr>
          <w:rFonts w:ascii="Times New Roman;sans-serif" w:hAnsi="Times New Roman;sans-serif"/>
          <w:b w:val="false"/>
          <w:color w:val="000000"/>
          <w:sz w:val="20"/>
        </w:rPr>
        <w:t xml:space="preserve">As discussed in greater detail in Item 1.,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xml:space="preserve">, as a result of our participation in the Medicaid and Medicare programs, we are frequently subject to various governmental reviews, audits and investigations to verify our compliance with these programs. In addition to routine audits, in its November 2023 Final Rule, CMS finalized a provisional period of enhanced oversight, including prepayment medical reviews, for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hospice providers that are newly enrolled or undergo a change of ownership, which expanded in June 2024 to include reactivated hospice providers in states where we operate. Private pay sources also reserve the right to conduct audits. Disagreements about billing and reimbursement are common in our industry due in part to the subjectivity inherent in patient diagnosis and care, record keeping, claims processing and other aspects of the patient service and reimbursement processes. An adverse review, audit or investigation could result in (1) an obligation to refund amounts previously paid to us by payors in amounts that could vastly exceed the revenue derived from claims actually reviewed in the audit, and could be material to our business; (2) state or federal agencies imposing fines, penalties and other sanctions on us; (3) suspension of Medicare or Medicaid payments (4) loss of our right to participate in the Medicare or Medicaid programs or one or more private payor networks; (5) an increase in private litigation against us; and (6) damage to our reputation with potential residents, referral sources, and others in various markets.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claim and documentation review by any CMS contractor results in repeated poor performance, an operation can be subjected to protracted oversight. Sustained failure to demonstrate improvement towards meeting all claim filing and documentation requirements could ultimately lead to Medicare decertification. Additionally, both federal and state government agencies have heightened and coordinated civil and criminal enforcement efforts as part of numerous ongoing investigations of healthcare companies. The focuses of these investigations include among other things: cost reporting and billing practices; quality of care; financial relationships with referral sources; and medical necessity of services provided. If any of our affiliated operations is decertified, loses its license(s), or is subject to criminal charges or civil claims, administrative sanctions or penalties, our revenue, financial condition or results of operations would be adversely affected. We or some of the key personnel of our independent operating subsidiaries could also be temporarily or permanently excluded from future participation in state and federal healthcare reimbursement programs such as Medicaid and Medicare. In addition, the report of such issues at any of our affiliated operations could harm our reputation for quality care and could cause us to be in default under some of our agreements, including agreements governing outstanding indebtedness. Responding to audits, litigation or enforcement efforts diverts material time, resources and attention, and could have a materially detrimental impact on our results of operations during and after any such investigation or proceedings, regardless of whether we prevail.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If we do not operate in compliance with the extensive laws and regulations to which we are subject, or if these laws and regulations change, we could be required to make significant expenditures or change our operations to bring our operations into compliance.</w:t>
      </w:r>
      <w:r>
        <w:rPr>
          <w:color w:val="000000"/>
        </w:rPr>
        <w:t xml:space="preserve"> </w:t>
      </w:r>
      <w:r>
        <w:rPr>
          <w:rFonts w:ascii="Times New Roman;sans-serif" w:hAnsi="Times New Roman;sans-serif"/>
          <w:b w:val="false"/>
          <w:color w:val="000000"/>
          <w:sz w:val="20"/>
        </w:rPr>
        <w:t xml:space="preserve">We, like other companies in the healthcare industry, are required to comply with extensive and complex laws and regulations at the federal, state and local government levels as discussed in greater detail in Item 1., </w:t>
      </w:r>
      <w:r>
        <w:rPr>
          <w:rFonts w:ascii="Times New Roman;sans-serif" w:hAnsi="Times New Roman;sans-serif"/>
          <w:b w:val="false"/>
          <w:i/>
          <w:color w:val="000000"/>
          <w:sz w:val="20"/>
        </w:rPr>
        <w:t>Government Regulation.</w:t>
      </w:r>
      <w:r>
        <w:rPr>
          <w:color w:val="000000"/>
        </w:rPr>
        <w:t xml:space="preserve"> </w:t>
      </w:r>
      <w:r>
        <w:rPr>
          <w:rFonts w:ascii="Times New Roman;sans-serif" w:hAnsi="Times New Roman;sans-serif"/>
          <w:b w:val="false"/>
          <w:color w:val="000000"/>
          <w:sz w:val="20"/>
        </w:rPr>
        <w:t>These laws and regulations are subject to frequent and unpredictable change. If we fail to comply with these applicable laws and regulations, we could suffer civil or criminal penalties and other detrimental consequences, including denial of reimbursement, imposition of fines, temporary suspension of admission of new patients, suspension or decertification from the Medicaid and Medicare programs, restrictions on our ability to acquire new operations or expand or operate existing operations, the loss of our licenses to operate and the loss of our ability to participate in federal and state reimbursement programs. These laws and regulations are complex, and we do not always have the benefit of significant regulatory or judicial interpretation of these laws and regulations. Changing interpretations or enforcement of these laws and regulations could subject our current or past practices to allegations of impropriety or illegality or could require us to change our operations, equipment, personnel, services, capital expenditure programs and operating expenses.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Public and government calls for increased survey and enforcement efforts toward our industries could result in increased scrutiny and potential sanctions or costly remedies. </w:t>
      </w:r>
      <w:r>
        <w:rPr>
          <w:rFonts w:ascii="Times New Roman;sans-serif" w:hAnsi="Times New Roman;sans-serif"/>
          <w:b w:val="false"/>
          <w:color w:val="000000"/>
          <w:sz w:val="20"/>
        </w:rPr>
        <w:t>Government authorities have increased the scope or number of inspections or surveys and the severity of consequent citations for alleged failure to comply with regulatory requirements.</w:t>
      </w:r>
      <w:r>
        <w:rPr>
          <w:color w:val="000000"/>
        </w:rPr>
        <w:t xml:space="preserve"> </w:t>
      </w:r>
      <w:r>
        <w:rPr>
          <w:rFonts w:ascii="Times New Roman;sans-serif" w:hAnsi="Times New Roman;sans-serif"/>
          <w:b w:val="false"/>
          <w:color w:val="000000"/>
          <w:sz w:val="20"/>
        </w:rPr>
        <w:t xml:space="preserve">As discussed in Item 1.,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from time to time in the ordinary course of business, we receive deficiency reports from state and federal regulatory bodies resulting from such inspections or surveys. Although most inspection deficiencies are resolved through an agreed-upon plan of corrective action, the reviewing agency typically has the authority to take further action against a licensed or certified operation, which could result in the imposition of fines and penalties, reports to the national practitioner data bank, imposition of a provisional or conditional license, suspension or revocation of a license, suspension of new admission or bed holds, loss of certification as a provider under state or federal healthcare programs or termination of the operations’ payment relationships with those programs, or imposition of other sanctions, including criminal penalties.</w:t>
      </w:r>
      <w:r>
        <w:rPr>
          <w:color w:val="000000"/>
        </w:rPr>
        <w:t xml:space="preserve"> </w:t>
      </w:r>
      <w:r>
        <w:rPr>
          <w:rFonts w:ascii="Times New Roman;sans-serif" w:hAnsi="Times New Roman;sans-serif"/>
          <w:b w:val="false"/>
          <w:color w:val="000000"/>
          <w:sz w:val="20"/>
        </w:rPr>
        <w:t xml:space="preserve">Furthermore, in some states, citations issued against one operation can affect other operations in the state, particularly where there is any element of common or affiliated ownership. Revocation of a license or decertification at a given operation could therefore impair our ability to obtain new licenses or to renew existing licenses at other operations, which may also trigger defaults or cross-defaults under our leases and our credit arrangements, or adversely affect our ability to operate in the future. If state or federal regulators were to determine, formally or otherwise, that one operation’s regulatory history ought to impact another of our existing or prospective businesses, this could also increase costs, result in additional fines or penalties, result in increased scrutiny by state and federal survey agencies, and impact our expansion plans as well as our ongoing operations. In addition, from time to time, we may opt to voluntarily stop accepting new patients pending completion of a new state survey,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avoid straining staff and other resources while retraining staff, upgrading operating systems or making other operational improvements, all of which can impact our financial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Future cost containment initiatives undertaken by payors may limit our future revenue and profitability</w:t>
      </w:r>
      <w:r>
        <w:rPr>
          <w:rFonts w:ascii="Times New Roman;sans-serif" w:hAnsi="Times New Roman;sans-serif"/>
          <w:b w:val="false"/>
          <w:color w:val="000000"/>
          <w:sz w:val="20"/>
        </w:rPr>
        <w:t xml:space="preserve">. Our managed care revenue and profitability may be affected by continuing efforts of third-party payors to maintain or reduce costs of healthcare by lowering payment rates, narrowing the scope of covered services and network providers, increasing case management review of services and negotiating pricing. In addition, sustained unfavorable economic conditions may affect the number of patients enrolled in managed care programs and the profitability of managed care companies, which could result in reduced revenue due to reduced reimbursement for our services. There can be no assurance that third-party payors will make timely payments for our services, not seek recoupment of payments on grounds that may or may not be valid, or that we will continue to maintain our current payor or revenue mix. We are continuing our efforts to develop our private pay sources of revenue. Any changes in payment levels from current or future third-party payors could have a material adverse effect on our business, financial condition, results of operations and cash flows. In addition, enrollment in Medicare Advantage programs continues to grow nationwide, and an increasing proportion of Medicare and Medicaid funds are managed by MCOs that also act as third-party payors who may seek to reduce reimbursement as described above.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Any economic downturn, deepening of an economic downturn, continued deficit spending by the Federal Government or state budget pressures may result in a reduction in payments and covered services. </w:t>
      </w:r>
      <w:r>
        <w:rPr>
          <w:rFonts w:ascii="Times New Roman;sans-serif" w:hAnsi="Times New Roman;sans-serif"/>
          <w:b w:val="false"/>
          <w:color w:val="000000"/>
          <w:sz w:val="20"/>
        </w:rPr>
        <w:t xml:space="preserve">Adverse economic developments in the United States could lead to a reduction in Federal Government expenditures, including government-funded programs in which we participate, such as Medicare and Medicaid. In addition, if at any time the Federal Government is not able to meet its debt payments due to Congress failing to appropriate funds for the payment of these obligations, the Federal Government may stop or delay making payments on its obligations, including funding for government programs in which we participate, such as Medicare and Medicaid. Failure of the government to make payments under these programs could have a material adverse effect on our business and consolidated financial condition, results of operations and cash flows. Further, any failure by the United States Congress to complete the federal budget process and fund government operations may result in a Federal Government shutdown, potentially causing us to incur substantial costs without reimbursement under the Medicare program, which could have a material adverse effect on our business and consolidated financial condition, results of operations and cash flows. As an example, the failure of the 2011 Joint Select Committee to meet its Deficit Reduction goal resulted in an automatic reduction in Medicare home health and hospice payments of 2% beginning April 1, 2013 (“sequestration” - suspended from May 1, 2020 through March 31, 2022; further extended by the Infrastructure Investment and Jobs Act of 2023, the Consolidated Appropriations Act of 2023, and the Consolidated Appropriations Act of 2024; the continuing resolution for further spending passed in the American Relief Act of 2025 (“ARA”) did waive the 4% pay-as-you-go sequestration, but the ARA did not halt reductions found in Medicare payment rules that took effect for fiscal year 2025, including those reductions that exceeded 2%). In addition, the Federal Reserve has increased interest rates repeatedly and significantly in recent quarters and may further increase or decrease interest rates in future quarters, impacting our cost of capital, our operating costs, and the economy as a whole.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Increased competition for, or a shortage of, nurses and other skilled personnel could increase our staffing and labor costs and negatively impact our operations.</w:t>
      </w:r>
      <w:r>
        <w:rPr>
          <w:color w:val="000000"/>
        </w:rPr>
        <w:t xml:space="preserve"> </w:t>
      </w:r>
      <w:r>
        <w:rPr>
          <w:rFonts w:ascii="Times New Roman;sans-serif" w:hAnsi="Times New Roman;sans-serif"/>
          <w:b w:val="false"/>
          <w:color w:val="000000"/>
          <w:sz w:val="20"/>
        </w:rPr>
        <w:t xml:space="preserve">Our success depends upon our ability to retain and attract nurses, certified nurse assistants, social workers and speech, physical and occupational therapists, as well as skilled personnel who are responsible for the day-to-day operations of each of our affiliated operations. If we fail to attract and retain qualified and skilled personnel, or if the associated costs to do so increase, our independent operating subsidiaries’ ability to conduct their business operations effectively could be harmed. Staffing challenges increased during the pandemic and have persisted due to health care worker burnout, COVID-19 exposures, vaccine mandates, and wage inflation, increasing the competition for qualified staff and cost of retaining personnel, and continue to affect our operations. There can be no assurance that we will be able to attract and retain key personnel going forward.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We depend on our management team and local leaders, and the loss of their services could harm our business.</w:t>
      </w:r>
      <w:r>
        <w:rPr>
          <w:color w:val="000000"/>
        </w:rPr>
        <w:t xml:space="preserve"> </w:t>
      </w:r>
      <w:r>
        <w:rPr>
          <w:rFonts w:ascii="Times New Roman;sans-serif" w:hAnsi="Times New Roman;sans-serif"/>
          <w:b w:val="false"/>
          <w:color w:val="000000"/>
          <w:sz w:val="20"/>
        </w:rPr>
        <w:t>We believe that our success depends in part on the continued services of our executive management and local leadership teams. The loss of, or failure to recruit, such key personnel could have a material adverse effect on our business and could adversely affect our strategic relationships and impede our ability to execute our business strategies. The market for qualified individuals is highly competitive and finding and recruiting suitable replacements for our leaders may be difficult, time-consuming and costly.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Our hospice independent operating subsidiaries are subject to annual Medicare caps calculated by Medicare. </w:t>
      </w:r>
      <w:r>
        <w:rPr>
          <w:rFonts w:ascii="Times New Roman;sans-serif" w:hAnsi="Times New Roman;sans-serif"/>
          <w:b w:val="false"/>
          <w:color w:val="000000"/>
          <w:sz w:val="20"/>
        </w:rPr>
        <w:t xml:space="preserve">With respect to our hospice independent operating subsidiaries, overall payments made by Medicare for each Medicare beneficiary are subject to caps calculated by Medicare, as discussed in greater detail in Item 1.,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xml:space="preserve">. If payments received by any one of our hospice provider numbers exceeds the caps for the beneficiary, we are required to reimburse Medicare for payments received in excess of the caps, which could have a material adverse effect on our business. Additionally, the annual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Medicare beneficiary caps may not keep pace with the rate of inflation or increased operating costs as it applies to the costs of caring for such patients, potentially resulting in our hospice independent operating subsidiaries treating these patients at a loss.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Security breaches and other cyber-security incidents could subject us to significant liability.</w:t>
      </w:r>
      <w:r>
        <w:rPr>
          <w:color w:val="000000"/>
        </w:rPr>
        <w:t xml:space="preserve"> </w:t>
      </w:r>
      <w:r>
        <w:rPr>
          <w:rFonts w:ascii="Times New Roman;sans-serif" w:hAnsi="Times New Roman;sans-serif"/>
          <w:b w:val="false"/>
          <w:color w:val="000000"/>
          <w:sz w:val="20"/>
        </w:rPr>
        <w:t>Data breaches and leaks, which represent a material risk to our business, are reported to have occurred with greater frequency and severity in 2024 than in prior years. Our business depends on the proper functioning and availability of our computer systems and networks. Our security measures designed to protect our information systems, data and patient health information and disaster recovery plan may not prevent damage, interruption, or breach of our information systems and operations. In addition, hardware, software or applications we use may contain defects in design or manufacture or other problems that could unexpectedly compromise the security of our information systems. Unauthorized parties may attempt to gain access to our systems or operations, or those of third parties with whom we do business, through fraud or other forms of deceiving our employees or contractors. In addition, costs and potential problems and interruptions associated with the implementation of new or upgraded systems and technology or with maintenance or support of existing systems also could disrupt or reduce the efficiency of our operations. If a cyber-security attack or other unauthorized attempt to access our systems, such as a ransomware attack, were to be successful, the incident could result in the theft, destruction, loss, misappropriation or release of confidential information or intellectual property, and could cause delays or disruptions that may materially impact our ability to provide various healthcare services. Any successful cyber-security attack or other unauthorized attempt to access our systems or operations also could result in negative publicity which could damage our reputation or brand with our patients, referral sources, payors or other third parties and could subject us to substantial regulatory, civil or criminal penalties, fines, investigations and enforcement actions, including under HIPAA and other federal and state privacy laws, including, for example, the California Consumer Privacy Act and Nevada Privacy Law, which includes a private right of action that may expose us to private litigation regarding our privacy practices and significant damages awards or settlements in civil litigation.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State efforts to regulate or deregulate the healthcare services industry or the construction or expansion of the number of home health, hospice or senior living operations could impair our ability to expand or result in increased competition.</w:t>
      </w:r>
      <w:r>
        <w:rPr>
          <w:color w:val="000000"/>
        </w:rPr>
        <w:t xml:space="preserve"> </w:t>
      </w:r>
      <w:r>
        <w:rPr>
          <w:rFonts w:ascii="Times New Roman;sans-serif" w:hAnsi="Times New Roman;sans-serif"/>
          <w:b w:val="false"/>
          <w:color w:val="000000"/>
          <w:sz w:val="20"/>
        </w:rPr>
        <w:t xml:space="preserve">As discussed in greater detail in Item 1.,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our ability to acquire or establish new home health, hospice or senior living operations or expand or provide new services at existing operations would be adversely affected if we are unable to obtain the necessary approvals, if there are changes in the standards applicable to those approvals, new laws or changes in applicable laws governing CON requirements (or increasing the circumstances where a CON is needed), or if we experience delays and increased expenses associated with obtaining those approvals. We may not be able to obtain licensure, CON approval, Medicare or Medicaid certification, Attorney General approval or other necessary approvals for future expansion projects. In recent years, states including, but not limited to, California and Oregon have introduced additional regulatory reviews and other barriers to health care transactions. Conversely, and specific to the highly competitive senior living industry, the elimination or reduction of state regulations that limit the construction, expansion or renovation of new or existing communities could result in increased competition to us. In general, regulatory and other barriers to entry in the senior living industry are not prohibitive. Over the last several years, there has been a significant increase in the construction of new senior living communities, including in the markets where we provide services. This has resulted in increased competition in many of our markets. Such new competition may limit our ability to attract new residents, raise rents or otherwise expand our senior living business, which could have a material adverse effect on our revenues, results of operations and cash flow.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Changes in federal and state employment-related laws and regulations could increase our cost of doing business.</w:t>
      </w:r>
      <w:r>
        <w:rPr>
          <w:color w:val="000000"/>
        </w:rPr>
        <w:t xml:space="preserve"> </w:t>
      </w:r>
      <w:r>
        <w:rPr>
          <w:rFonts w:ascii="Times New Roman;sans-serif" w:hAnsi="Times New Roman;sans-serif"/>
          <w:b w:val="false"/>
          <w:color w:val="000000"/>
          <w:sz w:val="20"/>
        </w:rPr>
        <w:t>Our independent operating subsidiaries are subject to a variety of federal and state employment-related laws and regulations, including, but not limited to, the U.S. Fair Labor Standards Act which governs such matters as minimum wages, overtime and other working conditions, the Americans with Disabilities Act (the “ADA”) and similar state laws that provide civil rights protections to individuals with disabilities in the context of employment, public accommodations and other areas, the National Labor Relations Act, regulations of the Equal Employment Opportunity Commission, regulations of the Office of Civil Rights, regulations of state Attorneys General, family leave mandates and a variety of similar laws. Because labor represents a large portion of our operating costs, changes in federal and state employment-related laws and regulations could increase our cost of doing business. We also may be subject to employee-related claims such as wrongful discharge, discrimination or violation of equal employment law. Employment claims, such as wage and hour claims, frequently are the subject of class action lawsuits in many states in which our independent affiliates operate, including, for example, California.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Required regulatory approvals could delay or prohibit transfers of our healthcare operations, which could result in periods in which we are unable to receive reimbursement for such properties.</w:t>
      </w:r>
      <w:r>
        <w:rPr>
          <w:color w:val="000000"/>
        </w:rPr>
        <w:t xml:space="preserve"> </w:t>
      </w:r>
      <w:r>
        <w:rPr>
          <w:rFonts w:ascii="Times New Roman;sans-serif" w:hAnsi="Times New Roman;sans-serif"/>
          <w:b w:val="false"/>
          <w:color w:val="000000"/>
          <w:sz w:val="20"/>
        </w:rPr>
        <w:t xml:space="preserve">Our independent operating subsidiaries must be licensed under applicable state law and, depending upon the type of operation, certified or approved as providers under the Medicare and/or Medicaid programs. In the process of acquiring or transferring operating assets, our operations must receive change of ownership approvals from state licensing agencies, Medicare and Medicaid, and third-party payors. If there are any delays in receiving regulatory approvals from the applicable federal, state or local government agencies, or from independent accreditation authorities that may be required by federal, state or local government agencies, or the inability to receive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approvals, such delays could result in delayed or lost reimbursement related to periods of service prior to the receipt of such approvals. By way of example, in 2022 California passed Assembly Bill 2673 which prohibits issuance of new hospice licenses and limits transfer of existing licenses, and other states where we operate may introduce similar legislation in the future. In 2024, CMS implemented a rule prohibiting hospice ownership from being transferred more than once in a 36-month period.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Compliance with federal and state fair housing, fire, safety and other regulations may require us to make unanticipated expenditures, which could be costly to us.</w:t>
      </w:r>
      <w:r>
        <w:rPr>
          <w:color w:val="000000"/>
        </w:rPr>
        <w:t xml:space="preserve"> </w:t>
      </w:r>
      <w:r>
        <w:rPr>
          <w:rFonts w:ascii="Times New Roman;sans-serif" w:hAnsi="Times New Roman;sans-serif"/>
          <w:b w:val="false"/>
          <w:color w:val="000000"/>
          <w:sz w:val="20"/>
        </w:rPr>
        <w:t>We must incur the expense of complying with the federal Fair Housing Act and similar state laws, and applicable fire and safety regulations, building codes and other land use regulations and food licensing or certification requirements as they may be adopted by governmental agencies and bodies from time to time and the expense may be substantial. Changes to these laws may require us to close operations, limit occupancy, or make other costly changes.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Our revenue, financial condition and results of operations could be negatively impacted by any changes in the acuity mix of patients in our affiliated operations as well as payor mix and payment methodologies.</w:t>
      </w:r>
      <w:r>
        <w:rPr>
          <w:color w:val="000000"/>
        </w:rPr>
        <w:t xml:space="preserve"> </w:t>
      </w:r>
      <w:r>
        <w:rPr>
          <w:rFonts w:ascii="Times New Roman;sans-serif" w:hAnsi="Times New Roman;sans-serif"/>
          <w:b w:val="false"/>
          <w:color w:val="000000"/>
          <w:sz w:val="20"/>
        </w:rPr>
        <w:t xml:space="preserve">Our revenue is determined in part by the acuity of home health and hospice patients and senior living residents. Changes in the acuity level of patients we attract, as well as our payor mix among Medicare, Medicaid, managed care organizations and private payors, may significantly affect our profitability because we generally receive higher reimbursement rates for high acuity patients and because the payors reimburse us at different rates. For the year ended December 31, 2024, 61.5% of our revenue was provided by government payors that reimburse us at predetermined rates, which is typical. If we fail to maintain our proportion of high acuity patients or if there is any significant increase in the percentage of the patients of our independent operating subsidiaries for whom we receive Medicaid reimbursement, our results of operations may be adversely affected. Among other initiatives, these payors attempt to control healthcare costs by contracting with healthcare providers to obtain services on a discounted basis. We believe that this trend will continue and may limit reimbursements for healthcare services. If insurers or managed care companies from whom we receive substantial payments were to reduce the amounts they pay for services, we may lose patients if we choose not to renew our contracts with these insurers at lower rates.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We are subject to litigation that could result in significant legal costs and large settlement amounts or damage awards.</w:t>
      </w:r>
      <w:r>
        <w:rPr>
          <w:color w:val="000000"/>
        </w:rPr>
        <w:t xml:space="preserve"> </w:t>
      </w:r>
      <w:r>
        <w:rPr>
          <w:rFonts w:ascii="Times New Roman;sans-serif" w:hAnsi="Times New Roman;sans-serif"/>
          <w:b w:val="false"/>
          <w:color w:val="000000"/>
          <w:sz w:val="20"/>
        </w:rPr>
        <w:t>Our business involves a significant risk of liability given the age and health of the patients and residents of our independent operating subsidiaries and the services we provide. The frequency and severity of litigation in the healthcare industry has increased, due in part to large verdicts and punitive damage awards. Claims are filed based upon a wide variety of assertions and theories, including deficiencies in conditions of participation under certain state and federal healthcare programs and wage and hour class actions. Plaintiffs’ attorneys have become increasingly aggressive in their pursuit of claims against healthcare providers, including home health, hospice and senior living providers, employing a wide variety of advertising and solicitation activities to generate more claims. Additionally, California, through its passage of AB 35, has increased the non-economic (i.e., pain and suffering) damages that may be recovered by attorneys on claims of professional negligence or malpractice in healthcare cases filed in California, and may embolden plaintiff’s attorneys to be more aggressive in their pursuit of facilities operated by our independent operating subsidiaries and the services provided through them. Since California’s passage of AB 35, Iowa and Nevada have enacted similar laws that increase the non-economic damages that may serve as the basis for the recovery for attorney’s fees in those states, which may stimulate additional litigation in those states and could have an adverse material effect on our financial performance. The defense of lawsuits may result in significant legal costs, regardless of the outcome. Further, such litigation against us or our independent operating subsidiaries may result in increased liability insurance premiums and/or a decline in available insurance coverage levels, which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Instances of noncompliance can decrease our revenue.</w:t>
      </w:r>
      <w:r>
        <w:rPr>
          <w:color w:val="000000"/>
        </w:rPr>
        <w:t xml:space="preserve"> </w:t>
      </w:r>
      <w:r>
        <w:rPr>
          <w:rFonts w:ascii="Times New Roman;sans-serif" w:hAnsi="Times New Roman;sans-serif"/>
          <w:b w:val="false"/>
          <w:color w:val="000000"/>
          <w:sz w:val="20"/>
        </w:rPr>
        <w:t xml:space="preserve">As discussed under Item 1., </w:t>
      </w:r>
      <w:r>
        <w:rPr>
          <w:rFonts w:ascii="Times New Roman;sans-serif" w:hAnsi="Times New Roman;sans-serif"/>
          <w:b w:val="false"/>
          <w:i/>
          <w:color w:val="000000"/>
          <w:sz w:val="20"/>
        </w:rPr>
        <w:t>Monitoring Compliance in our Operations</w:t>
      </w:r>
      <w:r>
        <w:rPr>
          <w:rFonts w:ascii="Times New Roman;sans-serif" w:hAnsi="Times New Roman;sans-serif"/>
          <w:b w:val="false"/>
          <w:color w:val="000000"/>
          <w:sz w:val="20"/>
        </w:rPr>
        <w:t xml:space="preserve">, we have internal compliance policies and procedures, including ongoing monitoring and controls, pursuant to which we have identified, and may in the future identify, deficiencies in the assessment of and recordkeeping for patients and residents. We must accrue liabilities for claim costs and interest and repay any amounts due in normal course. Failure to refund overpayments within required time frames (as described in greater detail under Item 1., </w:t>
      </w:r>
      <w:r>
        <w:rPr>
          <w:rFonts w:ascii="Times New Roman;sans-serif" w:hAnsi="Times New Roman;sans-serif"/>
          <w:b w:val="false"/>
          <w:i/>
          <w:color w:val="000000"/>
          <w:sz w:val="20"/>
        </w:rPr>
        <w:t>Government Regulation</w:t>
      </w:r>
      <w:r>
        <w:rPr>
          <w:rFonts w:ascii="Times New Roman;sans-serif" w:hAnsi="Times New Roman;sans-serif"/>
          <w:b w:val="false"/>
          <w:color w:val="000000"/>
          <w:sz w:val="20"/>
        </w:rPr>
        <w:t>) could result in FCA liability and other penalties, fines, or sanctions. If future investigations ultimately result in findings of significant billing and reimbursement noncompliance, which require us to record significant additional provisions or remit payments, our business, financial condition and results of operations could be materially and adversely affected.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We may be unable to complete future acquisitions at attractive prices or at all, which may adversely affect our revenue growth.</w:t>
      </w:r>
      <w:r>
        <w:rPr>
          <w:color w:val="000000"/>
        </w:rPr>
        <w:t xml:space="preserve"> </w:t>
      </w:r>
      <w:r>
        <w:rPr>
          <w:rFonts w:ascii="Times New Roman;sans-serif" w:hAnsi="Times New Roman;sans-serif"/>
          <w:b w:val="false"/>
          <w:color w:val="000000"/>
          <w:sz w:val="20"/>
        </w:rPr>
        <w:t xml:space="preserve">To date, our revenue growth has been significantly accelerated by our acquisition of new operations. Subject to general market conditions and the availability of essential resources and leadership within our company, we continue to seek home health, hospice and senior living acquisition opportunities that are consistent with our geographic, financial and operating objectives. We face competition for the acquisition of operations and businesses and expect this competition to increase. Based upon factors such as our ability to identify suitable acquisition candidates, the purchase price of the operations, prevailing market conditions, the availability of leadership to manage new operations and our own willingness to take on new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rate at which we have historically acquired home health, hospice and senior living operations has fluctuated and we anticipate similar fluctuation in the future. Further, acquisitions may require financing, which may not be available to us or may be available to us only on terms that are not favorable. If funds are raised through the issuance of additional equity securities, the percentage ownership of our stockholders would be diluted, and any newly issued equity securities may have rights, preferences or privileges senior to those of our common stock. We may acquire operations that prove to be non-strategic or less desirable, and we may consider disposing of such operations or exchanging them for operations which are more desirable.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We may not be able to successfully integrate acquired operations, and we may not achieve the benefits we expect from our acquisitions.</w:t>
      </w:r>
      <w:r>
        <w:rPr>
          <w:color w:val="000000"/>
        </w:rPr>
        <w:t xml:space="preserve"> </w:t>
      </w:r>
      <w:r>
        <w:rPr>
          <w:rFonts w:ascii="Times New Roman;sans-serif" w:hAnsi="Times New Roman;sans-serif"/>
          <w:b w:val="false"/>
          <w:color w:val="000000"/>
          <w:sz w:val="20"/>
        </w:rPr>
        <w:t>We may not be able to successfully or efficiently integrate new acquisitions with our existing independent operating subsidiaries, culture and systems. We also may determine that renovations of acquired operations and changes in staff and operating management personnel are necessary to successfully integrate those acquisitions into our existing operations. We may not be able to recover the costs incurred to reposition or renovate newly independent operating subsidiaries. The financial benefits we expect to realize from many of our acquisitions are largely dependent upon our ability to improve clinical performance, overcome regulatory deficiencies, rehabilitate or improve the reputation of the operations in the community, increase and maintain census, control costs, and in some cases change the patient acuity mix. Growth also places significant demands on our leaders and operational, financial and management information systems. If we are unable to accomplish any of these objectives at the independent operating subsidiaries we acquire, we will not realize the anticipated benefits and we may experience lower than anticipated profits, or even losses.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 undertaking acquisitions, we may be impacted by costs, liabilities and regulatory issues that may adversely affect our operations.</w:t>
      </w:r>
      <w:r>
        <w:rPr>
          <w:color w:val="000000"/>
        </w:rPr>
        <w:t xml:space="preserve"> </w:t>
      </w:r>
      <w:r>
        <w:rPr>
          <w:rFonts w:ascii="Times New Roman;sans-serif" w:hAnsi="Times New Roman;sans-serif"/>
          <w:b w:val="false"/>
          <w:color w:val="000000"/>
          <w:sz w:val="20"/>
        </w:rPr>
        <w:t>In undertaking acquisitions, we also may be adversely impacted by unforeseen liabilities attributable to the prior providers who operated the acquired operations, against whom we may have little or no recourse. Many operations we have historically acquired were underperforming prior to the acquisition. Even where operations have been improved, we still may face post-acquisition regulatory issues related to pre-acquisition events. These may include, without limitation, payment recoupment related to our predecessors’ prior noncompliance, the imposition of fines, penalties, operational restrictions or special regulatory status. Further, we may incur post-acquisition compliance risk due to the difficulty or impossibility of immediately or quickly bringing non-compliant operations into full compliance. Diligence materials pertaining to acquisition targets, especially the underperforming operations that often represent the greatest opportunity for return, are often inadequate, inaccurate or impossible to obtain, sometimes requiring us to make acquisition decisions with incomplete information. Operations that we have acquired or may acquire in the future may generate unexpectedly low returns, may cause us to incur substantial losses (including sanctions, fines, penalties, and other liabilities that state and federal authorities may seek to impose upon us under various theories of successor liability despite our efforts to prevent such liabilities during our transactions), may require unexpected levels of management time, expenditures or other resources, or may otherwise not meet a risk profile that our investors find acceptable. We also incur regulatory risk in acquiring certain operations due to the licensing, certification and other regulatory requirements affecting our right to operate the acquired operations, which are frequently obtained post-closing. If we were denied licensure or certification for any reason, we might not realize the expected benefits of the acquisition and would likely incur unanticipated costs and other challenges which could cause our business to suffer.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If our referral sources fail to view us as an attractive provider, or if our referral sources otherwise refer fewer patients or residents, our patient or resident base may decrease.</w:t>
      </w:r>
      <w:r>
        <w:rPr>
          <w:color w:val="000000"/>
        </w:rPr>
        <w:t xml:space="preserve"> </w:t>
      </w:r>
      <w:r>
        <w:rPr>
          <w:rFonts w:ascii="Times New Roman;sans-serif" w:hAnsi="Times New Roman;sans-serif"/>
          <w:b w:val="false"/>
          <w:color w:val="000000"/>
          <w:sz w:val="20"/>
        </w:rPr>
        <w:t>We rely on appropriate referrals from physicians, hospitals and other healthcare providers in the communities we serve to attract appropriate residents and patients to our affiliated operations. Our referral sources are not obligated to refer business to us and may refer business to other healthcare providers. If we lose, or fail to maintain, existing relationships with our referral resources, fail to develop new relationships, or if we are perceived by our referral sources as not providing high quality patient care, our independent subsidiaries’ respective censuses could decline and our patient mix could change. In addition, if any of our referral sources have a reduction in patients whom they can refer due to a decrease in their business, our census could decline and patient mix could change.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If we do not achieve and maintain competitive quality of care ratings from CMS and private organizations engaged in similar monitoring activities, our business may be negatively affected.</w:t>
      </w:r>
      <w:r>
        <w:rPr>
          <w:color w:val="000000"/>
        </w:rPr>
        <w:t xml:space="preserve"> </w:t>
      </w:r>
      <w:r>
        <w:rPr>
          <w:rFonts w:ascii="Times New Roman;sans-serif" w:hAnsi="Times New Roman;sans-serif"/>
          <w:b w:val="false"/>
          <w:color w:val="000000"/>
          <w:sz w:val="20"/>
        </w:rPr>
        <w:t xml:space="preserve">Providing quality patient care is the cornerstone of our business. We believe that referral sources, residents and patients select us in large part because of our reputation for delivering quality care. If we should fail to attain our goals regarding acute care hospitalization readmission rates and other quality metrics, we expect our ability to generate referrals would be adversely impacted, which could have a material adverse effect upon our business, financial condition, results of operations and cash flows. In addition, our home health payment rates could be reduced, as described in Item 1., </w:t>
      </w:r>
      <w:r>
        <w:rPr>
          <w:rFonts w:ascii="Times New Roman;sans-serif" w:hAnsi="Times New Roman;sans-serif"/>
          <w:b w:val="false"/>
          <w:i/>
          <w:color w:val="000000"/>
          <w:sz w:val="20"/>
        </w:rPr>
        <w:t>Government Regulation - Home Health Value Based Purchasing (HHVBP</w:t>
      </w:r>
      <w:r>
        <w:rPr>
          <w:rFonts w:ascii="Times New Roman;sans-serif" w:hAnsi="Times New Roman;sans-serif"/>
          <w:b w:val="false"/>
          <w:color w:val="000000"/>
          <w:sz w:val="20"/>
        </w:rPr>
        <w:t xml:space="preserve">); further, our star ratings measured by CMS on a five-star basis may decrease, resulting in lower estimation by potential residents and patients and reducing the likelihood of having those potential residents and patients use our services, as described in Item 1., </w:t>
      </w:r>
    </w:p>
    <w:p>
      <w:pPr>
        <w:pStyle w:val="TextBody"/>
        <w:bidi w:val="0"/>
        <w:spacing w:lineRule="auto" w:line="276" w:before="0" w:after="0"/>
        <w:jc w:val="left"/>
        <w:rPr/>
      </w:pPr>
      <w:r>
        <w:rPr>
          <w:rFonts w:ascii="Times New Roman;sans-serif" w:hAnsi="Times New Roman;sans-serif"/>
          <w:b w:val="false"/>
          <w:i/>
          <w:color w:val="000000"/>
          <w:sz w:val="20"/>
        </w:rPr>
        <w:t>Our Competitive Strengths</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Superior Clinical Outcomes and Quality Care.</w:t>
      </w:r>
      <w:r>
        <w:rPr>
          <w:color w:val="00000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i/>
          <w:color w:val="000000"/>
          <w:sz w:val="20"/>
        </w:rPr>
        <w:t>If we are unable to obtain insurance, or if insurance becomes more costly for us to obtain, our business may be adversely affected.</w:t>
      </w:r>
      <w:r>
        <w:rPr>
          <w:color w:val="000000"/>
        </w:rPr>
        <w:t xml:space="preserve"> </w:t>
      </w:r>
      <w:r>
        <w:rPr>
          <w:rFonts w:ascii="Times New Roman;sans-serif" w:hAnsi="Times New Roman;sans-serif"/>
          <w:b w:val="false"/>
          <w:color w:val="000000"/>
          <w:sz w:val="20"/>
        </w:rPr>
        <w:t>It may become more difficult and costly for us to obtain coverage for patient care liabilities and other risks, including property and casualty insurance. Our claims history, asset mix, or other factors may adversely affect our ability to obtain insurance at favorable rates. Recent legislation in Nevada that prohibits the reduction of funds available to pay claims based on the costs of defending claims or litigation may result in higher premiums for our operations within that state. Similarly, recent legislation in California and Nevada increasing the amounts of non-economic damages recoverable in actions based on professional negligence against healthcare providers may also result in higher premiums for our operations within those states and limit the options for available coverage. Our insurance carriers may require us to pay substantially higher premiums for the same or reduced coverage for insurance, including workers compensation, property and casualty, automobile, employment practices liability, directors and officers liability, employee healthcare insurance benefits, and general and professional liability coverages. Further, many claims and other risks we face are not insurable. Climate change and the proliferation of natural disasters may increase the cost of coverage or make coverage impossible to obtain.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We retain certain risks related to our insurance coverage.</w:t>
      </w:r>
      <w:r>
        <w:rPr>
          <w:color w:val="000000"/>
        </w:rPr>
        <w:t xml:space="preserve"> </w:t>
      </w:r>
      <w:r>
        <w:rPr>
          <w:rFonts w:ascii="Times New Roman;sans-serif" w:hAnsi="Times New Roman;sans-serif"/>
          <w:b w:val="false"/>
          <w:color w:val="000000"/>
          <w:sz w:val="20"/>
        </w:rPr>
        <w:t>Under our insurance policies, we bear the risk of loss up to specified deductible limits, which may be substantial if there is a surge in the volume of claims subject to the deductible. We recognize obligations associated with these costs in the period in which a claim is incurred, including with respect to both reported claims and claims incurred but not reported. These costs generally are estimated based on our historical claims experience. Projections of self-insured retention losses are estimates that are subject to significant variability, and as a result, our actual losses and expenses may be more or less than recorded liabilities.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Our self-insurance programs may expose us to significant and unexpected costs and losses.</w:t>
      </w:r>
      <w:r>
        <w:rPr>
          <w:color w:val="000000"/>
        </w:rPr>
        <w:t xml:space="preserve"> </w:t>
      </w:r>
      <w:r>
        <w:rPr>
          <w:rFonts w:ascii="Times New Roman;sans-serif" w:hAnsi="Times New Roman;sans-serif"/>
          <w:b w:val="false"/>
          <w:color w:val="000000"/>
          <w:sz w:val="20"/>
        </w:rPr>
        <w:t xml:space="preserve">Our general liability and workers compensation insurance policies include self-insured retentions under which we are responsible to pay for a portion of each claim. We establish insurance loss reserves based on an estimation process that use information obtained from both company-specific and industry data. The estimation process requires us to continually monitor and evaluate the life cycle of claims. Using data obtained from this monitoring and our assumptions about emerging trends, we, along with an independent actuary, develop information about the size of ultimate claims based on historical experience and other available industry information. The most significant assumptions used in the estimation process include determining the trend in costs, the expected cost of claims incurred but not reported and the expected costs to settle or pay damages with respect to unpaid claims. It is possible, however, that the actual liabilities may exceed our estimates of loss. We may also experience an unexpectedly large number of successful claims or claims that result in costs or liability significantly exceeding our projections. For these and other reasons, our self-insurance reserves could prove to be inadequate, resulting in liabilities exceeding our available insurance and self-insurance reserves. If a successful claim is made against us and it is not covered by our insurance or exceeds the insurance policy limits, our business may be negatively and materially impacted. Further, because our self-insured retentions under our general and professional liability and workers’ compensation program apply on a per claim basis, there is no limit to the maximum number of claims or the total amount for which we could be responsible during any policy period. We also self-insure our employee health benefits. With respect to our health benefits self-insurance, our reserves and premiums are computed based on a mix of company-specific and general industry data. Even with a combination of limited company-specific loss data and general industry data, our loss reserves are based on actuarial estimates that may not correlate to actual loss experience in the future. Therefore, our reserves may prove to be insufficient, and we may be exposed to significant and unexpected losses.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The unionization of our workers may adversely affect our revenue and profitability. </w:t>
      </w:r>
      <w:r>
        <w:rPr>
          <w:rFonts w:ascii="Times New Roman;sans-serif" w:hAnsi="Times New Roman;sans-serif"/>
          <w:b w:val="false"/>
          <w:color w:val="000000"/>
          <w:sz w:val="20"/>
        </w:rPr>
        <w:t>To date, with the exception of one joint venture, where certain employees had elected to unionize prior to our acquisition, our employees have chosen not to unionize. Throughout 2023 and 2024, however, there has been a nationwide trend of increasing union activity, including strikes in the healthcare industry and in states, such as California, in which we operate. Increasing trends of service workers successfully organizing to unionize their workplaces may increase the likelihood of our employees seeking to unionize their activities at one or more additional locations controlled by our independent operating subsidiaries. If union activity among our employees increases, our cost of doing business could increase, our operations could experience disruption, and affected operations may no longer be economical to continue operating. Further, labor disputes and unionization efforts, among our own employees or among the employees of our referral partners, payors, vendors, joint venture partners, acquisition targets, or other parties, could lead to work stoppages, slowdown, strikes, lockouts, and increased costs, which could materially and adversely impact our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Because we lease most of our affiliated senior living communities, we could experience risks associated with leased property, including risks relating to lease termination, lease extensions and special charges, which could adversely affect our business, financial position or results of operations.</w:t>
      </w:r>
      <w:r>
        <w:rPr>
          <w:color w:val="000000"/>
        </w:rPr>
        <w:t xml:space="preserve"> </w:t>
      </w:r>
      <w:r>
        <w:rPr>
          <w:rFonts w:ascii="Times New Roman;sans-serif" w:hAnsi="Times New Roman;sans-serif"/>
          <w:b w:val="false"/>
          <w:color w:val="000000"/>
          <w:sz w:val="20"/>
        </w:rPr>
        <w:t xml:space="preserve">As of December 31, 2024, we leased all of our senior living communities, except for three. We also leased all of our administrative offices. Most of our leases are triple-net leases, which means that, in addition to rent, we are required to pay for the costs related to the property (including property taxes, insurance, and maintenance and repair costs), the cost of which tend to increase year-over year and may adversely affect us with future increases and operating expense reconciliations due for prior years. Under certain master leases, a breach at a single community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could subject one or more of the other communities covered by the same master lease to the same default risk. Failure to comply with provider requirements is a default under several of the leases and master lease agreements. In addition, lease defaults could trigger cross-default provisions in our outstanding debt arrangements and other leases. With an indivisible lease, it is difficult to restructure the composition of the portfolio or economic terms of the lease without the consent of the landlord.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A housing downturn could decrease demand for assisted living services.</w:t>
      </w:r>
      <w:r>
        <w:rPr>
          <w:color w:val="000000"/>
        </w:rPr>
        <w:t xml:space="preserve"> </w:t>
      </w:r>
      <w:r>
        <w:rPr>
          <w:rFonts w:ascii="Times New Roman;sans-serif" w:hAnsi="Times New Roman;sans-serif"/>
          <w:b w:val="false"/>
          <w:color w:val="000000"/>
          <w:sz w:val="20"/>
        </w:rPr>
        <w:t>Seniors often use the proceeds of home sales to fund their admission to assisted living communities. A downturn in the housing markets, such as the slowdown in activity that was ongoing in 2023 and 2024 as a result of higher-than-normal mortgage interest rates, could adversely affect seniors’ ability to afford our resident fees and entrance fees. If national or local housing markets enter a persistent decline in prices or transaction activity, our occupancy rates, revenues, results of operations and cash flow could be negatively impacted.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Failure to generate sufficient cash flow to cover required payments or meet operating covenants under our long-term debt and operating leases could result in defaults under such agreements and cross-defaults under other debt or operating lease arrangements, which could harm our independent operating subsidiaries and cause us to lose operations or experience foreclosures.</w:t>
      </w:r>
      <w:r>
        <w:rPr>
          <w:color w:val="000000"/>
        </w:rPr>
        <w:t xml:space="preserve"> </w:t>
      </w:r>
      <w:r>
        <w:rPr>
          <w:rFonts w:ascii="Times New Roman;sans-serif" w:hAnsi="Times New Roman;sans-serif"/>
          <w:b w:val="false"/>
          <w:color w:val="000000"/>
          <w:sz w:val="20"/>
        </w:rPr>
        <w:t xml:space="preserve">We have significant future operating lease obligations. We intend to continue financing operations through long-term operating leases, mortgage financing and other types of financing, including borrowings under future credit facilities we may obtain. We may not generate sufficient cash flow from operations to cover required interest, principal and lease payments. If we are unable to generate sufficient cash flow from operations in the future to service our debt or to make lease payments on our operating leases, we may be required, among other things, to seek additional financing in the debt or equity markets, refinance or restructure all or a portion of our indebtedness, sell selected assets, reduce or delay planned capital expenditures or delay or abandon desirable acquisitions. Such measures might not be sufficient to enable us to service our debt or to make lease payments on our operating leases. The failure to make required payments on our debt or operating leases or the delay or abandonment of our planned growth strategy could adversely affect our future ability to generate revenue and sustain profitability and subject us to foreclosure. In addition, any such financing, refinancing or sale of assets might not be available on terms that are economically favorable to us, or at all. Our financing arrangements contain restrictions, covenants and events of default that, among other things, could limit our ability to respond to market conditions, provide for capital investment needs or take advantage of business opportunities by restricting our ability to incur or guarantee additional indebtedness or requiring us to offer to repurchase such indebtedness in the event of a change of control or a change of control triggering event; pay dividends or make distributions; make investments or acquisitions; sell, transfer or otherwise dispose of certain assets; create liens; consolidate or merge; enter into transactions with affiliates; and prepay and repurchase or redeem certain indebtedness.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The condition of the financial markets, including volatility and deterioration in the capital and credit markets, could limit the availability of debt and equity financing sources to fund the capital and liquidity requirements of our business, as well as negatively impact or impair the value of our future portfolio of cash, cash equivalents and investments.</w:t>
      </w:r>
      <w:r>
        <w:rPr>
          <w:color w:val="000000"/>
        </w:rPr>
        <w:t xml:space="preserve"> </w:t>
      </w:r>
      <w:r>
        <w:rPr>
          <w:rFonts w:ascii="Times New Roman;sans-serif" w:hAnsi="Times New Roman;sans-serif"/>
          <w:b w:val="false"/>
          <w:color w:val="000000"/>
          <w:sz w:val="20"/>
        </w:rPr>
        <w:t>Credit markets are cyclical. Volatility in financial and credit markets may reduce the availability of certain types of debt financing and restrict the availability of credit. Further, we anticipate that our future cash, cash equivalents and investments may be held in a variety of interest-bearing instruments. As a result of the uncertain domestic and global political, credit and financial market conditions, investments in these types of instruments pose risks arising from liquidity and credit concerns.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Inflation may negatively impact profitability.</w:t>
      </w:r>
      <w:r>
        <w:rPr>
          <w:color w:val="000000"/>
        </w:rPr>
        <w:t xml:space="preserve"> </w:t>
      </w:r>
      <w:r>
        <w:rPr>
          <w:rFonts w:ascii="Times New Roman;sans-serif" w:hAnsi="Times New Roman;sans-serif"/>
          <w:b w:val="false"/>
          <w:color w:val="000000"/>
          <w:sz w:val="20"/>
        </w:rPr>
        <w:t>The annual inflation rate in recent years has impacted our operations, placing upward pricing pressure on all things from wages to supplies to energy costs.</w:t>
      </w:r>
      <w:r>
        <w:rPr>
          <w:color w:val="000000"/>
        </w:rPr>
        <w:t xml:space="preserve"> </w:t>
      </w:r>
      <w:r>
        <w:rPr>
          <w:rFonts w:ascii="Times New Roman;sans-serif" w:hAnsi="Times New Roman;sans-serif"/>
          <w:b w:val="false"/>
          <w:color w:val="000000"/>
          <w:sz w:val="20"/>
        </w:rPr>
        <w:t>Inflation is expected to ease in 2025 but may continue to affect the Company’s profit in providing services. We have historically derived a substantial portion of our revenue from the Medicare program. We also derive revenue from state Medicaid and similar reimbursement programs. Payments under these programs generally provide for reimbursement levels that are adjusted for inflation annually. These inflation-based increases may not continue in the future, such as in the case of Medicare payments subject to reduction under sequestration required by prior legislation. Even if these reimbursement rate increases continued, such adjustments may not reflect the actual increase in our costs for providing healthcare services. Labor and supply expenses make up a substantial portion of our cost of services. Those expenses are subject to increase in periods of rising inflation and when labor shortages occur in the marketplace. Inflation has led, and may continue to lead, to increased interest rates, which have and could continue to increase our cost of capital, impair consumers’ ability to purchase our services, or otherwise harm us financially.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Changes to immigration law or enforcement could adversely affect our results from operations.</w:t>
      </w:r>
      <w:r>
        <w:rPr>
          <w:color w:val="000000"/>
        </w:rPr>
        <w:t xml:space="preserve"> </w:t>
      </w:r>
      <w:r>
        <w:rPr>
          <w:rFonts w:ascii="Times New Roman;sans-serif" w:hAnsi="Times New Roman;sans-serif"/>
          <w:b w:val="false"/>
          <w:color w:val="000000"/>
          <w:sz w:val="20"/>
        </w:rPr>
        <w:t xml:space="preserve">Changes to immigration laws and policies, or increased enforcement of existing laws and regulations, could impact our employees or the labor pool from which we hire future employees. Such changes could reduce the number of eligible workers and increase wage costs, including for skilled workers who may work or receive professional training in the United States under various visa programs, making it more difficult or impossible for us to staff our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i/>
          <w:color w:val="000000"/>
          <w:sz w:val="20"/>
        </w:rPr>
        <w:t>Extreme weather, natural disasters, or other catastrophic events could adversely affect our results from operations.</w:t>
      </w:r>
      <w:r>
        <w:rPr>
          <w:color w:val="000000"/>
        </w:rPr>
        <w:t xml:space="preserve"> </w:t>
      </w:r>
      <w:r>
        <w:rPr>
          <w:rFonts w:ascii="Times New Roman;sans-serif" w:hAnsi="Times New Roman;sans-serif"/>
          <w:b w:val="false"/>
          <w:color w:val="000000"/>
          <w:sz w:val="20"/>
        </w:rPr>
        <w:t xml:space="preserve">We operate and are subject to long term leases in areas particularly susceptible to damage or losses caused by catastrophic or extreme weather and other natural events, including fires, snow, rain or ice storms, windstorms, tornadoes, hurricanes, earthquakes, landslides or mudslides, flooding and other severe weather. Many of our services require our employees to travel to patients’ homes by car. Adverse weather events could impair our ability to provide services and could cause substantial damages or losses to our communities or operations, which may not be covered by insurance. These events may also indirectly affect our business by increasing the cost of (or making unavailable) insurance on terms we find acceptable. Changes in regulations relating to climate change could require us to change the way we provide services and could result in increased costs without a corresponding increase in revenue.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Delays in reimbursement may cause liquidity problems.</w:t>
      </w:r>
      <w:r>
        <w:rPr>
          <w:color w:val="000000"/>
        </w:rPr>
        <w:t xml:space="preserve"> </w:t>
      </w:r>
      <w:r>
        <w:rPr>
          <w:rFonts w:ascii="Times New Roman;sans-serif" w:hAnsi="Times New Roman;sans-serif"/>
          <w:b w:val="false"/>
          <w:color w:val="000000"/>
          <w:sz w:val="20"/>
        </w:rPr>
        <w:t xml:space="preserve">If we experience problems with our billing information systems or if payment issues arise with Medicare, Medicaid or other payors, we may encounter delays in our payment cycle or delays in submitting required cost reports. From time to time, we have experienced such delays as a result of government payors instituting planned reimbursement delays for budget balancing purposes or as a result of prepayment reviews. Some states in which we operate experience or have experienced budget deficits or could have a budget deficit in the future, which may delay reimbursement in a manner that would adversely affect our liquidity. In addition, from time to time, procedural issues require us to resubmit claims before payment is remitted, which contributes to aged receivables. Unanticipated delays in receiving reimbursement from state programs due to changes in their policies or billing or audit procedures may adversely impact our liquidity and working capital. Failure to timely submit required cost reports may result in financial penalties.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Compliance with the regulations of the Department of Housing and Urban Development (“HUD”) may require us to make unanticipated expenditures which could increase our costs.</w:t>
      </w:r>
      <w:r>
        <w:rPr>
          <w:color w:val="000000"/>
        </w:rPr>
        <w:t xml:space="preserve"> </w:t>
      </w:r>
      <w:r>
        <w:rPr>
          <w:rFonts w:ascii="Times New Roman;sans-serif" w:hAnsi="Times New Roman;sans-serif"/>
          <w:b w:val="false"/>
          <w:color w:val="000000"/>
          <w:sz w:val="20"/>
        </w:rPr>
        <w:t>Seventeen of our affiliated senior living communities are currently subject to regulatory agreements with HUD that give the Commissioner of HUD broad authority to have us replaced as the operator of those communities in the event that the Commissioner determines there are operational deficiencies at such communities under HUD regulations. Compliance with HUD’s requirements can often be difficult because these requirements are not always consistent with the requirements of other federal and state agencies and, in some instances, may require us to make additional capital expenditures to meet HUD’s heightened requirements. Appealing a failed inspection can be costly and time-consuming and, if we do not successfully remediate the failed inspection, we could be precluded from obtaining HUD financing in the future or we may encounter limitations or prohibitions on our operation of HUD-insured communities.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Failure to comply with existing environmental laws could result in increased expenditures, litigation and potential loss to our business and in our asset value.</w:t>
      </w:r>
      <w:r>
        <w:rPr>
          <w:color w:val="000000"/>
        </w:rPr>
        <w:t xml:space="preserve"> </w:t>
      </w:r>
      <w:r>
        <w:rPr>
          <w:rFonts w:ascii="Times New Roman;sans-serif" w:hAnsi="Times New Roman;sans-serif"/>
          <w:b w:val="false"/>
          <w:color w:val="000000"/>
          <w:sz w:val="20"/>
        </w:rPr>
        <w:t>Our independent operating subsidiaries are subject to regulations under various federal, state and local environmental laws, primarily those relating to the handling, storage, transportation, treatment and disposal of medical waste; the identification and warning of the presence of asbestos-containing materials in buildings, as well as the encapsulation or removal of such materials; and the presence of other substances in the environment. The presence of such materials may be unknown and could result in remediation costs, fines, damages and other material harm to our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We are a holding company with no operations and rely upon our independent operating subsidiaries to provide us with the funds necessary to meet our financial obligations.</w:t>
      </w:r>
      <w:r>
        <w:rPr>
          <w:color w:val="000000"/>
        </w:rPr>
        <w:t xml:space="preserve"> </w:t>
      </w:r>
      <w:r>
        <w:rPr>
          <w:rFonts w:ascii="Times New Roman;sans-serif" w:hAnsi="Times New Roman;sans-serif"/>
          <w:b w:val="false"/>
          <w:color w:val="000000"/>
          <w:sz w:val="20"/>
        </w:rPr>
        <w:t>We are a holding company with no direct operating assets, employees or revenues. Each of our affiliated operations is operated through a separate, independent subsidiary, which has its own management, employees and assets. Our principal assets are the equity interests we directly or indirectly hold in our independent operating subsidiaries. As a result, we are dependent upon distributions from our subsidiaries to generate the funds necessary to meet our financial obligations. Our subsidiaries are legally distinct from us and have no obligation to make funds available to us. The ability of our subsidiaries to make distributions to us will depend substantially on their respective operating results and will be subject to restrictions under, among other things, the laws of their jurisdiction of organization, which may limit the amount of funds available for distribution to investors or stockholders, agreements of those subsidiaries, the terms of our financing arrangements and the terms of any future financing arrangements of our subsidiaries.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Two of our directors continue to serve as a director on the Ensign board of directors, and ownership of shares of Ensign common stock or equity awards of Ensign by our directors and executive officers may create conflicts of interest or the appearance of conflicts of interest.</w:t>
      </w:r>
      <w:r>
        <w:rPr>
          <w:color w:val="000000"/>
        </w:rPr>
        <w:t xml:space="preserve"> </w:t>
      </w:r>
      <w:r>
        <w:rPr>
          <w:rFonts w:ascii="Times New Roman;sans-serif" w:hAnsi="Times New Roman;sans-serif"/>
          <w:b w:val="false"/>
          <w:color w:val="000000"/>
          <w:sz w:val="20"/>
        </w:rPr>
        <w:t>Two of our directors continue to serve on the Ensign board of directors and a portion of our executive officers and non-employee directors own shares of Ensign common stock. This could create, or appear to create, potential conflicts of interest when our or Ensign’s management or directors face decisions that could have different implications for us and Ensign, including our existing long term leases, any commercial agreements entered into in the future between us and Ensign and the allocation of such directors’ time between us and Ensign.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i/>
          <w:color w:val="000000"/>
          <w:sz w:val="20"/>
        </w:rPr>
        <w:t xml:space="preserve">Anti-takeover provisions in our organizational documents and Delaware law might discourage or delay acquisition attempts for us that you might consider favorable. </w:t>
      </w:r>
      <w:r>
        <w:rPr>
          <w:rFonts w:ascii="Times New Roman;sans-serif" w:hAnsi="Times New Roman;sans-serif"/>
          <w:b w:val="false"/>
          <w:color w:val="000000"/>
          <w:sz w:val="20"/>
        </w:rPr>
        <w:t>Our amended and restated certificate of incorporation and amended and restated bylaws may make the merger or acquisition of our company more difficult without the approval of our board of directors. Among other things, these provisions: allow us to 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 establish advance notice requirements for nominations for elections to our board or for proposing matters that can be acted upon by stockholders at stockholder meetings; create a classified board of directors whose members serve staggered three-year terms; and limit the ability of our stockholders to call and bring business before special meetings. Further, as a Delaware corporation, we are also subject to provisions of Delaware law, which may impair a takeover attempt that our stockholders may find beneficial. These provisions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our stockholders to elect directors of their choosing and to cause us to take other corporate actions desired.</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leverage information technology to enable our teams to share best practices, stay informed, adapt to challenges and opportunities promptly, improve the quality of care, mitigate risks, and enhance both clinical outcomes and financial performance. Additionally, we have invested in specialized healthcare technology systems to support our nursing and support staff. Our software and technology in each operation allows our clinical staff to monitor and deliver patient care and record patient information more efficiently, but the use of information systems also introduces cybersecurity risks, including system disruption, security breaches, ransomware, theft, espionage, and inadvertent release of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Risk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assess and identify security risks to the organization by: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Conducting regular risk assessments to determine the likelihood and magnitude of an attack from unauthorized access, use, disclosure, disruption, modification, or destruction of information systems and related information processes, stored, or transmitted;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Performing annual security assessments and producing security assessment reports for review by Information Technology (“IT”) senior leadership, including the service center's Chief Information Officer (“CIO”) and Chief Information Security Officer (“CISO”);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Regularly assessing security controls for effectiveness, proper functioning, and satisfactory results;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Continuously monitoring and addressing vulnerabilities.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Monitoring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a monitoring strategy and program, which includes: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Active, automated threat detection and screening;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Clearly defined security metrics to be monitored;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Regular security control assessments;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Regular communication about security issues with the executive team and board of directors;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Monitoring information systems to detect attacks and indicators of potential attacks or compromises;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Identifying unauthorized use of information system resources;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Deploying monitoring systems and agents strategically within the information system environment.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Data Protection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implemented policies and programs to secure sensitive data. These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Data security policies for the Company and its subsidiaries;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Frequent security training;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Establishing controls over network devices, actively tracking, monitoring, and evaluating them for new, missing, or updated software needed to strengthen security, patch known vulnerabilities, or stabilize software or operating system issues;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Protecting sensitive data through encryption techniques;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Utilizing systems with backup and recoverability principles, such as periodic data backups and safeguards in case of a disaster.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Incident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incident management plan includes the following five-step process: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service center's CIO and CISO lead the Information Security (“IS”) team in developing, documenting, reviewing, and testing security and incident management procedures;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IS team works with the executive team to identify, assess, verify, and classify incidents to determine affected stakeholders and appropriate parties for contact;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3.In the event of a security incident, the service center's CIO and CISO are responsible for launching an Incident Response Team (“IRT”) if necessary and notifying the executive team, who will contact the board of directors and the Audit Committee to validate the response;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IRT, in consultation with outside experts if needed, is responsible for initial containment, analysis, incident containment, incident eradication, and recovery. The IS team also coordinates with our legal and compliance teams as needed;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5.After each significant incident, analyses are conducted to improve prevention and make incident response processes more efficient and effective.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have not experienced a material cybersecurity breach as an organization in the past five years. Moreover, cybersecurity threats have not materially affected our business strategy, results of operations, or financial condition. While we have implemented processes and procedures to address and mitigate cybersecurity threats, there can be no assurances that such an incident will not occur despite our efforts, as described in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receives quarterly reports on our information security and cyber fraud prevention programs from the service center's CIO and CISO, each of whom has over 15 years of experience in IT, including various leadership roles at other large corporations. Directors Scott E. Lamb, Gregory K. Morris M.D., and John G. Nackel, Ph.D. provide key oversight on cybersecurity matters. Our executive team is also regularly briefed on any significant security risks during monthly leadership meetings.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IS team, established by the service center's CIO and CISO, has dedicated cybersecurity staff focusing on security monitoring, vulnerability management, incident response, risk assessments, employee training, security engineering, and management of cybersecurity policies, standards, and regulatory compliance. The Company implements security standards that include SOC 1 and SOC 2 compliance. We align with a Cyber Security Framework and take a risk-based approach during control assessment and implementation, following the National Institute of Standards and Technology (“NIST”) framework. We are committed to protecting our data, systems, and network and continually invest in enhancements to mitigate or reduce the impact of cybersecurity threats. We conduct periodic tests to maintain readiness and resiliency while regularly reviewing policies to protect data security. External companies or agencies may provide consulting, guidance, assistance, or support in response to a cybersecurity incident. Employees receive regular training, at least annually, on cybersecurity threats and best practices to maintain information security.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Center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office space to accommodate our Service Center. Our primary Service Center is located in Eagle, Idaho. The leased property consists of approximately 16,794 square feet of office space and the lease term expires March 31, 2025. We also have leased office space for service centers in Midvale, Utah and Farmington, Connecticut.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Agencies and Senior Living Communities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operated 123 home health, hospice and home care agencies in Arizona, California, Colorado, Idaho, Montana, Nevada, Oklahoma, Oregon, Texas, Utah, Washington, Wisconsin and Wyoming. Office space is leased within geographies served by our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operated 57 affiliated senior living communities in Arizona, California, Idaho, Nevada, Texas, Utah, and Wisconsin with 3,960 Senior Living units. We lease 54 of our communities through long-term, triple-net lease arrangements, and own the remaining 3 properties.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summary information regarding the locations of our home health and hospice agencies and our senior living communities and operational units as of December 31, 2024: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01"/>
        <w:gridCol w:w="351"/>
        <w:gridCol w:w="359"/>
        <w:gridCol w:w="109"/>
        <w:gridCol w:w="109"/>
        <w:gridCol w:w="109"/>
        <w:gridCol w:w="668"/>
        <w:gridCol w:w="668"/>
        <w:gridCol w:w="670"/>
        <w:gridCol w:w="109"/>
        <w:gridCol w:w="109"/>
        <w:gridCol w:w="109"/>
        <w:gridCol w:w="520"/>
        <w:gridCol w:w="520"/>
        <w:gridCol w:w="522"/>
        <w:gridCol w:w="109"/>
        <w:gridCol w:w="109"/>
        <w:gridCol w:w="109"/>
        <w:gridCol w:w="808"/>
        <w:gridCol w:w="808"/>
        <w:gridCol w:w="810"/>
        <w:gridCol w:w="109"/>
        <w:gridCol w:w="109"/>
        <w:gridCol w:w="109"/>
        <w:gridCol w:w="525"/>
        <w:gridCol w:w="522"/>
        <w:gridCol w:w="745"/>
      </w:tblGrid>
      <w:tr>
        <w:trPr/>
        <w:tc>
          <w:tcPr>
            <w:tcW w:w="40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Agencies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Agencies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Communities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Units</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Nevada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Washington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Wyoming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    </w:t>
      </w:r>
      <w:r>
        <w:rPr>
          <w:rFonts w:ascii="Times New Roman;sans-serif" w:hAnsi="Times New Roman;sans-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16,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to the Consolidated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    </w:t>
      </w:r>
      <w:r>
        <w:rPr>
          <w:rFonts w:ascii="Times New Roman;sans-serif" w:hAnsi="Times New Roman;sans-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     </w:t>
      </w:r>
      <w:r>
        <w:rPr>
          <w:rFonts w:ascii="Times New Roman;sans-serif" w:hAnsi="Times New Roman;sans-serif"/>
          <w:b/>
          <w:i/>
          <w:color w:val="000000"/>
          <w:sz w:val="20"/>
        </w:rPr>
        <w:t>Market for Registrant's Common Equity, Related Stockholder Matters and Issuer Purchases of Equity</w:t>
      </w:r>
      <w:r>
        <w:rPr>
          <w:color w:val="000000"/>
        </w:rPr>
        <w:t xml:space="preserve"> </w:t>
      </w:r>
      <w:r>
        <w:rPr>
          <w:rFonts w:ascii="Times New Roman;sans-serif" w:hAnsi="Times New Roman;sans-serif"/>
          <w:b/>
          <w:i/>
          <w:color w:val="000000"/>
          <w:sz w:val="20"/>
        </w:rPr>
        <w:t>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Common stock trades under the symbol “PNTG” on the NASDAQ Global Select Market. As of </w:t>
      </w:r>
      <w:r>
        <w:rPr>
          <w:rFonts w:ascii="Times New Roman;sans-serif" w:hAnsi="Times New Roman;sans-serif"/>
          <w:b w:val="false"/>
          <w:color w:val="000000"/>
          <w:sz w:val="18"/>
        </w:rPr>
        <w:t>February 24, 2025</w:t>
      </w:r>
      <w:r>
        <w:rPr>
          <w:rFonts w:ascii="Times New Roman;sans-serif" w:hAnsi="Times New Roman;sans-serif"/>
          <w:b w:val="false"/>
          <w:color w:val="000000"/>
          <w:sz w:val="20"/>
        </w:rPr>
        <w:t>, there are approximately 71 holders of record of our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intend to pay dividends on our common stock for the foreseeable future. Instead, we anticipate that all of our future earnings will be retained to support our operations and to finance the growth and development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Issuer Repurchases of Equity Securities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repurchase any shares in 2024, nor did it approve any share repurchase program.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Stock Performance Graph and related information shall not be deemed “soliciting material” or “filed” with the SEC, nor should such information be incorporated by reference into any future filings under the Securities Act or the Exchange Act except to the extent that we specifically incorporate it by reference in such filing.</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stockholder return on our common stock, $0.001 par value per share, during the period from January 1, 2020, through December 31, 2024, with the cumulative total return on the NASDAQ composite index and an industry peer group over the same period (assuming the investment of $100 in our common stock, the NASDAQ composite index and the industry peer group on January 1, 2020 and the reinvestment of dividends). The peer group we selected is comprised of: Amedysis, Inc. (“AMED”), Addus Homecare Corporation (“ADUS”), Chemed Corporation (“CHE”), Encompass Health Corporation (“EHC”), Sonida Senior Living Inc., formerly known as Capital Senior Living Corporation (“SNDA”), and Brookdale Senior Living, Inc. (“BKD”). The cumulative total stockholder return on the following graph is historical and is not necessarily indicative of future stock price performance. No cash dividends have been paid on our common stock.</w:t>
      </w:r>
    </w:p>
    <w:p>
      <w:pPr>
        <w:pStyle w:val="TextBody"/>
        <w:bidi w:val="0"/>
        <w:spacing w:before="0" w:after="0"/>
        <w:jc w:val="left"/>
        <w:rPr/>
      </w:pPr>
      <w:r>
        <w:rPr/>
      </w:r>
    </w:p>
    <w:p>
      <w:pPr>
        <w:pStyle w:val="TextBody"/>
        <w:bidi w:val="0"/>
        <w:spacing w:before="0" w:after="0"/>
        <w:jc w:val="center"/>
        <w:rPr/>
      </w:pPr>
      <w:r>
        <w:rPr/>
        <w:drawing>
          <wp:inline distT="0" distB="0" distL="0" distR="0">
            <wp:extent cx="4114800" cy="2019300"/>
            <wp:effectExtent l="0" t="0" r="0" b="0"/>
            <wp:docPr id="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 descr=""/>
                    <pic:cNvPicPr>
                      <a:picLocks noChangeAspect="1" noChangeArrowheads="1"/>
                    </pic:cNvPicPr>
                  </pic:nvPicPr>
                  <pic:blipFill>
                    <a:blip r:embed="rId5"/>
                    <a:stretch>
                      <a:fillRect/>
                    </a:stretch>
                  </pic:blipFill>
                  <pic:spPr bwMode="auto">
                    <a:xfrm>
                      <a:off x="0" y="0"/>
                      <a:ext cx="4114800" cy="2019300"/>
                    </a:xfrm>
                    <a:prstGeom prst="rect">
                      <a:avLst/>
                    </a:prstGeom>
                  </pic:spPr>
                </pic:pic>
              </a:graphicData>
            </a:graphic>
          </wp:inline>
        </w:drawing>
      </w:r>
    </w:p>
    <w:tbl>
      <w:tblPr>
        <w:tblW w:w="8223" w:type="dxa"/>
        <w:jc w:val="left"/>
        <w:tblInd w:w="0" w:type="dxa"/>
        <w:tblLayout w:type="fixed"/>
        <w:tblCellMar>
          <w:top w:w="28" w:type="dxa"/>
          <w:left w:w="28" w:type="dxa"/>
          <w:bottom w:w="28" w:type="dxa"/>
          <w:right w:w="28" w:type="dxa"/>
        </w:tblCellMar>
      </w:tblPr>
      <w:tblGrid>
        <w:gridCol w:w="369"/>
        <w:gridCol w:w="324"/>
        <w:gridCol w:w="327"/>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12/2024</w:t>
            </w:r>
          </w:p>
        </w:tc>
      </w:tr>
      <w:tr>
        <w:trPr/>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PNTG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Peer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    </w:t>
      </w:r>
      <w:r>
        <w:rPr>
          <w:rFonts w:ascii="Times New Roman;sans-serif" w:hAnsi="Times New Roman;sans-serif"/>
          <w:b/>
          <w:i/>
          <w:color w:val="000000"/>
          <w:sz w:val="20"/>
        </w:rPr>
        <w:t>[Reserved]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     </w:t>
      </w:r>
      <w:r>
        <w:rPr>
          <w:rFonts w:ascii="Times New Roman;sans-serif" w:hAnsi="Times New Roman;sans-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consolidated financial statements and accompanying notes, which appear elsewhere in this Annual Report.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See Item 1A., Risk Factors and Cautionary Note Regarding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Montana, Nevada, Oklahoma, Oregon, Texas, Utah, Washington, Wisconsin and Wyoming. We also provide home health and hospice operational support through a management service agreement in Connecticut. As of December 31, 2024, our home health and hospice business provided home health, hospice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home care services from 123 agencies operating across 13 states, and our senior living business operated 57 senior living communities throughout seven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affiliated home health and hospice agencies and senior living communities as of:</w:t>
      </w:r>
    </w:p>
    <w:p>
      <w:pPr>
        <w:pStyle w:val="TextBody"/>
        <w:bidi w:val="0"/>
        <w:spacing w:before="0" w:after="0"/>
        <w:ind w:left="0" w:right="0" w:firstLine="450"/>
        <w:jc w:val="both"/>
        <w:rPr/>
      </w:pPr>
      <w:r>
        <w:rPr/>
      </w:r>
    </w:p>
    <w:tbl>
      <w:tblPr>
        <w:tblW w:w="13214"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307"/>
        <w:gridCol w:w="309"/>
        <w:gridCol w:w="176"/>
        <w:gridCol w:w="109"/>
        <w:gridCol w:w="109"/>
        <w:gridCol w:w="109"/>
        <w:gridCol w:w="308"/>
        <w:gridCol w:w="308"/>
        <w:gridCol w:w="176"/>
        <w:gridCol w:w="109"/>
        <w:gridCol w:w="109"/>
        <w:gridCol w:w="109"/>
        <w:gridCol w:w="616"/>
        <w:gridCol w:w="237"/>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4" w:type="dxa"/>
            <w:gridSpan w:val="5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agencies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home health, hospice, and senior living operations</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Acquisitions.</w:t>
      </w:r>
      <w:r>
        <w:rPr>
          <w:color w:val="000000"/>
        </w:rPr>
        <w:t xml:space="preserve"> </w:t>
      </w:r>
      <w:r>
        <w:rPr>
          <w:rFonts w:ascii="Times New Roman;sans-serif" w:hAnsi="Times New Roman;sans-serif"/>
          <w:b w:val="false"/>
          <w:color w:val="000000"/>
          <w:sz w:val="20"/>
        </w:rPr>
        <w:t>During 2024, we expanded our operations with the addition of eight home health agencies, three hospice agencies, and six senior living communities. A subsidiary of the Company entered into a separate purchase agreements with the prior operator of each acquired operation as part of each transaction.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stable senior living occupancy through the year ended December 31, 2024. Although we saw steady improvements in occupancy throughout 2023 as a result of renewed consideration of senior living communities as the negative impacts of the global pandemic subsided, and stable occupancy during 2024, the highly competitive environment for senior living residents and inflationary factors will continue to impact our occupancy levels in our senior living communities.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Chief Operating Decision Maker (“CODM”), reviews financial information at the operating segment level using segment adjusted EBITDAR from operations. We also report an “all other” category that includes general and administrative expense from our Service Center.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home health admissions</w:t>
      </w:r>
      <w:r>
        <w:rPr>
          <w:rFonts w:ascii="Times New Roman;sans-serif" w:hAnsi="Times New Roman;sans-serif"/>
          <w:b w:val="false"/>
          <w:color w:val="000000"/>
          <w:sz w:val="20"/>
        </w:rPr>
        <w:t>. The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Medicare home health admissions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Medicare revenue per completed 60-day home health episode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average amount of revenue for each completed 60-day home health episode generated from patients who are receiving care under Medicare reimbursement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Total hospice admissions</w:t>
      </w:r>
      <w:r>
        <w:rPr>
          <w:rFonts w:ascii="Times New Roman;sans-serif" w:hAnsi="Times New Roman;sans-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Average hospice daily census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Hospice Medicare revenue per day</w:t>
      </w:r>
      <w:r>
        <w:rPr>
          <w:rFonts w:ascii="Times New Roman;sans-serif" w:hAnsi="Times New Roman;sans-serif"/>
          <w:b w:val="false"/>
          <w:color w:val="000000"/>
          <w:sz w:val="20"/>
        </w:rPr>
        <w:t>. The average daily Medicare revenue recorded during any measurement period for services provided to hospice patients.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overall home health and hospice services statistics for the periods indicated:</w:t>
      </w:r>
    </w:p>
    <w:tbl>
      <w:tblPr>
        <w:tblW w:w="8335" w:type="dxa"/>
        <w:jc w:val="center"/>
        <w:tblInd w:w="0" w:type="dxa"/>
        <w:tblLayout w:type="fixed"/>
        <w:tblCellMar>
          <w:top w:w="28" w:type="dxa"/>
          <w:left w:w="28" w:type="dxa"/>
          <w:bottom w:w="28" w:type="dxa"/>
          <w:right w:w="28" w:type="dxa"/>
        </w:tblCellMar>
      </w:tblPr>
      <w:tblGrid>
        <w:gridCol w:w="2165"/>
        <w:gridCol w:w="1906"/>
        <w:gridCol w:w="1913"/>
        <w:gridCol w:w="221"/>
        <w:gridCol w:w="646"/>
        <w:gridCol w:w="114"/>
        <w:gridCol w:w="114"/>
        <w:gridCol w:w="114"/>
        <w:gridCol w:w="114"/>
        <w:gridCol w:w="221"/>
        <w:gridCol w:w="646"/>
        <w:gridCol w:w="161"/>
      </w:tblGrid>
      <w:tr>
        <w:trPr/>
        <w:tc>
          <w:tcPr>
            <w:tcW w:w="2165"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Medicare revenue per completed 60-day home health episode</w:t>
            </w:r>
            <w:r>
              <w:rPr>
                <w:rFonts w:ascii="Times New Roman;sans-serif" w:hAnsi="Times New Roman;sans-serif"/>
                <w:b w:val="false"/>
                <w:color w:val="000000"/>
                <w:sz w:val="13"/>
              </w:rPr>
              <w:t>(a)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hospice daily census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year to date average for Medicare revenue per 60-day completed episode includes post period claim adjustments for prior periods.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Occupancy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ratio of actual number of days our units are occupied during any measurement period to the number of units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i/>
          <w:color w:val="000000"/>
          <w:sz w:val="20"/>
        </w:rPr>
        <w:t>Average monthly revenue per occupied unit</w:t>
      </w:r>
      <w:r>
        <w:rPr>
          <w:rFonts w:ascii="Times New Roman;sans-serif" w:hAnsi="Times New Roman;sans-serif"/>
          <w:b w:val="false"/>
          <w:color w:val="000000"/>
          <w:sz w:val="20"/>
        </w:rPr>
        <w:t>. The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6258" w:type="dxa"/>
        <w:jc w:val="left"/>
        <w:tblInd w:w="0" w:type="dxa"/>
        <w:tblLayout w:type="fixed"/>
        <w:tblCellMar>
          <w:top w:w="28" w:type="dxa"/>
          <w:left w:w="28" w:type="dxa"/>
          <w:bottom w:w="28" w:type="dxa"/>
          <w:right w:w="28" w:type="dxa"/>
        </w:tblCellMar>
      </w:tblPr>
      <w:tblGrid>
        <w:gridCol w:w="1336"/>
        <w:gridCol w:w="1175"/>
        <w:gridCol w:w="1179"/>
        <w:gridCol w:w="211"/>
        <w:gridCol w:w="616"/>
        <w:gridCol w:w="271"/>
        <w:gridCol w:w="109"/>
        <w:gridCol w:w="109"/>
        <w:gridCol w:w="109"/>
        <w:gridCol w:w="211"/>
        <w:gridCol w:w="616"/>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Home Health</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Hospice.</w:t>
      </w:r>
      <w:r>
        <w:rPr>
          <w:color w:val="000000"/>
        </w:rPr>
        <w:t xml:space="preserve"> </w:t>
      </w:r>
      <w:r>
        <w:rPr>
          <w:rFonts w:ascii="Times New Roman;sans-serif" w:hAnsi="Times New Roman;sans-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40" w:before="0" w:after="120"/>
        <w:ind w:left="0" w:right="0" w:hanging="360"/>
        <w:jc w:val="both"/>
        <w:rPr/>
      </w:pPr>
      <w:r>
        <w:rPr>
          <w:color w:val="000000"/>
        </w:rPr>
        <w:t>•</w:t>
      </w:r>
      <w:r>
        <w:rPr>
          <w:rFonts w:ascii="Times New Roman;sans-serif" w:hAnsi="Times New Roman;sans-serif"/>
          <w:b/>
          <w:i/>
          <w:color w:val="000000"/>
          <w:sz w:val="20"/>
        </w:rPr>
        <w:t xml:space="preserve">Routine Home Care (RHC). </w:t>
      </w:r>
      <w:r>
        <w:rPr>
          <w:rFonts w:ascii="Times New Roman;sans-serif" w:hAnsi="Times New Roman;sans-serif"/>
          <w:b w:val="false"/>
          <w:color w:val="000000"/>
          <w:sz w:val="20"/>
        </w:rPr>
        <w:t>Care that is not classified under any of the other levels of care, such as the work of nurses, social workers or home health aides.</w:t>
      </w:r>
    </w:p>
    <w:p>
      <w:pPr>
        <w:pStyle w:val="TextBody"/>
        <w:bidi w:val="0"/>
        <w:spacing w:lineRule="auto" w:line="240" w:before="0" w:after="120"/>
        <w:ind w:left="0" w:right="0" w:hanging="360"/>
        <w:jc w:val="both"/>
        <w:rPr/>
      </w:pPr>
      <w:r>
        <w:rPr>
          <w:color w:val="000000"/>
        </w:rPr>
        <w:t>•</w:t>
      </w:r>
      <w:r>
        <w:rPr>
          <w:rFonts w:ascii="Times New Roman;sans-serif" w:hAnsi="Times New Roman;sans-serif"/>
          <w:b/>
          <w:i/>
          <w:color w:val="000000"/>
          <w:sz w:val="20"/>
        </w:rPr>
        <w:t xml:space="preserve">General Inpatient Care. </w:t>
      </w:r>
      <w:r>
        <w:rPr>
          <w:rFonts w:ascii="Times New Roman;sans-serif" w:hAnsi="Times New Roman;sans-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40" w:before="0" w:after="120"/>
        <w:ind w:left="0" w:right="0" w:hanging="360"/>
        <w:jc w:val="both"/>
        <w:rPr/>
      </w:pPr>
      <w:r>
        <w:rPr>
          <w:color w:val="000000"/>
        </w:rPr>
        <w:t>•</w:t>
      </w:r>
      <w:r>
        <w:rPr>
          <w:rFonts w:ascii="Times New Roman;sans-serif" w:hAnsi="Times New Roman;sans-serif"/>
          <w:b/>
          <w:i/>
          <w:color w:val="000000"/>
          <w:sz w:val="20"/>
        </w:rPr>
        <w:t xml:space="preserve">Continuous Home Care. </w:t>
      </w:r>
      <w:r>
        <w:rPr>
          <w:rFonts w:ascii="Times New Roman;sans-serif" w:hAnsi="Times New Roman;sans-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40" w:before="0" w:after="120"/>
        <w:ind w:left="0" w:right="0" w:hanging="360"/>
        <w:jc w:val="both"/>
        <w:rPr/>
      </w:pPr>
      <w:r>
        <w:rPr>
          <w:color w:val="000000"/>
        </w:rPr>
        <w:t>•</w:t>
      </w:r>
      <w:r>
        <w:rPr>
          <w:rFonts w:ascii="Times New Roman;sans-serif" w:hAnsi="Times New Roman;sans-serif"/>
          <w:b/>
          <w:i/>
          <w:color w:val="000000"/>
          <w:sz w:val="20"/>
        </w:rPr>
        <w:t>Inpatient Respite Care.</w:t>
      </w:r>
      <w:r>
        <w:rPr>
          <w:color w:val="000000"/>
        </w:rPr>
        <w:t xml:space="preserve"> </w:t>
      </w:r>
      <w:r>
        <w:rPr>
          <w:rFonts w:ascii="Times New Roman;sans-serif" w:hAnsi="Times New Roman;sans-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CMS has established a two-tiered payment system for RHC. Hospices are reimbursed at a higher rate for RHC services provided from days of service 1 through 60 and a lower rate for all subsequent days of service. CMS also provided for a Service Intensity Add-On, which increases payments for certain RHC services provided by registered nurses and social workers to hospice patients during the final seven days of life.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Senior Living Services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Cost of Services (excluding rent, general and administrative expense and depreciation and amortization)</w:t>
      </w:r>
      <w:r>
        <w:rPr>
          <w:rFonts w:ascii="Times New Roman;sans-serif" w:hAnsi="Times New Roman;sans-serif"/>
          <w:b w:val="false"/>
          <w:color w:val="000000"/>
          <w:sz w:val="20"/>
        </w:rPr>
        <w:t xml:space="preserve">. Our cost of services represents the costs of operating our independent operating subsidiaries, which primarily consists of employee wages and related benefits, share-based compensation, supplies, purchased services, and ancillary expenses such as the cost of pharmacy and therapy services provided to patients or residents.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Rent—Cost of Services</w:t>
      </w:r>
      <w:r>
        <w:rPr>
          <w:rFonts w:ascii="Times New Roman;sans-serif" w:hAnsi="Times New Roman;sans-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which are included in cost of services and general and administrative expense.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w:t>
      </w:r>
      <w:r>
        <w:rPr>
          <w:rFonts w:ascii="Times New Roman;sans-serif" w:hAnsi="Times New Roman;sans-serif"/>
          <w:b w:val="false"/>
          <w:color w:val="000000"/>
          <w:sz w:val="20"/>
        </w:rPr>
        <w:t>. General and administrative expense consists primarily of payroll and related benefits and travel expenses for our Service Center personnel in providing training and other operational support. General and administrative expense also includes professional fees (such as accounting and legal fees), costs relating to our information systems, share-based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and Amortization</w:t>
      </w:r>
      <w:r>
        <w:rPr>
          <w:rFonts w:ascii="Times New Roman;sans-serif" w:hAnsi="Times New Roman;sans-serif"/>
          <w:b w:val="false"/>
          <w:color w:val="000000"/>
          <w:sz w:val="20"/>
        </w:rPr>
        <w:t>. Property and equipment are initially recorded at their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discussion and analysis of our financial condition and results of operations are based on our consolidated financial statements, which have been prepared in accordance with U.S. generally accepted accounting principles (“GAAP”). The preparation of these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periods. On an ongoing basis we review our judgments and estimates, including but not limited to those related to self-insurance reserves, revenue, and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ans-serif" w:hAnsi="Times New Roman;sans-serif"/>
          <w:b w:val="false"/>
          <w:i/>
          <w:color w:val="000000"/>
          <w:sz w:val="20"/>
        </w:rPr>
        <w:t>Basis of Presentation and Summary of Significant Accounting Policies</w:t>
      </w:r>
      <w:r>
        <w:rPr>
          <w:rFonts w:ascii="Times New Roman;sans-serif" w:hAnsi="Times New Roman;sans-serif"/>
          <w:b w:val="false"/>
          <w:color w:val="000000"/>
          <w:sz w:val="20"/>
        </w:rPr>
        <w:t>, within the Consolidated Financial Statements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Self-insurance reserves</w:t>
      </w:r>
      <w:r>
        <w:rPr>
          <w:color w:val="000000"/>
        </w:rPr>
        <w:t xml:space="preserve"> </w:t>
      </w:r>
      <w:r>
        <w:rPr>
          <w:rFonts w:ascii="Times New Roman;sans-serif" w:hAnsi="Times New Roman;sans-serif"/>
          <w:b w:val="false"/>
          <w:color w:val="000000"/>
          <w:sz w:val="20"/>
        </w:rPr>
        <w:t>- The Company is self-insured for general and professional liability, workers’ compensation, automobile, and its employee health plans while maintaining stop-loss coverage with third-party insurers to limit its total liability exposure. The valuation methods and assumptions used in estimating costs up to retention amounts to settle open claims of insureds and an estimate of the cost of insured claims up to retention amounts that have been incurred but not reported;</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Revenue recognition</w:t>
      </w:r>
      <w:r>
        <w:rPr>
          <w:color w:val="000000"/>
        </w:rPr>
        <w:t xml:space="preserve"> </w:t>
      </w:r>
      <w:r>
        <w:rPr>
          <w:rFonts w:ascii="Times New Roman;sans-serif" w:hAnsi="Times New Roman;sans-serif"/>
          <w:b w:val="false"/>
          <w:color w:val="000000"/>
          <w:sz w:val="20"/>
        </w:rPr>
        <w:t>- The amounts owed by private pay individuals for services and estimate of variable considerations to arrive at the transaction price, including methods and assumptions, used to determine settlements with Medicare and Medicaid adjustments due to audits and reviews;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Acquisition accounting and goodwill</w:t>
      </w:r>
      <w:r>
        <w:rPr>
          <w:color w:val="000000"/>
        </w:rPr>
        <w:t xml:space="preserve"> </w:t>
      </w:r>
      <w:r>
        <w:rPr>
          <w:rFonts w:ascii="Times New Roman;sans-serif" w:hAnsi="Times New Roman;sans-serif"/>
          <w:b w:val="false"/>
          <w:color w:val="000000"/>
          <w:sz w:val="20"/>
        </w:rPr>
        <w:t>- The assumptions used to allocate the purchase price paid for assets acquired and liabilities assumed in connection with our acquisitions, and the review of goodwill for impairment at the Company’s annual impairment test date or upon the occurrence of a triggering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both"/>
        <w:rPr/>
      </w:pPr>
      <w:r>
        <w:rPr>
          <w:color w:val="000000"/>
          <w:shd w:fill="FFFFFF" w:val="clear"/>
        </w:rPr>
        <w:t>    </w:t>
      </w:r>
      <w:r>
        <w:rPr>
          <w:rFonts w:ascii="Times New Roman;sans-serif" w:hAnsi="Times New Roman;sans-serif"/>
          <w:b w:val="false"/>
          <w:color w:val="000000"/>
          <w:sz w:val="20"/>
        </w:rPr>
        <w:t xml:space="preserve">Information concerning recently issued accounting pronouncements which are not yet effective is included in Note 2, </w:t>
      </w:r>
      <w:r>
        <w:rPr>
          <w:rFonts w:ascii="Times New Roman;sans-serif" w:hAnsi="Times New Roman;sans-serif"/>
          <w:b w:val="false"/>
          <w:i/>
          <w:color w:val="000000"/>
          <w:sz w:val="20"/>
        </w:rPr>
        <w:t>Basis of Presentation and Summary of Significant Accounting Policies</w:t>
      </w:r>
      <w:r>
        <w:rPr>
          <w:color w:val="000000"/>
        </w:rPr>
        <w:t xml:space="preserve"> </w:t>
      </w:r>
      <w:r>
        <w:rPr>
          <w:rFonts w:ascii="Times New Roman;sans-serif" w:hAnsi="Times New Roman;sans-serif"/>
          <w:b w:val="false"/>
          <w:color w:val="000000"/>
          <w:sz w:val="20"/>
        </w:rPr>
        <w:t>in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details of our expenses and earnings as a percentage of total revenue for the periods indicated:</w:t>
      </w:r>
    </w:p>
    <w:p>
      <w:pPr>
        <w:pStyle w:val="TextBody"/>
        <w:bidi w:val="0"/>
        <w:spacing w:before="0" w:after="0"/>
        <w:ind w:left="0" w:right="0" w:firstLine="720"/>
        <w:jc w:val="both"/>
        <w:rPr/>
      </w:pPr>
      <w:r>
        <w:rPr/>
      </w:r>
    </w:p>
    <w:tbl>
      <w:tblPr>
        <w:tblW w:w="8092" w:type="dxa"/>
        <w:jc w:val="left"/>
        <w:tblInd w:w="0" w:type="dxa"/>
        <w:tblLayout w:type="fixed"/>
        <w:tblCellMar>
          <w:top w:w="28" w:type="dxa"/>
          <w:left w:w="28" w:type="dxa"/>
          <w:bottom w:w="28" w:type="dxa"/>
          <w:right w:w="28" w:type="dxa"/>
        </w:tblCellMar>
      </w:tblPr>
      <w:tblGrid>
        <w:gridCol w:w="1665"/>
        <w:gridCol w:w="1466"/>
        <w:gridCol w:w="1474"/>
        <w:gridCol w:w="308"/>
        <w:gridCol w:w="308"/>
        <w:gridCol w:w="294"/>
        <w:gridCol w:w="118"/>
        <w:gridCol w:w="118"/>
        <w:gridCol w:w="118"/>
        <w:gridCol w:w="308"/>
        <w:gridCol w:w="308"/>
        <w:gridCol w:w="294"/>
        <w:gridCol w:w="118"/>
        <w:gridCol w:w="118"/>
        <w:gridCol w:w="118"/>
        <w:gridCol w:w="308"/>
        <w:gridCol w:w="308"/>
        <w:gridCol w:w="343"/>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dispositions and impairment,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Pennant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7721" w:type="dxa"/>
        <w:jc w:val="left"/>
        <w:tblInd w:w="0" w:type="dxa"/>
        <w:tblLayout w:type="fixed"/>
        <w:tblCellMar>
          <w:top w:w="28" w:type="dxa"/>
          <w:left w:w="28" w:type="dxa"/>
          <w:bottom w:w="28" w:type="dxa"/>
          <w:right w:w="28" w:type="dxa"/>
        </w:tblCellMar>
      </w:tblPr>
      <w:tblGrid>
        <w:gridCol w:w="1299"/>
        <w:gridCol w:w="1141"/>
        <w:gridCol w:w="1144"/>
        <w:gridCol w:w="211"/>
        <w:gridCol w:w="826"/>
        <w:gridCol w:w="109"/>
        <w:gridCol w:w="109"/>
        <w:gridCol w:w="109"/>
        <w:gridCol w:w="109"/>
        <w:gridCol w:w="211"/>
        <w:gridCol w:w="826"/>
        <w:gridCol w:w="109"/>
        <w:gridCol w:w="109"/>
        <w:gridCol w:w="109"/>
        <w:gridCol w:w="109"/>
        <w:gridCol w:w="211"/>
        <w:gridCol w:w="82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GAAP Financial Measures: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certain financial information regarding our reportable segments. General and administrative expenses are not allocated to the reportable segments: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84"/>
        <w:gridCol w:w="856"/>
        <w:gridCol w:w="860"/>
        <w:gridCol w:w="109"/>
        <w:gridCol w:w="109"/>
        <w:gridCol w:w="109"/>
        <w:gridCol w:w="421"/>
        <w:gridCol w:w="1651"/>
        <w:gridCol w:w="217"/>
        <w:gridCol w:w="109"/>
        <w:gridCol w:w="109"/>
        <w:gridCol w:w="109"/>
        <w:gridCol w:w="307"/>
        <w:gridCol w:w="1205"/>
        <w:gridCol w:w="158"/>
        <w:gridCol w:w="109"/>
        <w:gridCol w:w="109"/>
        <w:gridCol w:w="109"/>
        <w:gridCol w:w="211"/>
        <w:gridCol w:w="721"/>
        <w:gridCol w:w="109"/>
        <w:gridCol w:w="109"/>
        <w:gridCol w:w="109"/>
        <w:gridCol w:w="109"/>
        <w:gridCol w:w="211"/>
        <w:gridCol w:w="826"/>
        <w:gridCol w:w="160"/>
      </w:tblGrid>
      <w:tr>
        <w:trPr/>
        <w:tc>
          <w:tcPr>
            <w:tcW w:w="9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515,344 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427,635 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385,652 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320,046 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337,371 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provides a reconciliation of Segment Adjusted EBITDAR from Operations above to income from operations:</w:t>
      </w:r>
    </w:p>
    <w:p>
      <w:pPr>
        <w:pStyle w:val="TextBody"/>
        <w:bidi w:val="0"/>
        <w:spacing w:before="0" w:after="0"/>
        <w:ind w:left="0" w:right="0" w:firstLine="720"/>
        <w:jc w:val="both"/>
        <w:rPr/>
      </w:pPr>
      <w:r>
        <w:rPr/>
      </w:r>
    </w:p>
    <w:tbl>
      <w:tblPr>
        <w:tblW w:w="8651" w:type="dxa"/>
        <w:jc w:val="left"/>
        <w:tblInd w:w="0" w:type="dxa"/>
        <w:tblLayout w:type="fixed"/>
        <w:tblCellMar>
          <w:top w:w="28" w:type="dxa"/>
          <w:left w:w="28" w:type="dxa"/>
          <w:bottom w:w="28" w:type="dxa"/>
          <w:right w:w="28" w:type="dxa"/>
        </w:tblCellMar>
      </w:tblPr>
      <w:tblGrid>
        <w:gridCol w:w="1674"/>
        <w:gridCol w:w="1468"/>
        <w:gridCol w:w="1477"/>
        <w:gridCol w:w="211"/>
        <w:gridCol w:w="826"/>
        <w:gridCol w:w="109"/>
        <w:gridCol w:w="109"/>
        <w:gridCol w:w="109"/>
        <w:gridCol w:w="109"/>
        <w:gridCol w:w="211"/>
        <w:gridCol w:w="826"/>
        <w:gridCol w:w="109"/>
        <w:gridCol w:w="109"/>
        <w:gridCol w:w="109"/>
        <w:gridCol w:w="109"/>
        <w:gridCol w:w="211"/>
        <w:gridCol w:w="72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Segment Adjusted EBITDAR from Operations</w:t>
            </w:r>
            <w:r>
              <w:rPr>
                <w:rFonts w:ascii="Times New Roman;sans-serif" w:hAnsi="Times New Roman;sans-serif"/>
                <w:b w:val="false"/>
                <w:color w:val="000000"/>
                <w:sz w:val="13"/>
              </w:rPr>
              <w:t>(a)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Costs at start-up operations</w:t>
            </w:r>
            <w:r>
              <w:rPr>
                <w:color w:val="000000"/>
              </w:rPr>
              <w:t xml:space="preserve"> </w:t>
            </w:r>
            <w:r>
              <w:rPr>
                <w:rFonts w:ascii="Times New Roman;sans-serif" w:hAnsi="Times New Roman;sans-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3"/>
        <w:gridCol w:w="2743"/>
        <w:gridCol w:w="38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costs at start-up operations, (2) share-based compensation expense, (3) acquisition related costs and credit allowances, (4) costs associated with transitioning operations, (5) unusual, non-recurring or redundant charges, and (6) net income (loss)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including the impact of the modification of certain restricted stock units described below in Note 12, Options and Awards, to the Consolidated Financial Statements.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16"/>
              </w:rPr>
              <w:t xml:space="preserve">During the year ended December 31, 2023, an affiliate of the Company placed its memory care units into transition and is converting the facility into an assisted living community. We received insurance proceeds related to the property in 2024 which were recorded as a gain on asset disposition on the consolidated statements of income. The amounts reported exclude rent and depreciation and amortization expense related to such operations and include legal settlement costs associated with one of the entities transitioned to Ensign. </w:t>
              <w:br/>
            </w:r>
            <w:r>
              <w:rPr>
                <w:rFonts w:ascii="Times New Roman;sans-serif" w:hAnsi="Times New Roman;sans-serif"/>
                <w:b w:val="false"/>
                <w:sz w:val="16"/>
              </w:rPr>
              <w:br/>
            </w:r>
            <w:r>
              <w:rPr>
                <w:rFonts w:ascii="Times New Roman;sans-serif" w:hAnsi="Times New Roman;sans-serif"/>
                <w:b w:val="false"/>
                <w:color w:val="000000"/>
                <w:sz w:val="16"/>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and cost of services expenses. The amounts reported for the year ended December 31, 2022 include certain costs identified as redundant or non-recurring incurred by the Company for services provided by Ensign under the Transition Services Agreement, and were included in general and administrative expense.</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and Valuation Measures:</w:t>
      </w:r>
    </w:p>
    <w:p>
      <w:pPr>
        <w:pStyle w:val="TextBody"/>
        <w:bidi w:val="0"/>
        <w:spacing w:before="0" w:after="0"/>
        <w:ind w:left="0" w:right="0" w:firstLine="720"/>
        <w:jc w:val="left"/>
        <w:rPr/>
      </w:pPr>
      <w:r>
        <w:rPr/>
      </w:r>
    </w:p>
    <w:tbl>
      <w:tblPr>
        <w:tblW w:w="7811" w:type="dxa"/>
        <w:jc w:val="left"/>
        <w:tblInd w:w="0" w:type="dxa"/>
        <w:tblLayout w:type="fixed"/>
        <w:tblCellMar>
          <w:top w:w="28" w:type="dxa"/>
          <w:left w:w="28" w:type="dxa"/>
          <w:bottom w:w="28" w:type="dxa"/>
          <w:right w:w="28" w:type="dxa"/>
        </w:tblCellMar>
      </w:tblPr>
      <w:tblGrid>
        <w:gridCol w:w="1445"/>
        <w:gridCol w:w="1270"/>
        <w:gridCol w:w="1274"/>
        <w:gridCol w:w="211"/>
        <w:gridCol w:w="721"/>
        <w:gridCol w:w="109"/>
        <w:gridCol w:w="109"/>
        <w:gridCol w:w="109"/>
        <w:gridCol w:w="109"/>
        <w:gridCol w:w="211"/>
        <w:gridCol w:w="721"/>
        <w:gridCol w:w="109"/>
        <w:gridCol w:w="109"/>
        <w:gridCol w:w="109"/>
        <w:gridCol w:w="109"/>
        <w:gridCol w:w="211"/>
        <w:gridCol w:w="72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Non-GAAP Financial Measures: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Metrics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Metric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527" w:type="dxa"/>
        <w:jc w:val="left"/>
        <w:tblInd w:w="0" w:type="dxa"/>
        <w:tblLayout w:type="fixed"/>
        <w:tblCellMar>
          <w:top w:w="28" w:type="dxa"/>
          <w:left w:w="28" w:type="dxa"/>
          <w:bottom w:w="28" w:type="dxa"/>
          <w:right w:w="28" w:type="dxa"/>
        </w:tblCellMar>
      </w:tblPr>
      <w:tblGrid>
        <w:gridCol w:w="1342"/>
        <w:gridCol w:w="1178"/>
        <w:gridCol w:w="1185"/>
        <w:gridCol w:w="211"/>
        <w:gridCol w:w="721"/>
        <w:gridCol w:w="109"/>
        <w:gridCol w:w="109"/>
        <w:gridCol w:w="109"/>
        <w:gridCol w:w="109"/>
        <w:gridCol w:w="211"/>
        <w:gridCol w:w="721"/>
        <w:gridCol w:w="109"/>
        <w:gridCol w:w="109"/>
        <w:gridCol w:w="109"/>
        <w:gridCol w:w="109"/>
        <w:gridCol w:w="211"/>
        <w:gridCol w:w="72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Segment Non-GAAP Measures:</w:t>
            </w:r>
            <w:r>
              <w:rPr>
                <w:rFonts w:ascii="Times New Roman;sans-serif" w:hAnsi="Times New Roman;sans-serif"/>
                <w:b/>
                <w:color w:val="000000"/>
                <w:sz w:val="13"/>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reconciles Consolidated Net Income to Consolidated EBITDA, Consolidated Adjusted EBITDA and Consolidated Adjusted EBITDAR for the periods presented: </w:t>
      </w:r>
    </w:p>
    <w:p>
      <w:pPr>
        <w:pStyle w:val="TextBody"/>
        <w:bidi w:val="0"/>
        <w:spacing w:before="0" w:after="0"/>
        <w:ind w:left="0" w:right="0" w:firstLine="720"/>
        <w:jc w:val="both"/>
        <w:rPr/>
      </w:pPr>
      <w:r>
        <w:rPr/>
      </w:r>
    </w:p>
    <w:tbl>
      <w:tblPr>
        <w:tblW w:w="8352" w:type="dxa"/>
        <w:jc w:val="left"/>
        <w:tblInd w:w="0" w:type="dxa"/>
        <w:tblLayout w:type="fixed"/>
        <w:tblCellMar>
          <w:top w:w="28" w:type="dxa"/>
          <w:left w:w="28" w:type="dxa"/>
          <w:bottom w:w="28" w:type="dxa"/>
          <w:right w:w="28" w:type="dxa"/>
        </w:tblCellMar>
      </w:tblPr>
      <w:tblGrid>
        <w:gridCol w:w="1677"/>
        <w:gridCol w:w="1476"/>
        <w:gridCol w:w="1482"/>
        <w:gridCol w:w="211"/>
        <w:gridCol w:w="721"/>
        <w:gridCol w:w="109"/>
        <w:gridCol w:w="109"/>
        <w:gridCol w:w="109"/>
        <w:gridCol w:w="109"/>
        <w:gridCol w:w="211"/>
        <w:gridCol w:w="721"/>
        <w:gridCol w:w="109"/>
        <w:gridCol w:w="109"/>
        <w:gridCol w:w="109"/>
        <w:gridCol w:w="109"/>
        <w:gridCol w:w="211"/>
        <w:gridCol w:w="61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Consolidated EBITDA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Costs at start-up operations</w:t>
            </w:r>
            <w:r>
              <w:rPr>
                <w:rFonts w:ascii="Times New Roman;sans-serif" w:hAnsi="Times New Roman;sans-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Activities associated with transitioning operations</w:t>
            </w:r>
            <w:r>
              <w:rPr>
                <w:rFonts w:ascii="Times New Roman;sans-serif" w:hAnsi="Times New Roman;sans-serif"/>
                <w:b w:val="false"/>
                <w:color w:val="000000"/>
                <w:sz w:val="13"/>
              </w:rPr>
              <w:t>(d)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or non-recurring charges</w:t>
            </w:r>
            <w:r>
              <w:rPr>
                <w:rFonts w:ascii="Times New Roman;sans-serif" w:hAnsi="Times New Roman;sans-serif"/>
                <w:b w:val="false"/>
                <w:color w:val="000000"/>
                <w:sz w:val="13"/>
              </w:rPr>
              <w: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(e) above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items (a) and (e) above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rent—cost of services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90"/>
        <w:gridCol w:w="2710"/>
        <w:gridCol w:w="3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and related payroll taxes incurred, including the impact of the modification of certain restricted stock units described below in Note 12, Options and Awards, to the Consolidated Financial Statements.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pPr>
            <w:r>
              <w:rPr>
                <w:rFonts w:ascii="Times New Roman;sans-serif" w:hAnsi="Times New Roman;sans-serif"/>
                <w:b w:val="false"/>
                <w:color w:val="000000"/>
                <w:sz w:val="16"/>
              </w:rPr>
              <w:t xml:space="preserve">During the year ended December 31, 2023, an affiliate of the Company placed its memory care units into transition and is converting the facility into an assisted living community. We received insurance proceeds related to the property in 2024 which were recorded as a gain on asset disposition on the consolidated statements of income. The amounts reported exclude rent and depreciation and amortization expense related to such operations and include legal settlement costs associated with one of the entities transitioned to Ensign. </w:t>
              <w:br/>
            </w:r>
            <w:r>
              <w:rPr>
                <w:rFonts w:ascii="Times New Roman;sans-serif" w:hAnsi="Times New Roman;sans-serif"/>
                <w:b w:val="false"/>
                <w:sz w:val="16"/>
              </w:rPr>
              <w:br/>
            </w:r>
            <w:r>
              <w:rPr>
                <w:rFonts w:ascii="Times New Roman;sans-serif" w:hAnsi="Times New Roman;sans-serif"/>
                <w:b w:val="false"/>
                <w:color w:val="000000"/>
                <w:sz w:val="16"/>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and cost of services expenses. The amounts reported for the year ended December 31, 2022 include certain costs identified as redundant or non-recurring incurred by the Company for services provided by Ensign under the Transition Services Agreement, and were included in general and administrative expense.</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Segment Adjusted EBITDAR from Operations to Segment Adjusted EBITDA from Operations for the periods presented: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92"/>
        <w:gridCol w:w="690"/>
        <w:gridCol w:w="69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89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ans-serif" w:hAnsi="Times New Roman;sans-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length of the lease to which the asset applies,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as measurements of our operating performance to assist us in comparing our operating performance on a consistent basis from period to period;</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to allocate resources to enhance the financial performance of our business;</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to assess the value of a potential acquisition;</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to assess the value of a transformed operation’s performance;</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to evaluate the effectiveness of our operational strategies; and</w:t>
      </w:r>
    </w:p>
    <w:p>
      <w:pPr>
        <w:pStyle w:val="TextBody"/>
        <w:bidi w:val="0"/>
        <w:spacing w:lineRule="auto" w:line="240" w:before="0" w:after="200"/>
        <w:ind w:left="0" w:right="0" w:hanging="360"/>
        <w:jc w:val="both"/>
        <w:rPr/>
      </w:pPr>
      <w:r>
        <w:rPr>
          <w:color w:val="000000"/>
        </w:rPr>
        <w:t>•</w:t>
      </w:r>
      <w:r>
        <w:rPr>
          <w:rFonts w:ascii="Times New Roman;sans-serif" w:hAnsi="Times New Roman;sans-serif"/>
          <w:b w:val="false"/>
          <w:color w:val="000000"/>
          <w:sz w:val="20"/>
        </w:rPr>
        <w:t>to compare our operating performance to that of our competitors.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they do not reflect changes in, or cash requirements for, our working capital needs;</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they do not reflect the net interest expense, or the cash requirements necessary to service interest or principal payments, on our debt;</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they do not reflect any income tax payments we may be required to make;</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these non-cash charges do not reflect any cash requirements for such replacements; and</w: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for these limitations by using Non-GAAP Financial Measures only to supplement net income on a basis prepared in accordance with GAAP in order to provide a more complete understanding of the factors and trends affecting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strongly encourage investors to review our Consolidated Financial Statements, included in this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our Consolidated Financial Statements and related notes included elsewhere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EBITDA as net income, adjusted for net income (loss) attributable to noncontrolling interest, before (a) interest expense (b) provision for income taxes and (c) depreciation and amortization.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Consolidated Adjusted EBITDA by adjusting Consolidated EBITDA to exclude the effects of non-core business items, which for the reported periods includes,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costs at start-up operations;</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share-based compensation expense;</w:t>
      </w:r>
    </w:p>
    <w:p>
      <w:pPr>
        <w:pStyle w:val="TextBody"/>
        <w:bidi w:val="0"/>
        <w:spacing w:lineRule="auto" w:line="288" w:before="0" w:after="120"/>
        <w:jc w:val="left"/>
        <w:rPr/>
      </w:pPr>
      <w:r>
        <w:rPr>
          <w:color w:val="000000"/>
        </w:rPr>
        <w:t>•</w:t>
      </w:r>
      <w:r>
        <w:rPr>
          <w:rFonts w:ascii="Times New Roman;sans-serif" w:hAnsi="Times New Roman;sans-serif"/>
          <w:b w:val="false"/>
          <w:color w:val="000000"/>
          <w:sz w:val="20"/>
        </w:rPr>
        <w:t xml:space="preserve">acquisition related costs and credit allowances;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20"/>
          <w:shd w:fill="FFFFFF" w:val="clear"/>
        </w:rPr>
        <w:t>; and</w:t>
      </w:r>
    </w:p>
    <w:p>
      <w:pPr>
        <w:pStyle w:val="TextBody"/>
        <w:bidi w:val="0"/>
        <w:spacing w:lineRule="auto" w:line="288" w:before="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unusual or non-recurring charges.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ans-serif" w:hAnsi="Times New Roman;sans-serif"/>
          <w:b/>
          <w:i/>
          <w:color w:val="000000"/>
          <w:sz w:val="20"/>
        </w:rPr>
        <w:t>Valuation Measure</w:t>
      </w:r>
      <w:r>
        <w:rPr>
          <w:rFonts w:ascii="Times New Roman;sans-serif" w:hAnsi="Times New Roman;sans-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or financed leases. A significant portion of financed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2024 Compared to the Year Ended December 31,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Home care and other</w:t>
            </w:r>
            <w:r>
              <w:rPr>
                <w:rFonts w:ascii="Times New Roman;sans-serif" w:hAnsi="Times New Roman;sans-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services</w:t>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394,464 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544,891 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78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09"/>
        <w:gridCol w:w="2109"/>
        <w:gridCol w:w="29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Home care and other revenue is included with home health revenue in other disclosures in this report.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revenue increased $150.3 million, or 27.6%, driven by the net organic growth of existing operations across all segments of $59.2 million or 10.9% as well as increased revenue from acquired operations of $91.1 million, or 16.7%, during the year ended December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98"/>
        <w:gridCol w:w="1477"/>
        <w:gridCol w:w="148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615"/>
      </w:tblGrid>
      <w:tr>
        <w:trPr/>
        <w:tc>
          <w:tcPr>
            <w:tcW w:w="169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care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and hospice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4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services: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Medicare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Medicare revenue per 60-day completed episode</w:t>
            </w:r>
            <w:r>
              <w:rPr>
                <w:rFonts w:ascii="Times New Roman;sans-serif" w:hAnsi="Times New Roman;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hospice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census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Medicare revenue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home health and hospice agencies at period end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The year to date average for Medicare revenue per 60-day completed episode includes post period claim adjustments for prior periods. </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Home health and hospice revenue increased $125.0 million, or 31.7%. Revenue grew due to an increase in almost all key performance indicators including an increase in total home health admissions of 37.3%, an increase in Medicare home health admissions of 26.9%, an increase in average Medicare revenue per 60-day completed episode of 6.0%, an increase of 25.3% in total hospice admissions, and an increase of 25.4% in hospice average daily census, while Hospice Medicare revenue per day decreased by 1.1%. The improvement in these metrics resulted in net organic revenue growth of $46.4 million for the year ended December 31, 2024. Growth was also driven by the acquisition of eleven home health and hospice operations during the year ended December 31, 2024, and the acquisition of thirteen home health, home care, and hospice operations during the year ended December 31, 2023, resulting in an increase in revenue of $78.6 million, or 19.9% overall.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Living Services</w:t>
      </w:r>
    </w:p>
    <w:p>
      <w:pPr>
        <w:pStyle w:val="TextBody"/>
        <w:bidi w:val="0"/>
        <w:spacing w:before="0" w:after="0"/>
        <w:jc w:val="left"/>
        <w:rPr/>
      </w:pPr>
      <w:r>
        <w:rPr/>
      </w:r>
    </w:p>
    <w:tbl>
      <w:tblPr>
        <w:tblW w:w="9614" w:type="dxa"/>
        <w:jc w:val="left"/>
        <w:tblInd w:w="0" w:type="dxa"/>
        <w:tblLayout w:type="fixed"/>
        <w:tblCellMar>
          <w:top w:w="28" w:type="dxa"/>
          <w:left w:w="28" w:type="dxa"/>
          <w:bottom w:w="28" w:type="dxa"/>
          <w:right w:w="28" w:type="dxa"/>
        </w:tblCellMar>
      </w:tblPr>
      <w:tblGrid>
        <w:gridCol w:w="1334"/>
        <w:gridCol w:w="1174"/>
        <w:gridCol w:w="1181"/>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communities at period end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Senior living revenue increased $25.3 million, or 16.8%, for the year ended December 31, 2024 when compared to the same period in the prior year primarily due to a 8.3% increase in average monthly revenue per occupied unit and a 0.3% increase in occupancy rate. Growth in revenue was also driven by the acquisition of six senior living communities during the year ended December 31, 2024, and the acquisition of two senior living communities during the year ended December 31, 2023, resulting in an increase of $12.5 million, or 8.3% overall.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Services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total cost of services by each of our reportable segments for the periods indicated:</w:t>
      </w:r>
    </w:p>
    <w:p>
      <w:pPr>
        <w:pStyle w:val="TextBody"/>
        <w:bidi w:val="0"/>
        <w:spacing w:before="0" w:after="0"/>
        <w:ind w:left="0" w:right="0" w:firstLine="720"/>
        <w:jc w:val="left"/>
        <w:rPr/>
      </w:pPr>
      <w:r>
        <w:rPr/>
      </w:r>
    </w:p>
    <w:tbl>
      <w:tblPr>
        <w:tblW w:w="7779" w:type="dxa"/>
        <w:jc w:val="left"/>
        <w:tblInd w:w="0" w:type="dxa"/>
        <w:tblLayout w:type="fixed"/>
        <w:tblCellMar>
          <w:top w:w="28" w:type="dxa"/>
          <w:left w:w="28" w:type="dxa"/>
          <w:bottom w:w="28" w:type="dxa"/>
          <w:right w:w="28" w:type="dxa"/>
        </w:tblCellMar>
      </w:tblPr>
      <w:tblGrid>
        <w:gridCol w:w="810"/>
        <w:gridCol w:w="710"/>
        <w:gridCol w:w="7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Health and Hospice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Living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services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cost of services increased $120.4 million, or 27.5%, for the year ended December 31, 2024 when compared to the year ended December 31, 2023. The increase in the amount of cost of services was driven primarily by volume of services provided and increased wages and benefits. Cost of services as a percentage of revenue decreased by 10 basis points from 80.4% to 80.3% over the same time period.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Home Health and Hospice Services</w:t>
      </w:r>
    </w:p>
    <w:p>
      <w:pPr>
        <w:pStyle w:val="TextBody"/>
        <w:bidi w:val="0"/>
        <w:spacing w:before="0" w:after="0"/>
        <w:jc w:val="left"/>
        <w:rPr/>
      </w:pPr>
      <w:r>
        <w:rPr/>
      </w:r>
    </w:p>
    <w:tbl>
      <w:tblPr>
        <w:tblW w:w="9600" w:type="dxa"/>
        <w:jc w:val="left"/>
        <w:tblInd w:w="0" w:type="dxa"/>
        <w:tblLayout w:type="fixed"/>
        <w:tblCellMar>
          <w:top w:w="28" w:type="dxa"/>
          <w:left w:w="28" w:type="dxa"/>
          <w:bottom w:w="28" w:type="dxa"/>
          <w:right w:w="28" w:type="dxa"/>
        </w:tblCellMar>
      </w:tblPr>
      <w:tblGrid>
        <w:gridCol w:w="1293"/>
        <w:gridCol w:w="1136"/>
        <w:gridCol w:w="114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related to our Home Health and Hospice services segment increased $101.6 million, or 30.6%, primarily due to increased volume of services from the growth in admissions and average daily census as well as increased wages and benefits. Cost of services as a percentage of revenue for the year ended December 31, 2024 decreased by 70 basis points compared to the year ended December 31, 2023 primarily due to increased efficiency in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Living Services </w:t>
      </w:r>
    </w:p>
    <w:p>
      <w:pPr>
        <w:pStyle w:val="TextBody"/>
        <w:bidi w:val="0"/>
        <w:spacing w:before="0" w:after="0"/>
        <w:jc w:val="both"/>
        <w:rPr/>
      </w:pPr>
      <w:r>
        <w:rPr/>
      </w:r>
    </w:p>
    <w:tbl>
      <w:tblPr>
        <w:tblW w:w="9495" w:type="dxa"/>
        <w:jc w:val="left"/>
        <w:tblInd w:w="0" w:type="dxa"/>
        <w:tblLayout w:type="fixed"/>
        <w:tblCellMar>
          <w:top w:w="28" w:type="dxa"/>
          <w:left w:w="28" w:type="dxa"/>
          <w:bottom w:w="28" w:type="dxa"/>
          <w:right w:w="28" w:type="dxa"/>
        </w:tblCellMar>
      </w:tblPr>
      <w:tblGrid>
        <w:gridCol w:w="1293"/>
        <w:gridCol w:w="1136"/>
        <w:gridCol w:w="1141"/>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related to our Senior Living services segment increased $18.7 million, or 17.6%, during the year ended December 31, 2024 in response to higher occupancy, acquisitions and wage rate increases. As a percentage of revenue, costs of service increased by 50 basis points during the year ended December 31, 2024 when compared to the year ended December 31, 2023 primarily due to increased wages and benefits.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Rent—Cost of Services</w:t>
      </w:r>
      <w:r>
        <w:rPr>
          <w:rFonts w:ascii="Times New Roman;sans-serif" w:hAnsi="Times New Roman;sans-serif"/>
          <w:b w:val="false"/>
          <w:color w:val="000000"/>
          <w:sz w:val="20"/>
        </w:rPr>
        <w:t>. Rent increased 8.2% from $39.8 million to $43.0 million for the year ended December 31, 2024 compared to the year ended December 31, 2023, primarily as a result of the newly acquired senior living communities. As a percentage of revenue, rent</w:t>
      </w:r>
      <w:r>
        <w:rPr>
          <w:color w:val="000000"/>
        </w:rPr>
        <w:t>—</w:t>
      </w:r>
      <w:r>
        <w:rPr>
          <w:rFonts w:ascii="Times New Roman;sans-serif" w:hAnsi="Times New Roman;sans-serif"/>
          <w:b w:val="false"/>
          <w:color w:val="000000"/>
          <w:sz w:val="20"/>
        </w:rPr>
        <w:t xml:space="preserve">cost of services decreased 110 basis points when compared to the year ended December 31, 2023 due to improved overall sales leverage and performance.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General and Administrative Expense. </w:t>
      </w:r>
      <w:r>
        <w:rPr>
          <w:rFonts w:ascii="Times New Roman;sans-serif" w:hAnsi="Times New Roman;sans-serif"/>
          <w:b w:val="false"/>
          <w:color w:val="000000"/>
          <w:sz w:val="20"/>
        </w:rPr>
        <w:t xml:space="preserve">General and administrative expense increased $13.5 million, or 36.9%, from $36.7 million to $50.2 million for the year ended December 31, 2024 when compared to the year ended December 31, 2023. The increase in general and administrative expense was primarily due to an increase of $12.5 million in wages and benefits for the year ended December 31, 2024 when compared to the year ended December 31,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Depreciation and Amortization.</w:t>
      </w:r>
      <w:r>
        <w:rPr>
          <w:color w:val="000000"/>
        </w:rPr>
        <w:t xml:space="preserve"> </w:t>
      </w:r>
      <w:r>
        <w:rPr>
          <w:rFonts w:ascii="Times New Roman;sans-serif" w:hAnsi="Times New Roman;sans-serif"/>
          <w:b w:val="false"/>
          <w:color w:val="000000"/>
          <w:sz w:val="20"/>
        </w:rPr>
        <w:t xml:space="preserve">Depreciation and amortization expense stayed flat as a percentage of total revenue.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(Gain) loss on Asset Dispositions and Impairment, Net. </w:t>
      </w:r>
      <w:r>
        <w:rPr>
          <w:rFonts w:ascii="Times New Roman;sans-serif" w:hAnsi="Times New Roman;sans-serif"/>
          <w:b w:val="false"/>
          <w:color w:val="000000"/>
          <w:sz w:val="20"/>
        </w:rPr>
        <w:t xml:space="preserve">(Gain) loss on asset dispositions and impairment, net is a gain of $0.7 million for the year ended December 31, 2024 compared to a loss of $0.1 million for the year ended December 31, 2023 primarily due to insurance proceeds related to one of our senior living communities.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Our effective tax rate for the year ended December 31, 2024 was 22.4% of earnings before income taxes compared with an effective tax rate of 29.0% for the year ended December 31, 2023. The decrease in the effective tax rate is primarily due to a change in deductible equity compensation expenses. See</w:t>
      </w:r>
      <w:r>
        <w:rPr>
          <w:color w:val="000000"/>
        </w:rPr>
        <w:t xml:space="preserve"> </w:t>
      </w:r>
      <w:r>
        <w:rPr>
          <w:rFonts w:ascii="Times New Roman;sans-serif" w:hAnsi="Times New Roman;sans-serif"/>
          <w:b w:val="false"/>
          <w:color w:val="000000"/>
          <w:sz w:val="20"/>
        </w:rPr>
        <w:t>Note 14</w:t>
      </w:r>
      <w:r>
        <w:rPr>
          <w:rFonts w:ascii="Times New Roman;sans-serif" w:hAnsi="Times New Roman;sans-serif"/>
          <w:b w:val="false"/>
          <w:i/>
          <w:color w:val="000000"/>
          <w:sz w:val="20"/>
        </w:rPr>
        <w:t>, Income Taxes</w:t>
      </w:r>
      <w:r>
        <w:rPr>
          <w:rFonts w:ascii="Times New Roman;sans-serif" w:hAnsi="Times New Roman;sans-serif"/>
          <w:b w:val="false"/>
          <w:color w:val="000000"/>
          <w:sz w:val="20"/>
        </w:rPr>
        <w:t>, to the Consolidated Financial Statements included elsewhere in this report filed on Form 10-K for further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Prior Year Information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a comparison of our results of operations of the fiscal year ended December 31, 2023 as compared to the year ended December 31, 2022 refer to Item 7. Management's Discussion and Analysis of Financial Condition and Results of Operations on Form 10-K filed with the SEC on February 28,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generated through operating activities and borrowings under our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2024,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 2024, the Company closed the public offering (the “Offering”) of 4,025 shares of its common stock, $0.001 par value per share (“common stock”). The net proceeds to the Company from the offering, after underwriting discounts, commissions, and expenses, was approximately $118.1 million. The majority of the proceeds were subsequently used to pay the outstanding balance on our Amended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$24.2 million of cash and $245.8 million of available borrowing capacity on our Amended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cash generated through operations, and access to available borrowing capacity under our Amended Credit Agreement, will be sufficient to provide adequate liquidity for the next twelve months for both our operating activities and opportunities for acquisition growth.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data from our statement of cash flows for the periods presented: </w:t>
      </w:r>
    </w:p>
    <w:p>
      <w:pPr>
        <w:pStyle w:val="TextBody"/>
        <w:bidi w:val="0"/>
        <w:spacing w:before="0" w:after="0"/>
        <w:ind w:left="0" w:right="0" w:firstLine="720"/>
        <w:jc w:val="both"/>
        <w:rPr/>
      </w:pPr>
      <w:r>
        <w:rPr/>
      </w:r>
    </w:p>
    <w:tbl>
      <w:tblPr>
        <w:tblW w:w="5919" w:type="dxa"/>
        <w:jc w:val="left"/>
        <w:tblInd w:w="0" w:type="dxa"/>
        <w:tblLayout w:type="fixed"/>
        <w:tblCellMar>
          <w:top w:w="28" w:type="dxa"/>
          <w:left w:w="28" w:type="dxa"/>
          <w:bottom w:w="28" w:type="dxa"/>
          <w:right w:w="28" w:type="dxa"/>
        </w:tblCellMar>
      </w:tblPr>
      <w:tblGrid>
        <w:gridCol w:w="1254"/>
        <w:gridCol w:w="1104"/>
        <w:gridCol w:w="1107"/>
        <w:gridCol w:w="211"/>
        <w:gridCol w:w="721"/>
        <w:gridCol w:w="109"/>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Year Ended December 31, 2024 Compared to the Year Ended December 31,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flow from operating activities for the year ended December 31, 2024 increased by $6.2 million when compared to the year ended December 31, 2023. The primary drivers of this difference was a $10.4 million increase in net income, offset by a $2.5 million net decrease in cash flows from the change in operating assets and liabilities and a net decrease of $1.7 million in non-cash expenses.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used in investing activities for the year ended December 31, 2024 increased by $40.5 million compared to the year ended December 31, 2023, primarily driven by a $40.4 million increase in business acquisitions, asset acquisitions, and escrow deposits during the year ended December 31, 2024 compared to the year ended December 31, 2023.</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Our net cash provided by financing activities increased by $48.5 million for the year ended December 31, 2024 when compared to the year ended December 31, 2023 primarily due to an issuance of equity through a secondary offering totaling $118.1 million offset by a net repayment of debt totaling $65.0 million and payments for deferred financing costs of $3.9 million during the year ended December 31, 2024.</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7A. </w:t>
      </w:r>
      <w:r>
        <w:rPr>
          <w:rFonts w:ascii="Times New Roman;sans-serif" w:hAnsi="Times New Roman;sans-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Interest Rate Risk</w:t>
      </w:r>
      <w:r>
        <w:rPr>
          <w:rFonts w:ascii="Times New Roman;sans-serif" w:hAnsi="Times New Roman;sans-serif"/>
          <w:b w:val="false"/>
          <w:color w:val="000000"/>
          <w:sz w:val="20"/>
        </w:rPr>
        <w:t xml:space="preserve">. We are exposed to risks associated with market changes in interest rates. On July 31, 2024, Pennant entered into the Amended Credit Agreement, which provides for a revolving credit facility with a syndicate of banks with a borrowing capacity of $250.0 million. A 1.0% interest rate change would cause interest expense to remain constant based upon our outstanding long-term debt as of December 31, 2024. We manage our exposure to this market risk by monitoring available financing alternatives.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8.    </w:t>
      </w:r>
      <w:r>
        <w:rPr>
          <w:rFonts w:ascii="Times New Roman;sans-serif" w:hAnsi="Times New Roman;sans-serif"/>
          <w:b/>
          <w:i/>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and accompanying notes listed in Part IV, Item 15(a)(1) of this Annual Report on Form 10-K are included elsewhere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9A. </w:t>
      </w:r>
      <w:r>
        <w:rPr>
          <w:rFonts w:ascii="Times New Roman;sans-serif" w:hAnsi="Times New Roman;sans-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Annual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Report on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promulgated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evaluated the effectiveness of our internal control over financial reporting using the criteria set forth by the Committee of Sponsoring Organizations of the Treadway Commission in Internal Control - Integrated Framework (2013). As a result of this assessment, management concluded that, as of December 31, 2024,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Deloitte &amp; Touche LLP, has audited the consolidated financial statements included in this Annual Report on Form 10-K and, as part of their audit, has issued an audit report, included herein, on the effectiveness of our internal control over financial reporting. Their report is set forth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December 31, 2024, there were no material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The Pennant Group,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The Pennant Group, Inc. and subsidiaries (the “Company”)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consolidated financial statements as of and for the year ended December 31, 2024, of the Company and our report dated February 27, 2025, expressed an unqualified opinion on those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i/>
          <w:color w:val="000000"/>
          <w:sz w:val="20"/>
        </w:rPr>
        <w:t>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Boise, ID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 xml:space="preserve">Item 9B. </w:t>
      </w: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Plan Election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JoAnne Stringfield, Director, entered into a Rule 10b5-1 trading arrangement on November 11, 2024. Ms. Stringfield’s 10b5-1 Plan provides for the sale of 7,750 shares of the Company’s common stock on predetermined dates from April 21, 2025 to January 20, 2026.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Rule 10b5-1 trading arrangements were entered into during open trading windows and are intended to satisfy the affirmative defense conditions of Rule 10b5-1(c) under the Securities Exchange Act of 1934, as amended, and the Company's policies regarding transactions in Company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9C. </w:t>
      </w:r>
      <w:r>
        <w:rPr>
          <w:rFonts w:ascii="Times New Roman;sans-serif" w:hAnsi="Times New Roman;sans-serif"/>
          <w:b/>
          <w:i/>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on Form 14A for the 2025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on Form 14A for the 2025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on Form 14A for the 2025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on Form 14A for the 2025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hereby incorporated by reference to our definitive proxy statement on Form 14A for the 2025 Annual Meeting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Exhibits and Financial Statement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documents are filed as a part of this report: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(a)(1) Financial Statements: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the Company are included in Part II, Item 8 of this Annual Report on Form 10-K.</w:t>
      </w:r>
    </w:p>
    <w:p>
      <w:pPr>
        <w:pStyle w:val="TextBody"/>
        <w:bidi w:val="0"/>
        <w:spacing w:before="0" w:after="0"/>
        <w:jc w:val="left"/>
        <w:rPr/>
      </w:pPr>
      <w:r>
        <w:rPr/>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 xml:space="preserve">Report of Independent Registered Public Accounting Firm </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Consolidated Balance Sheets as of December 31, 2024 and 2023</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Consolidated Statements of Income for the Years Ended December 31, 2024, 2023 and 2022</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Consolidated Statements of Changes in Stockholders' Equity for the Years Ended December 31, 2024, 2023 and 2022</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Consolidated Statements of Cash Flows for the Years Ended December 31, 2024, 2023 and 2022</w:t>
      </w:r>
    </w:p>
    <w:p>
      <w:pPr>
        <w:pStyle w:val="TextBody"/>
        <w:bidi w:val="0"/>
        <w:spacing w:lineRule="auto" w:line="240" w:before="0" w:after="120"/>
        <w:ind w:left="0" w:right="0" w:hanging="360"/>
        <w:jc w:val="left"/>
        <w:rPr/>
      </w:pPr>
      <w:r>
        <w:rPr>
          <w:color w:val="000000"/>
        </w:rPr>
        <w:t>•</w:t>
      </w:r>
      <w:r>
        <w:rPr>
          <w:rFonts w:ascii="Times New Roman;sans-serif" w:hAnsi="Times New Roman;sans-serif"/>
          <w:b w:val="false"/>
          <w:color w:val="000000"/>
          <w:sz w:val="20"/>
        </w:rPr>
        <w:t>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(a)(2) Financial Statement Schedules: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financial schedules included in this Report as they are either not applicable or included in the financial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(3) Exhibits: The following exhibits are filed with this Report or incorporated by reference: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7"/>
        <w:gridCol w:w="270"/>
        <w:gridCol w:w="273"/>
        <w:gridCol w:w="2814"/>
        <w:gridCol w:w="2708"/>
        <w:gridCol w:w="3833"/>
      </w:tblGrid>
      <w:tr>
        <w:trPr/>
        <w:tc>
          <w:tcPr>
            <w:tcW w:w="3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83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Description</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2.1#</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Separation Agreement, dated as of October 1, 2019, by and between The Ensign Group, Inc. and The Pennant Group, Inc. (incorporated by reference to Exhibit 2.1 to The Pennant Group, Inc.’s Current Report on Form 8-K (File No. 001-38900) filed with the SEC on October 3, 2019).</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2.2#</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Operations Transfer Agreement, dated as of January 27, 2022, entered into by affiliates of the Company and affiliates of Ensign (incorporated by reference to Exhibit 2.1 to The Pennant Group, Inc.’s Current Report on Form 8-K (File No. 001-38900) filed with the SEC on January 27, 2022).</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ans-serif" w:hAnsi="Times New Roman;sans-serif"/>
                  <w:b w:val="false"/>
                  <w:color w:val="0000FF"/>
                  <w:sz w:val="20"/>
                  <w:u w:val="single"/>
                </w:rPr>
                <w:t>3.1</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ans-serif" w:hAnsi="Times New Roman;sans-serif"/>
                  <w:b w:val="false"/>
                  <w:color w:val="0000FF"/>
                  <w:sz w:val="20"/>
                  <w:u w:val="single"/>
                </w:rPr>
                <w:t>3.2</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Bylaws of The Pennant Group, Inc., effective as of February 21, 2022 (incorporated by reference to Exhibit 3.1 to The Pennant Group, Inc.’s Current Report on Form 8-K (File No. 001-38900) filed with the SEC February 22, 2022).</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ans-serif" w:hAnsi="Times New Roman;sans-serif"/>
                  <w:b w:val="false"/>
                  <w:color w:val="0000FF"/>
                  <w:sz w:val="20"/>
                  <w:u w:val="single"/>
                </w:rPr>
                <w:t>4.1</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Description of Securities of The Pennant Group, Inc. (incorporated by reference to Exhibit 4.1 to The Pennant Group, Inc.’s Annual Report on Form 10-K (File No. 001-389000) filed with the SEC on March 4, 2020). </w:t>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80"/>
                  <w:sz w:val="20"/>
                  <w:u w:val="single"/>
                </w:rPr>
                <w:t>4.</w:t>
              </w:r>
            </w:hyperlink>
            <w:hyperlink r:id="rId12">
              <w:r>
                <w:rPr>
                  <w:rStyle w:val="InternetLink"/>
                  <w:rFonts w:ascii="Times New Roman;sans-serif" w:hAnsi="Times New Roman;sans-serif"/>
                  <w:b w:val="false"/>
                  <w:color w:val="000080"/>
                  <w:sz w:val="20"/>
                  <w:u w:val="single"/>
                </w:rPr>
                <w:t>2</w:t>
              </w:r>
            </w:hyperlink>
          </w:p>
        </w:tc>
        <w:tc>
          <w:tcPr>
            <w:tcW w:w="93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Indenture (incorporated by reference to Exhibit 4.4 to The Pennant Group, Inc.’s Registration Statement on Form S-3 (File No. 333-281302) filed with the SEC August 6, 2024 ).</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imes New Roman;sans-serif" w:hAnsi="Times New Roman;sans-serif"/>
                  <w:b w:val="false"/>
                  <w:color w:val="0000FF"/>
                  <w:sz w:val="20"/>
                  <w:u w:val="single"/>
                </w:rPr>
                <w:t>10.1</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dated as of October 1, 2019, by and between The Ensign Group, Inc. and The Pennant Group, Inc. (incorporated by reference to Exhibit 10.1 to The Pennant Group, Inc.’s Current Report on Form 8-K (File No. 001-38900) filed with the SEC on October 3, 2019).</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ans-serif" w:hAnsi="Times New Roman;sans-serif"/>
                  <w:b w:val="false"/>
                  <w:color w:val="0000FF"/>
                  <w:sz w:val="20"/>
                  <w:u w:val="single"/>
                </w:rPr>
                <w:t>10.2</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Agreement, dated as of October 1, 2019, by and between The Ensign Group, Inc. and The Pennant Group, Inc. (incorporated by reference to Exhibit 10.2 to The Pennant Group, Inc.’s Current Report on Form 8-K (File No. 001-38900) filed with the SEC on October 3, 2019).</w:t>
            </w:r>
          </w:p>
        </w:tc>
      </w:tr>
      <w:tr>
        <w:trPr/>
        <w:tc>
          <w:tcPr>
            <w:tcW w:w="85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ans-serif" w:hAnsi="Times New Roman;sans-serif"/>
                  <w:b w:val="false"/>
                  <w:color w:val="0000FF"/>
                  <w:sz w:val="20"/>
                  <w:u w:val="single"/>
                </w:rPr>
                <w:t>10.3</w:t>
              </w:r>
            </w:hyperlink>
          </w:p>
        </w:tc>
        <w:tc>
          <w:tcPr>
            <w:tcW w:w="93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Matters Agreement, dated as of October 1, 2019, by and between The Ensign Group, Inc. and The Pennant Group, Inc. (incorporated by reference to Exhibit 10.3 to The Pennant Group, Inc.’s Current Report on Form 8-K (File No. 001-38900) filed with the SEC on October 3, 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0"/>
        <w:gridCol w:w="194"/>
        <w:gridCol w:w="197"/>
        <w:gridCol w:w="2918"/>
        <w:gridCol w:w="2764"/>
        <w:gridCol w:w="3912"/>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ans-serif" w:hAnsi="Times New Roman;sans-serif"/>
                  <w:b w:val="false"/>
                  <w:color w:val="0000FF"/>
                  <w:sz w:val="20"/>
                  <w:u w:val="single"/>
                </w:rPr>
                <w:t>10.4</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Lease Agreement by and among subsidiaries of The Ensign Group, Inc. and subsidiaries of The Pennant Group, Inc. (incorporated by reference to Exhibit 10.4 to The Pennant Group, Inc.’s Amendment No. 2 to the Registration Statement on Form 10 (File No. 001-38900) filed with the SEC on August 19,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imes New Roman;sans-serif" w:hAnsi="Times New Roman;sans-serif"/>
                  <w:b w:val="false"/>
                  <w:color w:val="0000FF"/>
                  <w:sz w:val="20"/>
                  <w:u w:val="single"/>
                </w:rPr>
                <w:t>10.5+</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 2019 Omnibus Incentive Plan (incorporated by reference to Exhibit 10.12 to The Pennant Group, Inc.’s Current Report on Form 8-K (File No. 001-38900) filed with the SEC on October 3,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imes New Roman;sans-serif" w:hAnsi="Times New Roman;sans-serif"/>
                  <w:b w:val="false"/>
                  <w:color w:val="0000FF"/>
                  <w:sz w:val="20"/>
                  <w:u w:val="single"/>
                </w:rPr>
                <w:t>10.6+</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Options Granted Under The Pennant Group, Inc. 2019 Omnibus Incentive Plan (incorporated by reference to Exhibit 10.6 to The Pennant Group, Inc.’s Amendment No. 2 to the Registration Statement on Form 10 (File No. 001-38900) filed with the SEC on August 19,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imes New Roman;sans-serif" w:hAnsi="Times New Roman;sans-serif"/>
                  <w:b w:val="false"/>
                  <w:color w:val="0000FF"/>
                  <w:sz w:val="20"/>
                  <w:u w:val="single"/>
                </w:rPr>
                <w:t>10.7+</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RSUs Granted Under The Pennant Group, Inc. 2019 Omnibus Incentive Plan (incorporated by reference to Exhibit 10.7 to The Pennant Group, Inc.’s Amendment No. 2 to the Registration Statement on Form 10 (File No. 001-38900) filed with the SEC on August 19,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imes New Roman;sans-serif" w:hAnsi="Times New Roman;sans-serif"/>
                  <w:b w:val="false"/>
                  <w:color w:val="0000FF"/>
                  <w:sz w:val="20"/>
                  <w:u w:val="single"/>
                </w:rPr>
                <w:t>10.8+</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RS Granted Under The Pennant Group, Inc. 2019 Omnibus Incentive Plan (incorporated by reference to Exhibit 10.8 to The Pennant Group, Inc.’s Amendment No. 2 to the Registration Statement on Form 10 (File No. 001-38900) filed with the SEC on August 19,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imes New Roman;sans-serif" w:hAnsi="Times New Roman;sans-serif"/>
                  <w:b w:val="false"/>
                  <w:color w:val="0000FF"/>
                  <w:sz w:val="20"/>
                  <w:u w:val="single"/>
                </w:rPr>
                <w:t>10.9+</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 2019 Long Term Incentive Plan (incorporated by reference to Exhibit 10.11 to The Pennant Group, Inc.’s Current Report on Form 8-K (File No. 001-38900) filed with the SEC on October 3,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FF"/>
                  <w:sz w:val="20"/>
                  <w:u w:val="single"/>
                </w:rPr>
                <w:t>10.10+</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LTIP RS Granted Under The Pennant Group, Inc. 2019 Long Term Incentive Plan (incorporated by reference to Exhibit 10.10 to The Pennant Group, Inc.’s Amendment No. 2 to the Registration Statement on Form 10 (File No. 001-38900) filed with the SEC on August 19,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10.11</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Indemnification Agreement to be entered into between The Pennant Group, Inc. and each of its directors and executive officers (incorporated by reference to Exhibit 10.11 to The Pennant Group, Inc.’s Amendment No. 2 to the Registration Statement on Form 10 (File No. 001-38900) filed with the SEC on August 19,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20"/>
                  <w:u w:val="single"/>
                </w:rPr>
                <w:t>10.12</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February 23, 2021, by and among the Company and certain of its subsidiaries, the lenders named therein, and Truist Bank (successor by merger to SunTrust Bank), as administrative agent for the lenders (incorporated by reference to Exhibit 10.1 to The Pennant Group, Inc.’s Current Report on Form 8-K (File No. 001-38900) filed with the SEC on February 24, 2021).</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10.13+</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Cornerstone Healthcare, Inc. 2016 Omnibus Incentive Plan (incorporated by reference to Exhibit 10.13 to The Pennant Group, Inc.’s Amendment No. 3 to the Registration Statement on Form 10 (File No. 001-38900) filed with the SEC on September 3,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"https://www.sec.gov/Archives/edgar/data/1125376/000112537617000035/a2016proxystatement.htm" \l "s79c1f29a0e9c477ca771e6b5687c20a1"</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10.14+</w:t>
            </w:r>
            <w:r>
              <w:rPr>
                <w:rStyle w:val="InternetLink"/>
                <w:sz w:val="20"/>
                <w:u w:val="single"/>
                <w:b w:val="false"/>
                <w:rFonts w:ascii="Times New Roman;sans-serif" w:hAnsi="Times New Roman;sans-serif"/>
                <w:color w:val="0000FF"/>
              </w:rPr>
              <w:fldChar w:fldCharType="end"/>
            </w:r>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Ensign Group, Inc. 2017 Omnibus Incentive Plan (incorporated by reference to Exhibit 10.14 to The Pennant Group, Inc.’s Amendment No. 3 to the Registration Statement on Form 10 (File No. 001-38900) filed with the SEC on September 3, 2019).</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20"/>
                  <w:u w:val="single"/>
                </w:rPr>
                <w:t>10.15+</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Agreement, dated July 25, 2022, by and between The Pennant Group, Inc. and Daniel H. Walker (incorporated by reference to Exhibit 10.1 to The Pennant Group, Inc.’s Current Report on Form 8-K (File No. 001-38900) filed with the SEC on July 29, 2022).</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10.16+</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to Restricted Stock Unit Agreement, dated July 25, 2022, by and between The Pennant Group, Inc. and Daniel H. Walker (incorporated by reference to Exhibit 10.2 to The Pennant Group, Inc.’s Current Report on Form 8-K (File No. 001-38900) filed with the SEC on July 29, 2022).</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20"/>
                  <w:u w:val="single"/>
                </w:rPr>
                <w:t>10.17</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June 12, 2023, by and among the Company and certain of its subsidiaries, the lenders named therein, and Truist Bank (successor by merger to SunTrust Bank), as administrative agent for the lenders (incorporated by reference to Exhibit 10.1 to The Pennant Group, Inc.’s Current Report on Form 8-K (File No. 001-38900) filed with the SEC on June 12, 2023).</w:t>
            </w:r>
          </w:p>
        </w:tc>
      </w:tr>
      <w:tr>
        <w:trPr/>
        <w:tc>
          <w:tcPr>
            <w:tcW w:w="6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10.</w:t>
              </w:r>
            </w:hyperlink>
            <w:hyperlink r:id="rId30">
              <w:r>
                <w:rPr>
                  <w:rStyle w:val="InternetLink"/>
                  <w:rFonts w:ascii="Times New Roman;sans-serif" w:hAnsi="Times New Roman;sans-serif"/>
                  <w:b w:val="false"/>
                  <w:color w:val="000080"/>
                  <w:sz w:val="20"/>
                  <w:u w:val="single"/>
                </w:rPr>
                <w:t>18</w:t>
              </w:r>
            </w:hyperlink>
          </w:p>
        </w:tc>
        <w:tc>
          <w:tcPr>
            <w:tcW w:w="95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Credit Agreement, dated as of July 31, 2024, by and among The Pennant Group, Inc. and Truist Bank, as administrative agent, and the lenders party thereto (incorporated by reference to Exhibit 10.1 to The Pennant Group, Inc.’s Current Report on Form 8-K (File No. 001-38900) filed with the SEC August 1, 2024 ).</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sidertradingpolicy-ex191.htm">
              <w:r>
                <w:rPr>
                  <w:rStyle w:val="InternetLink"/>
                  <w:rFonts w:ascii="Times New Roman;sans-serif" w:hAnsi="Times New Roman;sans-serif"/>
                  <w:b w:val="false"/>
                  <w:color w:val="000080"/>
                  <w:sz w:val="20"/>
                  <w:u w:val="single"/>
                </w:rPr>
                <w:t>19.</w:t>
              </w:r>
            </w:hyperlink>
            <w:hyperlink w:anchor="insidertradingpolicy-ex191.htm">
              <w:r>
                <w:rPr>
                  <w:rStyle w:val="InternetLink"/>
                  <w:rFonts w:ascii="Times New Roman;sans-serif" w:hAnsi="Times New Roman;sans-serif"/>
                  <w:b w:val="false"/>
                  <w:color w:val="000080"/>
                  <w:sz w:val="20"/>
                  <w:u w:val="single"/>
                </w:rPr>
                <w:t>1*</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 of Company Policy Regarding Insider Trading</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listofsubsidiariesofpntgq4.htm">
              <w:r>
                <w:rPr>
                  <w:rStyle w:val="InternetLink"/>
                  <w:rFonts w:ascii="Times New Roman;sans-serif" w:hAnsi="Times New Roman;sans-serif"/>
                  <w:b w:val="false"/>
                  <w:color w:val="0000FF"/>
                  <w:sz w:val="20"/>
                  <w:u w:val="single"/>
                </w:rPr>
                <w:t>21.1*</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Pennant Group, Inc.</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deloitteconsentq424-ex231.htm">
              <w:r>
                <w:rPr>
                  <w:rStyle w:val="InternetLink"/>
                  <w:rFonts w:ascii="Times New Roman;sans-serif" w:hAnsi="Times New Roman;sans-serif"/>
                  <w:b w:val="false"/>
                  <w:color w:val="0000FF"/>
                  <w:sz w:val="20"/>
                  <w:u w:val="single"/>
                </w:rPr>
                <w:t>23.1*</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Deloitte &amp; Touche LLP.</w:t>
            </w:r>
          </w:p>
        </w:tc>
      </w:tr>
      <w:tr>
        <w:trPr/>
        <w:tc>
          <w:tcPr>
            <w:tcW w:w="611" w:type="dxa"/>
            <w:gridSpan w:val="3"/>
            <w:tcBorders/>
            <w:vAlign w:val="center"/>
          </w:tcPr>
          <w:p>
            <w:pPr>
              <w:pStyle w:val="TableContents"/>
              <w:bidi w:val="0"/>
              <w:spacing w:before="0" w:after="283"/>
              <w:jc w:val="left"/>
              <w:rPr>
                <w:sz w:val="4"/>
                <w:szCs w:val="4"/>
              </w:rPr>
            </w:pPr>
            <w:r>
              <w:rPr>
                <w:sz w:val="4"/>
                <w:szCs w:val="4"/>
              </w:rPr>
            </w:r>
          </w:p>
        </w:tc>
        <w:tc>
          <w:tcPr>
            <w:tcW w:w="9594" w:type="dxa"/>
            <w:gridSpan w:val="3"/>
            <w:tcBorders/>
            <w:vAlign w:val="center"/>
          </w:tcPr>
          <w:p>
            <w:pPr>
              <w:pStyle w:val="TableContents"/>
              <w:bidi w:val="0"/>
              <w:spacing w:before="0" w:after="283"/>
              <w:jc w:val="left"/>
              <w:rPr>
                <w:sz w:val="4"/>
                <w:szCs w:val="4"/>
              </w:rPr>
            </w:pPr>
            <w:r>
              <w:rPr>
                <w:sz w:val="4"/>
                <w:szCs w:val="4"/>
              </w:rPr>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eocert-exhibit311q42024.htm">
              <w:r>
                <w:rPr>
                  <w:rStyle w:val="InternetLink"/>
                  <w:rFonts w:ascii="Times New Roman;sans-serif" w:hAnsi="Times New Roman;sans-serif"/>
                  <w:b w:val="false"/>
                  <w:color w:val="0000FF"/>
                  <w:sz w:val="20"/>
                  <w:u w:val="single"/>
                </w:rPr>
                <w:t>31.1*</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6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focert-exhibit312q42024.htm">
              <w:r>
                <w:rPr>
                  <w:rStyle w:val="InternetLink"/>
                  <w:rFonts w:ascii="Times New Roman;sans-serif" w:hAnsi="Times New Roman;sans-serif"/>
                  <w:b w:val="false"/>
                  <w:color w:val="0000FF"/>
                  <w:sz w:val="20"/>
                  <w:u w:val="single"/>
                </w:rPr>
                <w:t>31.2*</w:t>
              </w:r>
            </w:hyperlink>
          </w:p>
        </w:tc>
        <w:tc>
          <w:tcPr>
            <w:tcW w:w="95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3"/>
        <w:gridCol w:w="247"/>
        <w:gridCol w:w="250"/>
        <w:gridCol w:w="2752"/>
        <w:gridCol w:w="2752"/>
        <w:gridCol w:w="3911"/>
      </w:tblGrid>
      <w:tr>
        <w:trPr/>
        <w:tc>
          <w:tcPr>
            <w:tcW w:w="2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911" w:type="dxa"/>
            <w:tcBorders/>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eocert-exhibit321q42024.htm">
              <w:r>
                <w:rPr>
                  <w:rStyle w:val="InternetLink"/>
                  <w:rFonts w:ascii="Times New Roman;sans-serif" w:hAnsi="Times New Roman;sans-serif"/>
                  <w:b w:val="false"/>
                  <w:color w:val="0000FF"/>
                  <w:sz w:val="20"/>
                  <w:u w:val="single"/>
                </w:rPr>
                <w:t>32.1**</w:t>
              </w:r>
            </w:hyperlink>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18 U.S.C. Section 1350, as adopted pursuant to Section 906 of the Sarbanes-Oxley Act of 2002.</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focert-exhibit322q42024.htm">
              <w:r>
                <w:rPr>
                  <w:rStyle w:val="InternetLink"/>
                  <w:rFonts w:ascii="Times New Roman;sans-serif" w:hAnsi="Times New Roman;sans-serif"/>
                  <w:b w:val="false"/>
                  <w:color w:val="0000FF"/>
                  <w:sz w:val="20"/>
                  <w:u w:val="single"/>
                </w:rPr>
                <w:t>32.2**</w:t>
              </w:r>
            </w:hyperlink>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18 U.S.C. Section 1350, as adopted pursuant to Section 906 of the Sarbanes-Oxley Act of 2002.</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lawbackpolicy-exhibit971.htm">
              <w:r>
                <w:rPr>
                  <w:rStyle w:val="InternetLink"/>
                  <w:rFonts w:ascii="Times New Roman;sans-serif" w:hAnsi="Times New Roman;sans-serif"/>
                  <w:b w:val="false"/>
                  <w:color w:val="0000FF"/>
                  <w:sz w:val="20"/>
                  <w:u w:val="single"/>
                </w:rPr>
                <w:t>97.1*</w:t>
              </w:r>
            </w:hyperlink>
          </w:p>
        </w:tc>
        <w:tc>
          <w:tcPr>
            <w:tcW w:w="941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Clawback Policy of The Pennant Group, Inc.</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Instance Document - the instance document does not appear in the Interactive Data File because its XBRL tags are embedded within the Inline XBRL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with this report.</w:t>
              <w:br/>
              <w:t>** Furnished with this report.</w:t>
              <w:br/>
              <w:t>+ Exhibit constitutes a management contract or compensatory plan or agreement.</w:t>
              <w:br/>
              <w:t># Schedules omitted pursuant to Item 601(b)(2) of Regulation S-K. The Pennant Group Inc. agrees to furnish a supplemental copy of any omitted schedule to the SEC upon request.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678"/>
        <w:gridCol w:w="596"/>
        <w:gridCol w:w="601"/>
        <w:gridCol w:w="286"/>
        <w:gridCol w:w="286"/>
        <w:gridCol w:w="286"/>
        <w:gridCol w:w="2188"/>
        <w:gridCol w:w="2172"/>
        <w:gridCol w:w="3112"/>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27, 2025</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7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Principal Accounting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964"/>
        <w:gridCol w:w="740"/>
        <w:gridCol w:w="746"/>
        <w:gridCol w:w="109"/>
        <w:gridCol w:w="109"/>
        <w:gridCol w:w="109"/>
        <w:gridCol w:w="1955"/>
        <w:gridCol w:w="1899"/>
        <w:gridCol w:w="1923"/>
        <w:gridCol w:w="109"/>
        <w:gridCol w:w="109"/>
        <w:gridCol w:w="109"/>
        <w:gridCol w:w="385"/>
        <w:gridCol w:w="385"/>
        <w:gridCol w:w="554"/>
      </w:tblGrid>
      <w:tr>
        <w:trPr/>
        <w:tc>
          <w:tcPr>
            <w:tcW w:w="96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BRENT J. GUERISOLI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 Principal Accounting Officer and Duly Authorized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M.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M.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CHRISTOPER R. CHRISTENSEN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R. Christensen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G. NACKEL,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G. Nackel,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 STEPHEN M. R. COVEY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Stephen M. R. Covey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JOANNE STRINGFIELD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JoAnne Stringfield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E. LAMB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Scott E. Lamb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GREGORY K. MORRIS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2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Gregory K. Morris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FINANCIAL STATEMENT SCHEDULE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041" w:type="dxa"/>
        <w:jc w:val="left"/>
        <w:tblInd w:w="0" w:type="dxa"/>
        <w:tblLayout w:type="fixed"/>
        <w:tblCellMar>
          <w:top w:w="28" w:type="dxa"/>
          <w:left w:w="28" w:type="dxa"/>
          <w:bottom w:w="28" w:type="dxa"/>
          <w:right w:w="28" w:type="dxa"/>
        </w:tblCellMar>
      </w:tblPr>
      <w:tblGrid>
        <w:gridCol w:w="3139"/>
        <w:gridCol w:w="2757"/>
        <w:gridCol w:w="2773"/>
        <w:gridCol w:w="109"/>
        <w:gridCol w:w="109"/>
        <w:gridCol w:w="154"/>
      </w:tblGrid>
      <w:tr>
        <w:trPr/>
        <w:tc>
          <w:tcPr>
            <w:tcW w:w="313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199">
              <w:bookmarkStart w:id="0" w:name="if4029549c6b444699901476b8991d1a7_0-0-1-"/>
              <w:bookmarkEnd w:id="0"/>
              <w:r>
                <w:rPr>
                  <w:rStyle w:val="InternetLink"/>
                  <w:rFonts w:ascii="Times New Roman;sans-serif" w:hAnsi="Times New Roman;sans-serif"/>
                  <w:b w:val="false"/>
                  <w:color w:val="0000FF"/>
                  <w:sz w:val="20"/>
                  <w:u w:val="single"/>
                </w:rPr>
                <w:t xml:space="preserve">Report of Independent Registered Public Accounting Firm (PCAOB ID No. </w:t>
              </w:r>
            </w:hyperlink>
            <w:r>
              <w:rPr>
                <w:rFonts w:ascii="Times New Roman;sans-serif" w:hAnsi="Times New Roman;sans-serif"/>
                <w:b w:val="false"/>
                <w:color w:val="0E32E1"/>
                <w:sz w:val="20"/>
                <w:u w:val="single"/>
              </w:rPr>
              <w:t>34</w:t>
            </w:r>
            <w:hyperlink w:anchor="ie10758965e5b49dabea82a0a7e0665de_199">
              <w:r>
                <w:rPr>
                  <w:rStyle w:val="InternetLink"/>
                  <w:rFonts w:ascii="Times New Roman;sans-serif" w:hAnsi="Times New Roman;sans-serif"/>
                  <w:b w:val="false"/>
                  <w:color w:val="000080"/>
                  <w:sz w:val="20"/>
                  <w:u w:val="single"/>
                </w:rPr>
                <w: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202">
              <w:r>
                <w:rPr>
                  <w:rStyle w:val="InternetLink"/>
                  <w:rFonts w:ascii="Times New Roman;sans-serif" w:hAnsi="Times New Roman;sans-serif"/>
                  <w:b w:val="false"/>
                  <w:color w:val="0000FF"/>
                  <w:sz w:val="20"/>
                  <w:u w:val="single"/>
                </w:rPr>
                <w:t>53</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205">
              <w:r>
                <w:rPr>
                  <w:rStyle w:val="InternetLink"/>
                  <w:rFonts w:ascii="Times New Roman;sans-serif" w:hAnsi="Times New Roman;sans-serif"/>
                  <w:b w:val="false"/>
                  <w:color w:val="0000FF"/>
                  <w:sz w:val="20"/>
                  <w:u w:val="single"/>
                </w:rPr>
                <w:t>Consolidated Balance Sheets as of December 31, 2024 and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205">
              <w:r>
                <w:rPr>
                  <w:rStyle w:val="InternetLink"/>
                  <w:rFonts w:ascii="Times New Roman;sans-serif" w:hAnsi="Times New Roman;sans-serif"/>
                  <w:b w:val="false"/>
                  <w:color w:val="0000FF"/>
                  <w:sz w:val="20"/>
                  <w:u w:val="single"/>
                </w:rPr>
                <w:t>55</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208">
              <w:r>
                <w:rPr>
                  <w:rStyle w:val="InternetLink"/>
                  <w:rFonts w:ascii="Times New Roman;sans-serif" w:hAnsi="Times New Roman;sans-serif"/>
                  <w:b w:val="false"/>
                  <w:color w:val="0000FF"/>
                  <w:sz w:val="20"/>
                  <w:u w:val="single"/>
                </w:rPr>
                <w:t>Consolidated Statements of Income for the Years Ended December 31, 2024,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208">
              <w:r>
                <w:rPr>
                  <w:rStyle w:val="InternetLink"/>
                  <w:rFonts w:ascii="Times New Roman;sans-serif" w:hAnsi="Times New Roman;sans-serif"/>
                  <w:b w:val="false"/>
                  <w:color w:val="0000FF"/>
                  <w:sz w:val="20"/>
                  <w:u w:val="single"/>
                </w:rPr>
                <w:t>56</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211">
              <w:r>
                <w:rPr>
                  <w:rStyle w:val="InternetLink"/>
                  <w:rFonts w:ascii="Times New Roman;sans-serif" w:hAnsi="Times New Roman;sans-serif"/>
                  <w:b w:val="false"/>
                  <w:color w:val="0000FF"/>
                  <w:sz w:val="20"/>
                  <w:u w:val="single"/>
                </w:rPr>
                <w:t>Consolidated Statements of Stockholders' Equity for the Years Ended December 31, 2024,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211">
              <w:r>
                <w:rPr>
                  <w:rStyle w:val="InternetLink"/>
                  <w:rFonts w:ascii="Times New Roman;sans-serif" w:hAnsi="Times New Roman;sans-serif"/>
                  <w:b w:val="false"/>
                  <w:color w:val="0000FF"/>
                  <w:sz w:val="20"/>
                  <w:u w:val="single"/>
                </w:rPr>
                <w:t>57</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214">
              <w:r>
                <w:rPr>
                  <w:rStyle w:val="InternetLink"/>
                  <w:rFonts w:ascii="Times New Roman;sans-serif" w:hAnsi="Times New Roman;sans-serif"/>
                  <w:b w:val="false"/>
                  <w:color w:val="0000FF"/>
                  <w:sz w:val="20"/>
                  <w:u w:val="single"/>
                </w:rPr>
                <w:t>Consolidated Statements of Cash Flows for the Years Ended December 31, 2024,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214">
              <w:r>
                <w:rPr>
                  <w:rStyle w:val="InternetLink"/>
                  <w:rFonts w:ascii="Times New Roman;sans-serif" w:hAnsi="Times New Roman;sans-serif"/>
                  <w:b w:val="false"/>
                  <w:color w:val="0000FF"/>
                  <w:sz w:val="20"/>
                  <w:u w:val="single"/>
                </w:rPr>
                <w:t>58</w:t>
              </w:r>
            </w:hyperlink>
          </w:p>
        </w:tc>
      </w:tr>
      <w:tr>
        <w:trPr/>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0758965e5b49dabea82a0a7e0665de_217">
              <w:r>
                <w:rPr>
                  <w:rStyle w:val="InternetLink"/>
                  <w:rFonts w:ascii="Times New Roman;sans-serif" w:hAnsi="Times New Roman;sans-serif"/>
                  <w:b w:val="false"/>
                  <w:color w:val="0000FF"/>
                  <w:sz w:val="20"/>
                  <w:u w:val="single"/>
                </w:rPr>
                <w:t>Notes to the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0758965e5b49dabea82a0a7e0665de_220">
              <w:r>
                <w:rPr>
                  <w:rStyle w:val="InternetLink"/>
                  <w:rFonts w:ascii="Times New Roman;sans-serif" w:hAnsi="Times New Roman;sans-serif"/>
                  <w:b w:val="false"/>
                  <w:color w:val="0000FF"/>
                  <w:sz w:val="20"/>
                  <w:u w:val="single"/>
                </w:rPr>
                <w:t>60</w:t>
              </w:r>
            </w:hyperlink>
          </w:p>
        </w:tc>
      </w:tr>
      <w:tr>
        <w:trPr/>
        <w:tc>
          <w:tcPr>
            <w:tcW w:w="8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The Pennant Group, Inc.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The Pennant Group, Inc. and subsidiaries (the "Company") as of December 31, 2024 and 2023, the related consolidated statements of income,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and our report dated February 27, 2025, expressed an unqualified opinion on the Company's internal control over financial reporting.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Self-Insurance Reserve — Refer to Note 2 and Note 16 to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self-insured for general and professional liability, workers’ compensation, automobile, and its employee health plans while maintaining stop-loss coverage with third-party insurers to limit its total liability exposure. The self-insurance reserves are undiscounted. Self-insurance reserves consist of the projected settlement value of reported and unreported claims. The projected settlement values are estimated based on the Company’s historical claim experience, supplemented with industry experience, as necessary and are established using actuarial methods followed in the insurance industry.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Company’s self-insurance reserves for general and professional liability and workers’ compensation as a critical audit matter because estimating projected settlement value of reported and unreported claims involves significant estimation by management. This required a high degree of auditor judgment and an increased extent of effort, including the need to involve our actuarial specialists, when performing audit procedures to evaluate whether self-insurance reserves were appropriately recorded as of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the self-insurance reserves for general and professional liability and workers’ compensation included the following among others: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We tested the effectiveness of controls related to self-insurance reserves for general and professional liability and workers’ compensation, including management’s controls over the review of the historical claim data and the projection of the settlement value of the reported and unreported claims.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We evaluated the methods and assumptions used by management to estimate the self-insurance reserves for general and professional liability and workers’ compensation by:</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Reading the Company’s insurance policies and compared the coverage and terms to the assumptions used by management.</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Testing the underlying data that served as the basis for the actuarial analysis, including historical claims, to test that the inputs to the actuarial estimate were accurate and complete.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Comparing management's change in ultimate loss to the differential between expected development and actuals incurred during the current year to identify potential bias in the determination of the insurance reserves. </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With the assistance of our actuarial specialists, we developed independent estimates of self-insurance reserves for general and professional liability and workers’ compensation and compared our estimates to management’s estimates.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Boise, ID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tbl>
      <w:tblPr>
        <w:tblW w:w="10205" w:type="dxa"/>
        <w:jc w:val="left"/>
        <w:tblInd w:w="0" w:type="dxa"/>
        <w:tblLayout w:type="fixed"/>
        <w:tblCellMar>
          <w:top w:w="28" w:type="dxa"/>
          <w:left w:w="28" w:type="dxa"/>
          <w:bottom w:w="28" w:type="dxa"/>
          <w:right w:w="28" w:type="dxa"/>
        </w:tblCellMar>
      </w:tblPr>
      <w:tblGrid>
        <w:gridCol w:w="2722"/>
        <w:gridCol w:w="2260"/>
        <w:gridCol w:w="2186"/>
        <w:gridCol w:w="245"/>
        <w:gridCol w:w="960"/>
        <w:gridCol w:w="126"/>
        <w:gridCol w:w="109"/>
        <w:gridCol w:w="109"/>
        <w:gridCol w:w="109"/>
        <w:gridCol w:w="243"/>
        <w:gridCol w:w="955"/>
        <w:gridCol w:w="181"/>
      </w:tblGrid>
      <w:tr>
        <w:trPr/>
        <w:tc>
          <w:tcPr>
            <w:tcW w:w="272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receivable—less allowance for doubtful accounts of $232 and $259 at December 31, 2024 and 2023, respectively</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and other assets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539,691 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related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liabilities—current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liabilities—less current portion</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394,176 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16)</w:t>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100,000 shares authorized; 34,670 and 34,373 shares issued and outstanding at December 31, 2024, respectively, and 30,297 and 29,948 shares issued and outstanding at December 31, 2023, respectively</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3 shares at December 31, 2024 and 2023</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The Pennant Group, Inc. stockholders' equity</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293,283 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311,965 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679,521 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539,691 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per-share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39"/>
        <w:gridCol w:w="1913"/>
        <w:gridCol w:w="1914"/>
        <w:gridCol w:w="211"/>
        <w:gridCol w:w="826"/>
        <w:gridCol w:w="109"/>
        <w:gridCol w:w="109"/>
        <w:gridCol w:w="109"/>
        <w:gridCol w:w="109"/>
        <w:gridCol w:w="211"/>
        <w:gridCol w:w="826"/>
        <w:gridCol w:w="109"/>
        <w:gridCol w:w="109"/>
        <w:gridCol w:w="109"/>
        <w:gridCol w:w="109"/>
        <w:gridCol w:w="211"/>
        <w:gridCol w:w="826"/>
        <w:gridCol w:w="156"/>
      </w:tblGrid>
      <w:tr>
        <w:trPr/>
        <w:tc>
          <w:tcPr>
            <w:tcW w:w="223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dispositions and impairment,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and other comprehensive income attributable to The Pennant Group, Inc.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1157" w:type="dxa"/>
        <w:jc w:val="center"/>
        <w:tblInd w:w="0" w:type="dxa"/>
        <w:tblLayout w:type="fixed"/>
        <w:tblCellMar>
          <w:top w:w="28" w:type="dxa"/>
          <w:left w:w="28" w:type="dxa"/>
          <w:bottom w:w="28" w:type="dxa"/>
          <w:right w:w="28" w:type="dxa"/>
        </w:tblCellMar>
      </w:tblPr>
      <w:tblGrid>
        <w:gridCol w:w="696"/>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07"/>
        <w:gridCol w:w="428"/>
        <w:gridCol w:w="116"/>
        <w:gridCol w:w="109"/>
        <w:gridCol w:w="109"/>
        <w:gridCol w:w="109"/>
        <w:gridCol w:w="109"/>
        <w:gridCol w:w="109"/>
        <w:gridCol w:w="272"/>
        <w:gridCol w:w="897"/>
        <w:gridCol w:w="152"/>
        <w:gridCol w:w="109"/>
        <w:gridCol w:w="109"/>
        <w:gridCol w:w="109"/>
        <w:gridCol w:w="196"/>
        <w:gridCol w:w="73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The Pennant Group, Inc.</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assumed related to acquisitions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adjustments related to acquisitions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equity through secondary offering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18,682 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309" w:type="dxa"/>
        <w:jc w:val="center"/>
        <w:tblInd w:w="0" w:type="dxa"/>
        <w:tblLayout w:type="fixed"/>
        <w:tblCellMar>
          <w:top w:w="28" w:type="dxa"/>
          <w:left w:w="28" w:type="dxa"/>
          <w:bottom w:w="28" w:type="dxa"/>
          <w:right w:w="28" w:type="dxa"/>
        </w:tblCellMar>
      </w:tblPr>
      <w:tblGrid>
        <w:gridCol w:w="2097"/>
        <w:gridCol w:w="1839"/>
        <w:gridCol w:w="1853"/>
        <w:gridCol w:w="196"/>
        <w:gridCol w:w="646"/>
        <w:gridCol w:w="109"/>
        <w:gridCol w:w="109"/>
        <w:gridCol w:w="109"/>
        <w:gridCol w:w="109"/>
        <w:gridCol w:w="196"/>
        <w:gridCol w:w="646"/>
        <w:gridCol w:w="109"/>
        <w:gridCol w:w="109"/>
        <w:gridCol w:w="109"/>
        <w:gridCol w:w="109"/>
        <w:gridCol w:w="211"/>
        <w:gridCol w:w="599"/>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and write-off of deferred financing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asset dispositions and impairment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 net of effects of business acquisitions: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wages and related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 payments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business acquisitions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asset acquisitions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Escrow 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secondary offering, net of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revolver agreement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revolver agreement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deferred financing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issuance of common stock due to share 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increase (decrease) in cash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 (Continued)</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87"/>
        <w:gridCol w:w="2093"/>
        <w:gridCol w:w="2104"/>
        <w:gridCol w:w="196"/>
        <w:gridCol w:w="646"/>
        <w:gridCol w:w="109"/>
        <w:gridCol w:w="109"/>
        <w:gridCol w:w="109"/>
        <w:gridCol w:w="109"/>
        <w:gridCol w:w="196"/>
        <w:gridCol w:w="646"/>
        <w:gridCol w:w="109"/>
        <w:gridCol w:w="109"/>
        <w:gridCol w:w="109"/>
        <w:gridCol w:w="109"/>
        <w:gridCol w:w="196"/>
        <w:gridCol w:w="712"/>
        <w:gridCol w:w="157"/>
      </w:tblGrid>
      <w:tr>
        <w:trPr/>
        <w:tc>
          <w:tcPr>
            <w:tcW w:w="2387"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obligations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assets obtained in exchange for new finance lease obligations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modifications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 to right-of-use assets and lease liabilities from lease terminations and assignments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(43,136)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activity:</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 accounts payable and other accrued liabilities</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PENNANT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(Dollars in thousands, except per share data and operational senior living units)</w:t>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Pennant Group, Inc. (herein referred to as “Pennant,” the “Company,” “it,” or “its”), is a holding company with no direct operating assets, employees or revenue. The Company, through its independent operating subsidiaries, provides healthcare services across the post-acute care continuum. As of December 31, 2024, the Company’s subsidiaries operated 123 home health, hospice and home care agencies and 57 senior living communities located in Arizona, California, Colorado, Idaho, Montana, Nevada, Oklahoma, Oregon, Texas, Utah, Washington, Wisconsin and Wyoming. We also provide home health and hospice operational support through a management service agreement in Connecticut.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subsidiaries, collectively referred to as the Service Center, provide accounting, payroll, human resources, information technology, legal, risk management, and other services to the operations through contractual relationships.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Basis of Presentation - </w:t>
      </w:r>
      <w:r>
        <w:rPr>
          <w:rFonts w:ascii="Times New Roman;sans-serif" w:hAnsi="Times New Roman;sans-serif"/>
          <w:b w:val="false"/>
          <w:color w:val="000000"/>
          <w:sz w:val="20"/>
        </w:rPr>
        <w:t>The accompanying consolidated financial statements of the Company (the “Financial Statements”) reflect the Company’s financial position for the years ended December 31, 2024 and 2023, and the Company’s results of operations and cash flows for the years ended December 31, 2024, 2023 and 2022 and have been prepared in accordance with accounting principles generally accepted in the United States (“GAAP”) and pursuant to the regulations of the Securities and Exchange Commission (“SEC”). The Company presents noncontrolling interests within the equity section of its consolidated balance sheets and the amount of consolidated net income (loss) that is attributable to The Pennant Group, Inc. and the noncontrolling interest in its consolidated statements of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intercompany transactions and balances between the various legal entities comprising the Company have been eliminated in consolidation. The consolidated statements of income reflect income that is attributable to the Company and the noncontrolling interest.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consists of various limited liability companies and corporations established to operate home health, hospice, home care, and senior living operations. The Financial Statements include the accounts of all entities controlled by the Company through its ownership of a majority voting interest. Revenue was derived from transactional information specific to the Company’s services provided.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Reclassifications</w:t>
      </w:r>
      <w:r>
        <w:rPr>
          <w:color w:val="000000"/>
        </w:rPr>
        <w:t xml:space="preserve"> </w:t>
      </w:r>
      <w:r>
        <w:rPr>
          <w:rFonts w:ascii="Times New Roman;sans-serif" w:hAnsi="Times New Roman;sans-serif"/>
          <w:b w:val="false"/>
          <w:color w:val="000000"/>
          <w:sz w:val="20"/>
        </w:rPr>
        <w:t>- Certain amounts in the prior financial statements have been reclassified to conform to the presentation of the current period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Estimates and Assumptions -</w:t>
      </w:r>
      <w:r>
        <w:rPr>
          <w:color w:val="000000"/>
        </w:rPr>
        <w:t xml:space="preserve"> </w:t>
      </w:r>
      <w:r>
        <w:rPr>
          <w:rFonts w:ascii="Times New Roman;sans-serif" w:hAnsi="Times New Roman;sans-serif"/>
          <w:b w:val="false"/>
          <w:color w:val="000000"/>
          <w:sz w:val="20"/>
        </w:rPr>
        <w:t>The preparation of the Financial Statements in conformity with GAAP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reporting periods. The most significant estimates in the Financial Statements relate to self-insurance reserves, revenue recognition, and intangible assets and goodwill.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810"/>
        <w:jc w:val="both"/>
        <w:rPr/>
      </w:pPr>
      <w:r>
        <w:rPr>
          <w:rFonts w:ascii="Times New Roman;sans-serif" w:hAnsi="Times New Roman;sans-serif"/>
          <w:b w:val="false"/>
          <w:i/>
          <w:color w:val="000000"/>
          <w:sz w:val="20"/>
        </w:rPr>
        <w:t>Revenue Recognition -</w:t>
      </w:r>
      <w:r>
        <w:rPr>
          <w:color w:val="000000"/>
        </w:rPr>
        <w:t xml:space="preserve"> </w:t>
      </w:r>
      <w:r>
        <w:rPr>
          <w:rFonts w:ascii="Times New Roman;sans-serif" w:hAnsi="Times New Roman;sans-serif"/>
          <w:b w:val="false"/>
          <w:color w:val="000000"/>
          <w:sz w:val="20"/>
        </w:rPr>
        <w:t xml:space="preserve">Revenues are recognized when services are provided to the patients at the amount that reflects the consideration to which the Company expects to be entitled from patients and third-party payors, including Medicaid, Medicare and insurers (private and Medicare replacement plans), in exchange for providing patient care. 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occur in a future period. If actual amounts of consideration ultimately received differ from the Company’s estimates, the Company adjusts these estimates, which would effect net service revenue in the period such variances become known. </w:t>
      </w:r>
    </w:p>
    <w:p>
      <w:pPr>
        <w:pStyle w:val="TextBody"/>
        <w:bidi w:val="0"/>
        <w:spacing w:before="0" w:after="0"/>
        <w:ind w:left="0" w:right="0" w:firstLine="81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Accounting Standard Codification (“ASC”) Topic 340, </w:t>
      </w:r>
      <w:r>
        <w:rPr>
          <w:rFonts w:ascii="Times New Roman;sans-serif" w:hAnsi="Times New Roman;sans-serif"/>
          <w:b w:val="false"/>
          <w:i/>
          <w:color w:val="000000"/>
          <w:sz w:val="20"/>
        </w:rPr>
        <w:t>Other Assets and Deferred Costs</w:t>
      </w:r>
      <w:r>
        <w:rPr>
          <w:rFonts w:ascii="Times New Roman;sans-serif" w:hAnsi="Times New Roman;sans-serif"/>
          <w:b w:val="false"/>
          <w:color w:val="000000"/>
          <w:sz w:val="20"/>
        </w:rPr>
        <w:t>, and all incremental customer contract acquisition costs are expensed as they are incurred because the amortization period would have been one year or less. See Note 5</w:t>
      </w:r>
      <w:r>
        <w:rPr>
          <w:rFonts w:ascii="Times New Roman;sans-serif" w:hAnsi="Times New Roman;sans-serif"/>
          <w:b w:val="false"/>
          <w:i/>
          <w:color w:val="000000"/>
          <w:sz w:val="20"/>
        </w:rPr>
        <w:t>, Revenue and Accounts Receivable</w:t>
      </w:r>
      <w:r>
        <w:rPr>
          <w:rFonts w:ascii="Times New Roman;sans-serif" w:hAnsi="Times New Roman;sans-serif"/>
          <w:b w:val="false"/>
          <w:color w:val="000000"/>
          <w:sz w:val="20"/>
        </w:rPr>
        <w:t>.</w:t>
      </w:r>
    </w:p>
    <w:p>
      <w:pPr>
        <w:pStyle w:val="TextBody"/>
        <w:bidi w:val="0"/>
        <w:spacing w:before="0" w:after="0"/>
        <w:ind w:left="0" w:right="0" w:firstLine="81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CARES Act </w:t>
      </w:r>
      <w:r>
        <w:rPr>
          <w:rFonts w:ascii="Times New Roman;sans-serif" w:hAnsi="Times New Roman;sans-serif"/>
          <w:b w:val="false"/>
          <w:color w:val="000000"/>
          <w:sz w:val="20"/>
        </w:rPr>
        <w:t xml:space="preserve">- The Coronavirus Aid, Relief, and Economic Security Act (the “CARES Act”) was enacted on March 27, 2020 in the United States. The CARES Act allowed for deferred payment of the employer-paid portion of social security taxes through the end of 2020, with 50% due on December 31, 2021 and the remainder due on December 31, 2022. The Company deferred approximately $7,836 of employer-paid portion of social security tax, all of which was repaid as of December 31, 2022. The CARES Act also expanded the Centers 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was recouped as of June 23, 2022. </w:t>
      </w:r>
    </w:p>
    <w:p>
      <w:pPr>
        <w:pStyle w:val="TextBody"/>
        <w:bidi w:val="0"/>
        <w:spacing w:before="0" w:after="0"/>
        <w:ind w:left="0" w:right="0" w:firstLine="495"/>
        <w:jc w:val="both"/>
        <w:rPr/>
      </w:pPr>
      <w:r>
        <w:rPr/>
      </w:r>
    </w:p>
    <w:p>
      <w:pPr>
        <w:pStyle w:val="TextBody"/>
        <w:bidi w:val="0"/>
        <w:spacing w:lineRule="auto" w:line="288" w:before="0" w:after="0"/>
        <w:ind w:left="0" w:right="0" w:firstLine="810"/>
        <w:jc w:val="both"/>
        <w:rPr/>
      </w:pPr>
      <w:r>
        <w:rPr>
          <w:rFonts w:ascii="Times New Roman;sans-serif" w:hAnsi="Times New Roman;sans-serif"/>
          <w:b w:val="false"/>
          <w:i/>
          <w:color w:val="000000"/>
          <w:sz w:val="20"/>
        </w:rPr>
        <w:t xml:space="preserve">Cash </w:t>
      </w:r>
      <w:r>
        <w:rPr>
          <w:rFonts w:ascii="Times New Roman;sans-serif" w:hAnsi="Times New Roman;sans-serif"/>
          <w:b w:val="false"/>
          <w:color w:val="000000"/>
          <w:sz w:val="20"/>
        </w:rPr>
        <w:t xml:space="preserve">- Cash consists of bank deposits and therefore approximates fair value. The Company places its cash with high credit quality financial institutions. </w:t>
      </w:r>
    </w:p>
    <w:p>
      <w:pPr>
        <w:pStyle w:val="TextBody"/>
        <w:bidi w:val="0"/>
        <w:spacing w:before="0" w:after="0"/>
        <w:ind w:left="0" w:right="0" w:firstLine="810"/>
        <w:jc w:val="both"/>
        <w:rPr/>
      </w:pPr>
      <w:r>
        <w:rPr/>
      </w:r>
    </w:p>
    <w:p>
      <w:pPr>
        <w:pStyle w:val="TextBody"/>
        <w:bidi w:val="0"/>
        <w:spacing w:lineRule="auto" w:line="288" w:before="0" w:after="0"/>
        <w:ind w:left="0" w:right="0" w:firstLine="810"/>
        <w:jc w:val="both"/>
        <w:rPr/>
      </w:pPr>
      <w:r>
        <w:rPr>
          <w:rFonts w:ascii="Times New Roman;sans-serif" w:hAnsi="Times New Roman;sans-serif"/>
          <w:b w:val="false"/>
          <w:i/>
          <w:color w:val="000000"/>
          <w:sz w:val="20"/>
        </w:rPr>
        <w:t>Accounts Receivable and Allowance for Doubtful Accounts -</w:t>
      </w:r>
      <w:r>
        <w:rPr>
          <w:color w:val="000000"/>
        </w:rPr>
        <w:t xml:space="preserve"> </w:t>
      </w:r>
      <w:r>
        <w:rPr>
          <w:rFonts w:ascii="Times New Roman;sans-serif" w:hAnsi="Times New Roman;sans-serif"/>
          <w:b w:val="false"/>
          <w:color w:val="000000"/>
          <w:sz w:val="20"/>
        </w:rPr>
        <w:t xml:space="preserve">Accounts receivable consist primarily of amounts due from Medicare and Medicaid programs, other government programs, healthcare systems, managed care health plans and private payor sources, net of estimates for variable consideration. The allowance for doubtful accounts is the Company’s best estimate of current expected credit losses in the accounts receivable balance.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Property and Equipment -</w:t>
      </w:r>
      <w:r>
        <w:rPr>
          <w:color w:val="000000"/>
        </w:rPr>
        <w:t xml:space="preserve"> </w:t>
      </w:r>
      <w:r>
        <w:rPr>
          <w:rFonts w:ascii="Times New Roman;sans-serif" w:hAnsi="Times New Roman;sans-serif"/>
          <w:b w:val="false"/>
          <w:color w:val="000000"/>
          <w:sz w:val="20"/>
        </w:rPr>
        <w:t xml:space="preserve">Property and equipment are initially recorded at their historical cost. Depreciation is computed using the straight-line method over the estimated useful lives of the depreciable assets (ranging from one to 40 years). Leasehold improvements are amortized on a straight-line basis over the shorter of their estimated useful lives or the remaining lease term. Repairs and maintenance are expensed as incurred.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Impairment of Long-Lived Assets -</w:t>
      </w:r>
      <w:r>
        <w:rPr>
          <w:color w:val="000000"/>
        </w:rPr>
        <w:t xml:space="preserve"> </w:t>
      </w:r>
      <w:r>
        <w:rPr>
          <w:rFonts w:ascii="Times New Roman;sans-serif" w:hAnsi="Times New Roman;sans-serif"/>
          <w:b w:val="false"/>
          <w:color w:val="000000"/>
          <w:sz w:val="20"/>
        </w:rPr>
        <w:t xml:space="preserve">The Company reviews the carrying value of long-lived assets that are held and used in the independent operating subsidiaries for impairment on an annual basis or whenever events or changes in circumstances indicate that the carrying amount of an asset may not be recoverable. Recoverability of these assets is determined based upon expected undiscounted future net cash flows from the operating subsidiary to which the assets relate, utilizing management’s best estimate, appropriate assumptions, and projections at the time. If the carrying value is determined to be unrecoverable from future operating cash flows, the asset is deemed impaired and an impairment loss would be recognized to the extent the carrying value exceeded the estimated fair value of the asset. The Company estimates the fair value of assets on a non-recurring basis and the inputs used to determine the fair value of the long-lived assets are considered Level 3 measurements due to their subjective nature. There were no long-lived asset impairments during the years ended December 31, 2024 and 2023. Management evaluated its long-lived assets and the Company identified $218 in long-lived asset impairments related to six senior living communities for the year ended December 31, 2022.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Intangible Assets and Goodwill -</w:t>
      </w:r>
      <w:r>
        <w:rPr>
          <w:color w:val="000000"/>
        </w:rPr>
        <w:t xml:space="preserve"> </w:t>
      </w:r>
      <w:r>
        <w:rPr>
          <w:rFonts w:ascii="Times New Roman;sans-serif" w:hAnsi="Times New Roman;sans-serif"/>
          <w:b w:val="false"/>
          <w:color w:val="000000"/>
          <w:sz w:val="20"/>
        </w:rPr>
        <w:t>The Company’s indefinite-lived intangible assets consist of trade names and Medicare and Medicaid licenses. The Company tests indefinite-lived intangible assets for impairment on an annual basis or more frequently if events or changes in circumstances indicate that the carrying amount of the intangible asset may not be recoverable.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identifiable net assets acquired in business combinations. The Company reviews goodwill for impairment annually on the first day of the fourth quarter and also if events or changes in circumstances indicate the occurrence of a triggering event. The Company assesses qualitative factors to determine whether it is more likely than not that the fair value of a reporting unit is less than its carrying amount. If the Company determines it is more likely than not that the fair value of a reporting unit is less than its carrying amount, then it is required to perform a quantitative impairment test by comparing the fair value with the carrying amount of the reporting unit.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a reporting unit exceeds its fair value, then the Company records an impairment of goodwill equal to the amount that the carrying amount of a reporting unit exceeds its fair value.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December 31, 2024, we evaluated potential triggering events that might be indicators that our goodwill and indefinite-lived intangible assets were impaired. As a result of our evaluation, no goodwill or indefinite-lived intangible asset impairments were recorded during the years ended December 31, 2024, 2023 and 2022. See further discussion at Note 9, </w:t>
      </w:r>
      <w:r>
        <w:rPr>
          <w:rFonts w:ascii="Times New Roman;sans-serif" w:hAnsi="Times New Roman;sans-serif"/>
          <w:b w:val="false"/>
          <w:i/>
          <w:color w:val="000000"/>
          <w:sz w:val="20"/>
        </w:rPr>
        <w:t>Goodwill and Intangible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Self-Insurance Reserve -</w:t>
      </w:r>
      <w:r>
        <w:rPr>
          <w:color w:val="000000"/>
        </w:rPr>
        <w:t xml:space="preserve"> </w:t>
      </w:r>
      <w:r>
        <w:rPr>
          <w:rFonts w:ascii="Times New Roman;sans-serif" w:hAnsi="Times New Roman;sans-serif"/>
          <w:b w:val="false"/>
          <w:color w:val="000000"/>
          <w:sz w:val="20"/>
        </w:rPr>
        <w:t xml:space="preserve">The Company retains risk for a substantial portion of potential claims for general and professional liability and workers’ compensation. The Company recognizes obligations associated with these costs, up to specified deductible limits in the period in which a claim is incurred, including with respect to both reported claims and claims incurred but not reported. The Company evaluates the adequacy of the self-insurance reserves in conjunction with an independent actuarial assessment. As of December 31, 2024, the general and professional liability insurance has a retention limit of $250 per claim with a $500 corridor as an additional out-of-pocket retention we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costs have generally been estimated based on historical data of our claims experience. Such estimates, and the resulting reserves, are reviewed and updated by us on a quarterly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details of the Company's insurance program, including general and professional liability and workers’ compensation, and amounts accrued for the periods indicated in other accrued liabilities and other long-term liabilities in our accompanying consolidated balance sheets. The amounts accrued are undiscounted and established using actuarial methods followed in the insurance industry based on claims filed and an estimate of claims incurred but not reported. The amounts accrued below represent the total estimated liability for individual claims that are less than our noted insurance coverage amounts, which includes outstanding claims and claims incurred but not reported. The amounts are reported gross of reinsurance receivable of $3,613 and $2,045 included in restricted and other assets for the years ended December 31, 2024 and 2023, respectively, and $205 and $237 included in prepaid expenses and other current assets for the years ended December 31, 2024 and 2023, respectively. </w:t>
      </w:r>
    </w:p>
    <w:p>
      <w:pPr>
        <w:pStyle w:val="TextBody"/>
        <w:bidi w:val="0"/>
        <w:spacing w:before="0" w:after="0"/>
        <w:ind w:left="0" w:right="0" w:firstLine="720"/>
        <w:jc w:val="both"/>
        <w:rPr/>
      </w:pPr>
      <w:r>
        <w:rPr/>
      </w:r>
    </w:p>
    <w:tbl>
      <w:tblPr>
        <w:tblW w:w="8349" w:type="dxa"/>
        <w:jc w:val="center"/>
        <w:tblInd w:w="0" w:type="dxa"/>
        <w:tblLayout w:type="fixed"/>
        <w:tblCellMar>
          <w:top w:w="28" w:type="dxa"/>
          <w:left w:w="28" w:type="dxa"/>
          <w:bottom w:w="28" w:type="dxa"/>
          <w:right w:w="28" w:type="dxa"/>
        </w:tblCellMar>
      </w:tblPr>
      <w:tblGrid>
        <w:gridCol w:w="2211"/>
        <w:gridCol w:w="1944"/>
        <w:gridCol w:w="1950"/>
        <w:gridCol w:w="211"/>
        <w:gridCol w:w="616"/>
        <w:gridCol w:w="109"/>
        <w:gridCol w:w="109"/>
        <w:gridCol w:w="109"/>
        <w:gridCol w:w="109"/>
        <w:gridCol w:w="211"/>
        <w:gridCol w:w="616"/>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Type of Insurance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professional liability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Workers’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estimated liability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long-term portion, included in 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estimated liability, included in 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on January 1, 2022, the Company transitioned its employee health plans to a self-insurance model. Prior to that date, the Company did not retain risk related to its employee health plans. The Company self-funds medical, including prescription drugs, dental healthcare, and vision benefits for its employees. The Company is fully liable for all financial and legal aspects of these benefit plans. To protect itself against loss exposure associated with this policy, the Company has purchased individual stop-loss insurance coverage that insures individual claims that exceed $350 for each covered person for fiscal year 2024 and $325 for each covered person for fiscal year 2023. As of December 31, 2024 and 2023, our medical benefits liability was $2,650 and $1,931, respectively, recorded as a component of accrued wages and related liabilities and other accrued liabilities.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Fair Value of Financial Instruments - </w:t>
      </w:r>
      <w:r>
        <w:rPr>
          <w:rFonts w:ascii="Times New Roman;sans-serif" w:hAnsi="Times New Roman;sans-serif"/>
          <w:b w:val="false"/>
          <w:color w:val="000000"/>
          <w:sz w:val="20"/>
        </w:rPr>
        <w:t xml:space="preserve">The Company’s financial instruments consist principally of cash, accounts receivable, accounts payable, accrued liabilities, and debt. The Company believes all of the financial instruments’ recorded values approximate fair values because of their nature or respective short durations. The Company determines fair value measurements based on a three-tier hierarchy that prioritizes the inputs used to measure fair value. These tiers include: Level 1, defined as observable inputs such as quoted market prices in active markets; Level 2, defined as inputs other than quoted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within Level 1 that are observable for the asset or liability, either directly or indirectly; and Level 3, defined as unobservable inputs for which little or no market data exists, therefore requiring an entity to develop its own assumptions.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Deferred tax assets and liabilities are established for temporary differences between the financial reporting basis and the tax basis of the Company’s assets and liabilities at tax rates in effect when such temporary differences are expected to reverse. The Company generally expects to fully utilize its deferred tax assets; however, when necessary, the Company records a valuation allowance to reduce its net deferred tax assets to the amount that is more likely than not to be realized.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need for a valuation allowance or the need for and magnitude of liabilities for uncertain tax positions, the Company makes certain estimates and assumptions. These estimates and assumptions are based on, among other things, knowledge of operations, markets, historical trends and likely future changes and, when appropriate, the opinions of advisors with knowledge and expertise in certain fields. Due to certain risks associated with the Company’s estimates and assumptions, actual results could differ.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Common Stock </w:t>
      </w:r>
      <w:r>
        <w:rPr>
          <w:rFonts w:ascii="Times New Roman;sans-serif" w:hAnsi="Times New Roman;sans-serif"/>
          <w:b w:val="false"/>
          <w:color w:val="000000"/>
          <w:sz w:val="20"/>
        </w:rPr>
        <w:t>- Each share of common stock, $0.001 par value per share (“common stock”) has the right to one vote. On October 2, 2024, the Company closed the public offering (the “Offering”) of 4,025 shares of its common stock. The net proceeds to the Company from the offering, after underwriting discounts, commissions, and expenses, was approximately $118,145. The majority of the proceeds were subsequently used to pay the then outstanding balance on our Amended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Noncontrolling Interest </w:t>
      </w:r>
      <w:r>
        <w:rPr>
          <w:rFonts w:ascii="Times New Roman;sans-serif" w:hAnsi="Times New Roman;sans-serif"/>
          <w:b w:val="false"/>
          <w:color w:val="000000"/>
          <w:sz w:val="20"/>
        </w:rPr>
        <w:t>- The noncontrolling interest in a subsidiary is initially recognized at estimated fair value on the acquisition date and is presented within total equity in the Company's consolidated balance sheets. The Company presents the noncontrolling interest and the amount of consolidated net income and other comprehensive income attributable to The Pennant Group, Inc. in its consolidated statements of income. Net income per share is calculated based on net income attributable to The Pennant Group, Inc.'s stockholders. The carrying amount of the noncontrolling interest is adjusted based on an allocation of subsidiary earnings based on ownership interest.</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Share-Based Compensation - </w:t>
      </w:r>
      <w:r>
        <w:rPr>
          <w:rFonts w:ascii="Times New Roman;sans-serif" w:hAnsi="Times New Roman;sans-serif"/>
          <w:b w:val="false"/>
          <w:color w:val="000000"/>
          <w:sz w:val="20"/>
        </w:rPr>
        <w:t xml:space="preserve">The Company measures and recognizes compensation expense for all share-based payment awards, including employee stock options and restricted stock, made to employees and Pennant’s directors based on estimated fair values, ratably over the requisite service period of the award. The Company accounts for forfeitures as they occur. The total amount of share-based compensation was $7,781, $5,369, and $3,086 for the years ended December 31, 2024, 2023 and 2022, respectively, of which $3,927, $2,250 and $647, respectively, was recorded in general and administrative expense, with the difference being recorded in cost of services. For further discussion see Note 12, </w:t>
      </w:r>
      <w:r>
        <w:rPr>
          <w:rFonts w:ascii="Times New Roman;sans-serif" w:hAnsi="Times New Roman;sans-serif"/>
          <w:b w:val="false"/>
          <w:i/>
          <w:color w:val="000000"/>
          <w:sz w:val="20"/>
        </w:rPr>
        <w:t>Options and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State Relief Funding - </w:t>
      </w:r>
      <w:r>
        <w:rPr>
          <w:rFonts w:ascii="Times New Roman;sans-serif" w:hAnsi="Times New Roman;sans-serif"/>
          <w:b w:val="false"/>
          <w:color w:val="000000"/>
          <w:sz w:val="20"/>
        </w:rPr>
        <w:t>The Company receives state relief funding through programs from various states, including healthcare relief funding under the American Rescue Plan Act (“ARPA”), and other state specific relief programs. The funding generally incorporates specific use requirements primarily for direct patient care including labor-related expenses that are attributable to the COVID-19 pandemic or are associated with providing patient care.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funds are recognized as a reduction of cost of services when related expenses are incurred. As of December 31, 2024 and 2023, the Company had $705 and $780 in unapplied state relief funds, respectively. The unapplied state relief funds received are recorded in other accrued liabilities on the consolidated balance sheets. As of December 31, 2024 and 2023, the Company recognized state relief funding totaling $3,331 and $4,654, respectively, which the Company recognized as a reduction of cost of services.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Recent Accounting Pronouncements</w:t>
      </w:r>
      <w:r>
        <w:rPr>
          <w:color w:val="000000"/>
        </w:rPr>
        <w:t xml:space="preserve"> </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shd w:fill="FFFFFF" w:val="clear"/>
        </w:rPr>
        <w:t>Except for rules and interpretive releases of the Securities and Exchange Commission (SEC) under authority of federal securities laws and a limited number of grandfathered standards, the FASB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Recent Accounting Standards Adopted by the Company - </w:t>
      </w:r>
      <w:r>
        <w:rPr>
          <w:rFonts w:ascii="Times New Roman;sans-serif" w:hAnsi="Times New Roman;sans-serif"/>
          <w:b w:val="false"/>
          <w:color w:val="000000"/>
          <w:sz w:val="20"/>
        </w:rPr>
        <w:t>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requires the Company to expand the breadth and frequency of segment disclosures to include additional information about significant segment expenses, the chief operating decision maker and other items, and also require the annual disclosures on an interim basis. This guidance is effective for annual periods beginning after December 15, 2023. The Company adopted the requirements of this ASU in Note 6, </w:t>
      </w:r>
      <w:r>
        <w:rPr>
          <w:rFonts w:ascii="Times New Roman;sans-serif" w:hAnsi="Times New Roman;sans-serif"/>
          <w:b w:val="false"/>
          <w:i/>
          <w:color w:val="000000"/>
          <w:sz w:val="20"/>
        </w:rPr>
        <w:t>Business Segments</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Recently Issued Accounting Pronouncements Not Yet Adopted - </w:t>
      </w:r>
      <w:r>
        <w:rPr>
          <w:rFonts w:ascii="Times New Roman;sans-serif" w:hAnsi="Times New Roman;sans-serif"/>
          <w:b w:val="false"/>
          <w:color w:val="000000"/>
          <w:sz w:val="20"/>
        </w:rPr>
        <w:t>In October 2023, the FASB issued ASU 2023-06 “</w:t>
      </w:r>
      <w:r>
        <w:rPr>
          <w:rFonts w:ascii="Times New Roman;sans-serif" w:hAnsi="Times New Roman;sans-serif"/>
          <w:b w:val="false"/>
          <w:i/>
          <w:color w:val="000000"/>
          <w:sz w:val="20"/>
        </w:rPr>
        <w:t>Codification Amendments in Response to the SEC’s Disclosure Update and Simplification Initiative,</w:t>
      </w:r>
      <w:r>
        <w:rPr>
          <w:color w:val="000000"/>
        </w:rPr>
        <w:t xml:space="preserve">” </w:t>
      </w:r>
      <w:r>
        <w:rPr>
          <w:rFonts w:ascii="Times New Roman;sans-serif" w:hAnsi="Times New Roman;sans-serif"/>
          <w:b w:val="false"/>
          <w:color w:val="000000"/>
          <w:sz w:val="20"/>
        </w:rPr>
        <w:t>which amends U.S. GAAP to include 14 disclosure requirements that are currently required under SEC Regulation S-X or Regulation S-K. Each amendment will be effective on the date on which the SEC removes the related disclosure requirement from SEC Regulation S-X or Regulation S-K. The adoption is not expected to have a material impact on the Company’s Financial Statements as these requirements were previously incorporated under the SEC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the Company to disclose disaggregated jurisdictional and categorical information for the tax rate reconciliation, income taxes paid and other income tax related amounts. This guidance is effective for annual periods beginning after December 15, 2024, which will be the Company's fiscal year 2025, with early adoption permitted. The Company is currently evaluating the impact of this ASU on its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In November 2024, the FASB issued ASU 2024-03 “</w:t>
      </w:r>
      <w:r>
        <w:rPr>
          <w:rFonts w:ascii="Times New Roman;sans-serif" w:hAnsi="Times New Roman;sans-serif"/>
          <w:b w:val="false"/>
          <w:i/>
          <w:color w:val="000000"/>
          <w:sz w:val="20"/>
        </w:rPr>
        <w:t>Disaggregation of Income Statement Expenses,</w:t>
      </w:r>
      <w:r>
        <w:rPr>
          <w:color w:val="000000"/>
        </w:rPr>
        <w:t xml:space="preserve">” </w:t>
      </w:r>
      <w:r>
        <w:rPr>
          <w:rFonts w:ascii="Times New Roman;sans-serif" w:hAnsi="Times New Roman;sans-serif"/>
          <w:b w:val="false"/>
          <w:color w:val="000000"/>
          <w:sz w:val="20"/>
        </w:rPr>
        <w:t>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3. TRANSACTIONS WITH ENSIGN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2019, The Ensign Group, Inc. (“Ensign”) completed the separation of Pennant (the “Spin-Off”).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incurred costs of $959, $1,035, and $1,561 for the years ended December 31, 2024, 2023 and 2022, respectively,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related to room and board charges at Ensign skilled nursing facilities for hospice patients were $5,529, $4,583, and $3,211 for the years ended December 31, 2024,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Company’s independent operating subsidiaries leased 32 of its senior living communities from subsidiaries of Ensign under two master lease arrangements as of December 31, 2024. See further discussion below at Note 13,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required one of the transferors to place $6,500 in escrow to cover post-closing capital expenditures and operating losses related to one of the communities, and such escrow was funded by an initial payment by the transferor at closing followed by eight equal monthly installments. The Company recorded the amount in loss on asset dispositions and impairment, net during 2022. The Transaction closed in April 2022.</w:t>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4. COMPUTATION OF NET INCOME PER COMMON SHARE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following table sets forth the computation of basic and diluted net income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348"/>
        <w:gridCol w:w="2059"/>
        <w:gridCol w:w="2079"/>
        <w:gridCol w:w="211"/>
        <w:gridCol w:w="721"/>
        <w:gridCol w:w="109"/>
        <w:gridCol w:w="109"/>
        <w:gridCol w:w="109"/>
        <w:gridCol w:w="109"/>
        <w:gridCol w:w="211"/>
        <w:gridCol w:w="721"/>
        <w:gridCol w:w="109"/>
        <w:gridCol w:w="109"/>
        <w:gridCol w:w="109"/>
        <w:gridCol w:w="109"/>
        <w:gridCol w:w="211"/>
        <w:gridCol w:w="616"/>
        <w:gridCol w:w="156"/>
      </w:tblGrid>
      <w:tr>
        <w:trPr/>
        <w:tc>
          <w:tcPr>
            <w:tcW w:w="2348"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Pennant Group,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for basic net income per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Plus: incremental shares from assumed conversion</w:t>
            </w:r>
            <w:r>
              <w:rPr>
                <w:rFonts w:ascii="Times New Roman;sans-serif" w:hAnsi="Times New Roman;sans-serif"/>
                <w:b w:val="false"/>
                <w:color w:val="000000"/>
                <w:sz w:val="13"/>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weighted average common shares outstanding for diluted income per share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The calculation of dilutive shares outstanding excludes out-of-the-money stock options (i.e., such options’ exercise prices were greater than the average market price of our common shares for the period) because their inclusion would have been antidilutive. Options outstanding which are anti-dilutive and therefore not factored into the weighted average common shares amount above were 1,271, 2,363, and 1,860 for the years ended December 31, 2024, 2023 and 2022, respectively.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5. REVENUE AND ACCOUNTS RECEIVABLE</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revenue from contracts with its patients or residents by reportable operating segments and payors. The Company has determined that disaggregating revenue into these categories achieves the disclosure objectives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depict how the nature, amount, timing and uncertainty of revenue and cash flows are affected by economic factors. A reconciliation of disaggregated revenue to segment revenue as well as revenue by payor is provided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Episodic Based Revenue -</w:t>
      </w:r>
      <w:r>
        <w:rPr>
          <w:color w:val="000000"/>
        </w:rPr>
        <w:t xml:space="preserve"> </w:t>
      </w:r>
      <w:r>
        <w:rPr>
          <w:rFonts w:ascii="Times New Roman;sans-serif" w:hAnsi="Times New Roman;sans-serif"/>
          <w:b w:val="false"/>
          <w:color w:val="000000"/>
          <w:sz w:val="20"/>
        </w:rPr>
        <w:t>The Company recognizes revenue in a similar manner as it recognizes Medicare revenue for episodic-based rates that are paid by other insurance carriers, including Medicare Advantage programs; however,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Non-episodic Based Revenue -</w:t>
      </w:r>
      <w:r>
        <w:rPr>
          <w:color w:val="000000"/>
        </w:rPr>
        <w:t xml:space="preserve"> </w:t>
      </w:r>
      <w:r>
        <w:rPr>
          <w:rFonts w:ascii="Times New Roman;sans-serif" w:hAnsi="Times New Roman;sans-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Management Services Revenue - </w:t>
      </w:r>
      <w:r>
        <w:rPr>
          <w:rFonts w:ascii="Times New Roman;sans-serif" w:hAnsi="Times New Roman;sans-serif"/>
          <w:b w:val="false"/>
          <w:color w:val="000000"/>
          <w:sz w:val="20"/>
        </w:rPr>
        <w:t>The Company recognizes revenue earned from its management service agreements as the services are provided. Fees charges are based upon the contractual terms of each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Medicare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Company has elected the lessor practical expedient within ASC Topic 842,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payor for the years ended December 31, 2024, 2023 and 2022,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335,862 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427,566 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240,102 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150,427 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544,891 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services includes revenue from all payors generated in the Company’s home care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140,338 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294,687 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Private and other</w:t>
            </w:r>
            <w:r>
              <w:rPr>
                <w:rFonts w:ascii="Times New Roman;sans-serif" w:hAnsi="Times New Roman;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181,729 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130,992 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and other payors in the Company’s home health services includes revenue from all payors generated in the Company’s home care operations.</w:t>
            </w:r>
          </w:p>
        </w:tc>
      </w:tr>
    </w:tbl>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the Company’s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as of December 31, 2024 and December 31, 2023 is summarized in the following table: </w:t>
      </w:r>
    </w:p>
    <w:p>
      <w:pPr>
        <w:pStyle w:val="TextBody"/>
        <w:bidi w:val="0"/>
        <w:spacing w:before="0" w:after="0"/>
        <w:ind w:left="0" w:right="0" w:firstLine="720"/>
        <w:jc w:val="both"/>
        <w:rPr/>
      </w:pPr>
      <w:r>
        <w:rPr/>
      </w:r>
    </w:p>
    <w:tbl>
      <w:tblPr>
        <w:tblW w:w="7015" w:type="dxa"/>
        <w:jc w:val="left"/>
        <w:tblInd w:w="0" w:type="dxa"/>
        <w:tblLayout w:type="fixed"/>
        <w:tblCellMar>
          <w:top w:w="28" w:type="dxa"/>
          <w:left w:w="28" w:type="dxa"/>
          <w:bottom w:w="28" w:type="dxa"/>
          <w:right w:w="28" w:type="dxa"/>
        </w:tblCellMar>
      </w:tblPr>
      <w:tblGrid>
        <w:gridCol w:w="1156"/>
        <w:gridCol w:w="1013"/>
        <w:gridCol w:w="1025"/>
        <w:gridCol w:w="349"/>
        <w:gridCol w:w="1195"/>
        <w:gridCol w:w="180"/>
        <w:gridCol w:w="109"/>
        <w:gridCol w:w="109"/>
        <w:gridCol w:w="109"/>
        <w:gridCol w:w="344"/>
        <w:gridCol w:w="1175"/>
        <w:gridCol w:w="251"/>
      </w:tblGrid>
      <w:tr>
        <w:trPr/>
        <w:tc>
          <w:tcPr>
            <w:tcW w:w="115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35,665 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Medicaid</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Managed care</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and 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our allowance for doubtful accounts for the years ended December 31, 2024, 2023 and 2022:</w:t>
      </w:r>
    </w:p>
    <w:p>
      <w:pPr>
        <w:pStyle w:val="TextBody"/>
        <w:bidi w:val="0"/>
        <w:spacing w:before="0" w:after="0"/>
        <w:ind w:left="0" w:right="0" w:firstLine="720"/>
        <w:jc w:val="both"/>
        <w:rPr/>
      </w:pPr>
      <w:r>
        <w:rPr/>
      </w:r>
    </w:p>
    <w:tbl>
      <w:tblPr>
        <w:tblW w:w="6100" w:type="dxa"/>
        <w:jc w:val="left"/>
        <w:tblInd w:w="0" w:type="dxa"/>
        <w:tblLayout w:type="fixed"/>
        <w:tblCellMar>
          <w:top w:w="28" w:type="dxa"/>
          <w:left w:w="28" w:type="dxa"/>
          <w:bottom w:w="28" w:type="dxa"/>
          <w:right w:w="28" w:type="dxa"/>
        </w:tblCellMar>
      </w:tblPr>
      <w:tblGrid>
        <w:gridCol w:w="1098"/>
        <w:gridCol w:w="964"/>
        <w:gridCol w:w="968"/>
        <w:gridCol w:w="211"/>
        <w:gridCol w:w="466"/>
        <w:gridCol w:w="109"/>
        <w:gridCol w:w="109"/>
        <w:gridCol w:w="109"/>
        <w:gridCol w:w="109"/>
        <w:gridCol w:w="211"/>
        <w:gridCol w:w="466"/>
        <w:gridCol w:w="109"/>
        <w:gridCol w:w="109"/>
        <w:gridCol w:w="109"/>
        <w:gridCol w:w="109"/>
        <w:gridCol w:w="215"/>
        <w:gridCol w:w="475"/>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bad debt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of uncollectible accounts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Concentrations- Credit Risk</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Credit Risk - </w:t>
      </w:r>
      <w:r>
        <w:rPr>
          <w:rFonts w:ascii="Times New Roman;sans-serif" w:hAnsi="Times New Roman;sans-serif"/>
          <w:b w:val="false"/>
          <w:color w:val="000000"/>
          <w:sz w:val="20"/>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73.7% and 77.0% of its total gross accounts receivable as of December 31, 2024 and December 31, 2023, respectively. Revenue from reimbursement under the Medicare and Medicaid programs accounted for 61.5%, 62.6%, and 62.3% of the Company's revenue for the years ended December 31, 2024,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6. BUSINESS SEGMENTS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provided services through 123 affiliated home health, hospice and home care agencies, and 57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CODM does not review assets by segment and therefore assets and capital expenditure by segment are not disclosed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uses Segment Adjusted EBITDAR from Operations as the primary measure of profit and loss for the Company's reportable segments and to compare the performance of its operations with those of its competitors. The CODM monitors these results and provides guidance to the segment leadership to allocate enterprise-wide resources. 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costs at start-up operations, (2) share-based compensation expense, (3) acquisition related costs and credit allowances, (4) costs associated with transitioning operations, (5) unusual, non-recurring or redundant charges, and (6) net income (loss) attributable to noncontrolling interest. “All Other” consists of revenues generated at operating locations not included in the segment financial information reviewed by the CODM. Revenue included in the “All Other” category is insignificant individually, and therefore do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 </w:t>
      </w:r>
    </w:p>
    <w:p>
      <w:pPr>
        <w:pStyle w:val="TextBody"/>
        <w:bidi w:val="0"/>
        <w:spacing w:before="0" w:after="0"/>
        <w:ind w:left="0" w:right="0" w:firstLine="45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certain financial information regarding the Company’s reportable segments, provided that general and administrative expenses are not allocated to the reportable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4"/>
        <w:gridCol w:w="856"/>
        <w:gridCol w:w="860"/>
        <w:gridCol w:w="109"/>
        <w:gridCol w:w="109"/>
        <w:gridCol w:w="109"/>
        <w:gridCol w:w="421"/>
        <w:gridCol w:w="1651"/>
        <w:gridCol w:w="217"/>
        <w:gridCol w:w="109"/>
        <w:gridCol w:w="109"/>
        <w:gridCol w:w="109"/>
        <w:gridCol w:w="307"/>
        <w:gridCol w:w="1205"/>
        <w:gridCol w:w="158"/>
        <w:gridCol w:w="109"/>
        <w:gridCol w:w="109"/>
        <w:gridCol w:w="109"/>
        <w:gridCol w:w="211"/>
        <w:gridCol w:w="721"/>
        <w:gridCol w:w="109"/>
        <w:gridCol w:w="109"/>
        <w:gridCol w:w="109"/>
        <w:gridCol w:w="109"/>
        <w:gridCol w:w="211"/>
        <w:gridCol w:w="826"/>
        <w:gridCol w:w="160"/>
      </w:tblGrid>
      <w:tr>
        <w:trPr/>
        <w:tc>
          <w:tcPr>
            <w:tcW w:w="98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515,344 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427,635 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87,709 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385,652 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320,046 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45,294 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337,371 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51" w:type="dxa"/>
        <w:jc w:val="left"/>
        <w:tblInd w:w="0" w:type="dxa"/>
        <w:tblLayout w:type="fixed"/>
        <w:tblCellMar>
          <w:top w:w="28" w:type="dxa"/>
          <w:left w:w="28" w:type="dxa"/>
          <w:bottom w:w="28" w:type="dxa"/>
          <w:right w:w="28" w:type="dxa"/>
        </w:tblCellMar>
      </w:tblPr>
      <w:tblGrid>
        <w:gridCol w:w="1671"/>
        <w:gridCol w:w="1469"/>
        <w:gridCol w:w="1479"/>
        <w:gridCol w:w="211"/>
        <w:gridCol w:w="826"/>
        <w:gridCol w:w="109"/>
        <w:gridCol w:w="109"/>
        <w:gridCol w:w="109"/>
        <w:gridCol w:w="109"/>
        <w:gridCol w:w="211"/>
        <w:gridCol w:w="826"/>
        <w:gridCol w:w="109"/>
        <w:gridCol w:w="109"/>
        <w:gridCol w:w="109"/>
        <w:gridCol w:w="109"/>
        <w:gridCol w:w="211"/>
        <w:gridCol w:w="721"/>
        <w:gridCol w:w="154"/>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EBITDAR from Operations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Rent—cost of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Segment EBITDAR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Costs at start-up operations</w:t>
            </w:r>
            <w:r>
              <w:rPr>
                <w:color w:val="000000"/>
              </w:rPr>
              <w:t xml:space="preserve"> </w:t>
            </w:r>
            <w:r>
              <w:rPr>
                <w:rFonts w:ascii="Times New Roman;sans-serif" w:hAnsi="Times New Roman;sans-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related costs and credit allowances</w:t>
            </w:r>
            <w:r>
              <w:rPr>
                <w:rFonts w:ascii="Times New Roman;sans-serif" w:hAnsi="Times New Roman;sans-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associated with transitioning operations</w:t>
            </w:r>
            <w:r>
              <w:rPr>
                <w:rFonts w:ascii="Times New Roman;sans-serif" w:hAnsi="Times New Roman;sans-serif"/>
                <w:b w:val="false"/>
                <w:color w:val="000000"/>
                <w:sz w:val="13"/>
              </w:rPr>
              <w:t>(d)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Unusual, non-recurring or redundant charges</w:t>
            </w:r>
            <w:r>
              <w:rPr>
                <w:rFonts w:ascii="Times New Roman;sans-serif" w:hAnsi="Times New Roman;sans-serif"/>
                <w:b w:val="false"/>
                <w:color w:val="000000"/>
                <w:sz w:val="13"/>
              </w:rPr>
              <w: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90"/>
        <w:gridCol w:w="2710"/>
        <w:gridCol w:w="38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16"/>
              </w:rPr>
              <w:t xml:space="preserve">Share-based compensation expense and related payroll taxes incurred, including the impact of the modification of certain restricted stock units described below in Note 12, </w:t>
            </w:r>
            <w:r>
              <w:rPr>
                <w:rFonts w:ascii="Times New Roman;sans-serif" w:hAnsi="Times New Roman;sans-serif"/>
                <w:b w:val="false"/>
                <w:i/>
                <w:color w:val="000000"/>
                <w:sz w:val="16"/>
              </w:rPr>
              <w:t>Options and Award</w:t>
            </w:r>
            <w:r>
              <w:rPr>
                <w:rFonts w:ascii="Times New Roman;sans-serif" w:hAnsi="Times New Roman;sans-serif"/>
                <w:b w:val="false"/>
                <w:color w:val="000000"/>
                <w:sz w:val="16"/>
              </w:rPr>
              <w:t>s, to the Consolidated Financial Statements.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Non-capitalizable costs associated with acquisitions and credit allowances for amounts in dispute with the prior owners of certain acquired operations.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ans-serif" w:hAnsi="Times New Roman;sans-serif"/>
                <w:b w:val="false"/>
                <w:color w:val="000000"/>
                <w:sz w:val="16"/>
              </w:rPr>
              <w:t xml:space="preserve">During the year ended December 31, 2023, an affiliate of the Company placed its memory care units into transition and is converting the facility into an assisted living community. We received insurance proceeds related to the property in 2024 which were recorded as a gain on asset disposition on the consolidated statements of income. The amounts reported exclude rent and depreciation and amortization expense related to such operations and include legal settlement costs associated with one of the entities transitioned to Ensign. </w:t>
              <w:br/>
            </w:r>
            <w:r>
              <w:rPr>
                <w:rFonts w:ascii="Times New Roman;sans-serif" w:hAnsi="Times New Roman;sans-serif"/>
                <w:b w:val="false"/>
                <w:sz w:val="16"/>
              </w:rPr>
              <w:br/>
            </w:r>
            <w:r>
              <w:rPr>
                <w:rFonts w:ascii="Times New Roman;sans-serif" w:hAnsi="Times New Roman;sans-serif"/>
                <w:b w:val="false"/>
                <w:color w:val="000000"/>
                <w:sz w:val="16"/>
              </w:rPr>
              <w:t>During January 2022, affiliates of the Company entered into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above represents the net impact on revenue and cost of service attributable to all of the transferred entities. The amounts reported exclude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unusual or non-recurring charges for legal services, implementation costs, integration costs, and consulting fees in general and administrative and cost of services expenses. The amounts reported for the year ended December 31, 2022 include certain costs identified as redundant or non-recurring incurred by the Company for services provided by Ensign under the Transition Services Agreement, and were included in general and administrative expense.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tbl>
      <w:tblPr>
        <w:tblW w:w="9514"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690"/>
        <w:gridCol w:w="2014"/>
        <w:gridCol w:w="356"/>
        <w:gridCol w:w="109"/>
        <w:gridCol w:w="109"/>
        <w:gridCol w:w="109"/>
        <w:gridCol w:w="456"/>
        <w:gridCol w:w="1333"/>
        <w:gridCol w:w="235"/>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7. ACQUISITIONS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Financial Statements subsequent to the date of acquisition. Acquisitions are accounted for using the acquisition method of accounting.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2024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the Company expanded its operations with the addition of eight home health agencies, three hospice agencies, and six senior living communities. The Company also acquired the real estate of two of the six acquired senior living communities. The aggregate purchase price of the real estate of the two senior living communities acquired was $10,380, which consisted primarily of land and buildings and were accounted for as asset acquisitions. In connection with the remaining senior living communities acquired, the Company entered into new long-term “triple-net” leases. A subsidiary of the Company entered into a separate operations transfer agreement with the prior operator of each acquired operation as part of each transaction. These new communities included 386 operational senior living units to be operated by the Company's independent operating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2024, the Company announced it closed on a joint venture for a home health agency with John Muir Health (“Muir”), a leading nonprofit integrated health system serving communities throughout the east bay region of San Francisco, California. The transaction combines certain assets and the operations of Muir’s home health business with the assets and operations of a local Pennant-affiliated home health agency. The joint venture is majority-owned and managed by an independent operating subsidiary of the Company and provides home health services to patients throughout the San Francisco east bay region. The Company contributed certain assets of a local Pennant-affiliated home health agency to the joint venture and paid Muir $11,680 for a 60% controlling ownership interest in the joint venture.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assets for the joint venture acquired</w:t>
      </w:r>
      <w:r>
        <w:rPr>
          <w:color w:val="000000"/>
        </w:rPr>
        <w:t xml:space="preserve"> </w:t>
      </w:r>
      <w:r>
        <w:rPr>
          <w:rFonts w:ascii="Times New Roman;sans-serif" w:hAnsi="Times New Roman;sans-serif"/>
          <w:b w:val="false"/>
          <w:color w:val="000000"/>
          <w:sz w:val="20"/>
        </w:rPr>
        <w:t xml:space="preserve">was mostly concentrated in goodwill and intangible assets and as such, this transaction was classified as a business combination in accordance with ASC Topic 805, </w:t>
      </w: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(“ASC 805”). The fair value of assets acquired for the business combination was $28,200, which consisted of goodwill of $15,500, indefinite-lived intangible assets of $8,600 related to a Medicare and Medicaid license, and tradenames of $4,100. Through its contributions of assets to the joint venture, Muir retained a non-controlling ownership interest which resulted in the Company recording a 40% noncontrolling interest with a fair value of $11,726, a deferred tax liability of $1,193, and an adjustment to additional paid-in capital of $3,601. The Company anticipates that the total goodwill recognized will be partially deductible for tax purposes. The Muir acquisition contributed $28,614 in revenue and operating income of $5,163 during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2024, the Company acquired one home health agency and one hospice agency. On July 1, 2024, one acquisition of a provider service agency was completed. These transactions were classified as a business combination in accordance with ASC 805. The aggregate purchase price for the business combinations was $5,350, which consisted of goodwill of $2,310 and indefinite-lived intangible assets of $3,040 related to Medicare and Medicaid licenses. The Company anticipates that the total goodwill recognized will be fully deductible for tax purposes. The acquisitions contributed $4,982 in revenue and operating income of $954 during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2024, the Company completed the first part of its planned acquisition of certain Signature Group, LLC operations. Through the completed acquisition, the Company acquired four home health agencies and one hospice agency. The transaction was classified as business combination in accordance with ASC 805. The aggregate purchase price for the business combinations was $32,000, including acquired liabilities, which consisted of goodwill of $20,300, indefinite-lived intangible assets of $9,000 related to Medicare and Medicaid licenses, and tradenames of $2,700. The Company anticipates that the total goodwill recognized will be fully deductible for tax purposes. The Company completed an additional acquisition transaction with Signature Group, LLC that closed on January 1, 2025, and is described in “Subsequent Events” below.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anticipates that the total goodwill recognized will be fully deductible for tax purposes. The Signature Group, LLC acquisition contributed $9,787 in revenue and operating income of $2,190 during the year ended December 31,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acquired one hospice and two home health Medicare licenses through asset acquisitions. The fair value of the assets acquired in these transactions primarily consisted of indefinite-lived intangibles of $1,000.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 costs that were incurred related to the business combinations during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expanded its operations with the addition of three home health agencies, eight hospice agencies, two home care agencies, and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assets for two home health agencies, eight hospice agencies, and two home care agencies acquired were mostly concentrated in goodwill and indefinite-lived intangible assets and as such, these transactions were classified as business combinations in accordance with ASC 805. The purchase price for the business combinations was $21,376, which primarily consisted of goodwill of $11,517, indefinite-lived intangible assets of $8,914 related to Medicare and Medicaid licenses, and equipment, other assets and accounts receivable of $1,026, less assumed liabilities of $81. The acquisitions contributed $10,549 in revenue and operating income of $280 during the year ended December 31,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home health agency acquired a Medicare license and was considered an asset acquisition. The fair value of the home health license acquired was $211 and was recorded in other indefinite-lived intangibles.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acquisition costs that were expensed related to the business combinations during the year ended December 31,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expanded its operations with the addition of three home health agencies, four hospice agencies, and one senior living community. In connection with the addition of the senior living community, the Company entered into a new long-term “triple-net” lease. A subsidiary of the Company entered into a separate operations transfer agreement with the prior operator of each acquired operation as part of each transaction.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purchase price for the home health and hospice acquisitions was $10,130. The goodwill was primarily attributable to indefinite-lived intangible assets that do not qualify for separate recognition, and to synergies the Company expects to achieve related to the acquisition, which was allocated to the Company's operating segments which are its reporting units. Total goodwill recognized was fully deductible for tax purposes. There were no material acquisition costs that were expensed related to the business combination during the year ended December 31,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assets for home health and hospice acquisitions was mostly concentrated in goodwill and as such, these transactions were classified as business combinations in accordance with ASC 805. The table below presents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allocation of the purchase price for the operations acquired in acquisitions during the years ended December 31, 2024, 2023 and 2022 as noted above:</w:t>
      </w:r>
    </w:p>
    <w:p>
      <w:pPr>
        <w:pStyle w:val="TextBody"/>
        <w:bidi w:val="0"/>
        <w:spacing w:before="0" w:after="0"/>
        <w:ind w:left="0" w:right="0" w:firstLine="720"/>
        <w:jc w:val="both"/>
        <w:rPr/>
      </w:pPr>
      <w:r>
        <w:rPr/>
      </w:r>
    </w:p>
    <w:tbl>
      <w:tblPr>
        <w:tblW w:w="7106" w:type="dxa"/>
        <w:jc w:val="left"/>
        <w:tblInd w:w="0" w:type="dxa"/>
        <w:tblLayout w:type="fixed"/>
        <w:tblCellMar>
          <w:top w:w="28" w:type="dxa"/>
          <w:left w:w="28" w:type="dxa"/>
          <w:bottom w:w="28" w:type="dxa"/>
          <w:right w:w="28" w:type="dxa"/>
        </w:tblCellMar>
      </w:tblPr>
      <w:tblGrid>
        <w:gridCol w:w="1189"/>
        <w:gridCol w:w="1046"/>
        <w:gridCol w:w="1049"/>
        <w:gridCol w:w="211"/>
        <w:gridCol w:w="721"/>
        <w:gridCol w:w="109"/>
        <w:gridCol w:w="109"/>
        <w:gridCol w:w="109"/>
        <w:gridCol w:w="109"/>
        <w:gridCol w:w="211"/>
        <w:gridCol w:w="721"/>
        <w:gridCol w:w="109"/>
        <w:gridCol w:w="109"/>
        <w:gridCol w:w="109"/>
        <w:gridCol w:w="109"/>
        <w:gridCol w:w="211"/>
        <w:gridCol w:w="721"/>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acquisitions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noncontrolling interest</w:t>
            </w:r>
            <w:r>
              <w:rPr>
                <w:rFonts w:ascii="Times New Roman;sans-serif" w:hAnsi="Times New Roman;sans-serif"/>
                <w:b w:val="false"/>
                <w:color w:val="000000"/>
                <w:sz w:val="13"/>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additional paid 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 for acquisitions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08"/>
        <w:gridCol w:w="2308"/>
        <w:gridCol w:w="32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2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Consists of the of noncontrolling interest related to John Muir Health contribution of assets to the joint venture.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2025, the Company closed the second part of its planned acquisition of certain Signature Group, LLC operations. The purchase price was $48,480 paid through a combination of cash on hand and available credit on our revolving credit facility. Through the completed acquisition, the Company acquired five home health agencies and four hospice agencies located in Oregon.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 2025, the Company closed on the acquisition of three senior living communities. These new communities included 188 operational senior living units to be operated by the Company's independent operating subsidiaries. In connection with each of the senior living communities, the Company entered into a new long-term “triple-net” lease. A subsidiary of the Company entered into a separate operations transfer agreement with the prior operator of each acquired operation as part of the transaction.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8. PROPERTY AND EQUIPMENT, 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p>
      <w:pPr>
        <w:pStyle w:val="TextBody"/>
        <w:bidi w:val="0"/>
        <w:spacing w:before="0" w:after="0"/>
        <w:ind w:left="0" w:right="0" w:firstLine="720"/>
        <w:jc w:val="both"/>
        <w:rPr/>
      </w:pPr>
      <w:r>
        <w:rPr/>
      </w:r>
    </w:p>
    <w:tbl>
      <w:tblPr>
        <w:tblW w:w="5138" w:type="dxa"/>
        <w:jc w:val="left"/>
        <w:tblInd w:w="0" w:type="dxa"/>
        <w:tblLayout w:type="fixed"/>
        <w:tblCellMar>
          <w:top w:w="28" w:type="dxa"/>
          <w:left w:w="28" w:type="dxa"/>
          <w:bottom w:w="28" w:type="dxa"/>
          <w:right w:w="28" w:type="dxa"/>
        </w:tblCellMar>
      </w:tblPr>
      <w:tblGrid>
        <w:gridCol w:w="972"/>
        <w:gridCol w:w="852"/>
        <w:gridCol w:w="860"/>
        <w:gridCol w:w="211"/>
        <w:gridCol w:w="721"/>
        <w:gridCol w:w="109"/>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$6,119, $5,120 and $4,856 for the years ended December 31, 2024, 2023 and 2022, respectively.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9. GOODWILL AND INTANGIBLE ASSETS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tests goodwill annually and also if events or changes in circumstances indicate the occurrence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triggering event which might indicate there may be impairment. The Company performs its goodwill impairment analysis for each reporting unit that constitutes a component for which (1) discrete financial information is available and (2) segment management regularly reviews the operating results of that component, in accordance with the provisions of ASC Topic 350, </w:t>
      </w:r>
      <w:r>
        <w:rPr>
          <w:rFonts w:ascii="Times New Roman;sans-serif" w:hAnsi="Times New Roman;sans-serif"/>
          <w:b w:val="false"/>
          <w:i/>
          <w:color w:val="000000"/>
          <w:sz w:val="20"/>
        </w:rPr>
        <w:t>Intangibles-Goodwill and Other</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by initially considering qualitative factors to determine whether it is more likely than not that the fair value of a reporting unit is less than its carrying amount as a basis for determining whether it is necessary to perform a quantitative analysis. If it is determined that it is more likely than not that the fair value of a reporting unit is less than its carrying amount, a quantitative analysis is performed to identify goodwill impairment. If it is determined that it is not more likely than not that the fair value of the reporting unit is less than its carrying amount, it is unnecessary to perform a quantitative analysis. The Company may elect to bypass the qualitative assessment and proceed directly to performing a quantitative analysis. An impairment loss is recognized for the amount that the carrying amount of the reporting unit, including goodwill, exceeds its fair value, limited to the total amount of goodwill allocated to that reporting unit. The Company did not identify any impairment charges during the years ended December 31, 2024, 2023 and 2022.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activity in goodwill by segment:</w:t>
      </w:r>
    </w:p>
    <w:p>
      <w:pPr>
        <w:pStyle w:val="TextBody"/>
        <w:bidi w:val="0"/>
        <w:spacing w:before="0" w:after="0"/>
        <w:ind w:left="0" w:right="0" w:firstLine="720"/>
        <w:jc w:val="left"/>
        <w:rPr/>
      </w:pPr>
      <w:r>
        <w:rPr/>
      </w:r>
    </w:p>
    <w:tbl>
      <w:tblPr>
        <w:tblW w:w="8623" w:type="dxa"/>
        <w:jc w:val="left"/>
        <w:tblInd w:w="0" w:type="dxa"/>
        <w:tblLayout w:type="fixed"/>
        <w:tblCellMar>
          <w:top w:w="28" w:type="dxa"/>
          <w:left w:w="28" w:type="dxa"/>
          <w:bottom w:w="28" w:type="dxa"/>
          <w:right w:w="28" w:type="dxa"/>
        </w:tblCellMar>
      </w:tblPr>
      <w:tblGrid>
        <w:gridCol w:w="613"/>
        <w:gridCol w:w="539"/>
        <w:gridCol w:w="542"/>
        <w:gridCol w:w="563"/>
        <w:gridCol w:w="2206"/>
        <w:gridCol w:w="291"/>
        <w:gridCol w:w="109"/>
        <w:gridCol w:w="109"/>
        <w:gridCol w:w="109"/>
        <w:gridCol w:w="456"/>
        <w:gridCol w:w="1333"/>
        <w:gridCol w:w="235"/>
        <w:gridCol w:w="109"/>
        <w:gridCol w:w="109"/>
        <w:gridCol w:w="109"/>
        <w:gridCol w:w="211"/>
        <w:gridCol w:w="82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75,855 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87,372 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125,482 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5754" w:type="dxa"/>
        <w:jc w:val="left"/>
        <w:tblInd w:w="0" w:type="dxa"/>
        <w:tblLayout w:type="fixed"/>
        <w:tblCellMar>
          <w:top w:w="28" w:type="dxa"/>
          <w:left w:w="28" w:type="dxa"/>
          <w:bottom w:w="28" w:type="dxa"/>
          <w:right w:w="28" w:type="dxa"/>
        </w:tblCellMar>
      </w:tblPr>
      <w:tblGrid>
        <w:gridCol w:w="1192"/>
        <w:gridCol w:w="1051"/>
        <w:gridCol w:w="1057"/>
        <w:gridCol w:w="211"/>
        <w:gridCol w:w="721"/>
        <w:gridCol w:w="109"/>
        <w:gridCol w:w="109"/>
        <w:gridCol w:w="109"/>
        <w:gridCol w:w="109"/>
        <w:gridCol w:w="211"/>
        <w:gridCol w:w="721"/>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 and Medicaid 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indefinite-lived intangibles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10. OTHER ACCRUED LIABILITIES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 of the following:</w:t>
      </w:r>
    </w:p>
    <w:p>
      <w:pPr>
        <w:pStyle w:val="TextBody"/>
        <w:bidi w:val="0"/>
        <w:spacing w:before="0" w:after="0"/>
        <w:ind w:left="0" w:right="0" w:firstLine="720"/>
        <w:jc w:val="both"/>
        <w:rPr/>
      </w:pPr>
      <w:r>
        <w:rPr/>
      </w:r>
    </w:p>
    <w:tbl>
      <w:tblPr>
        <w:tblW w:w="6938" w:type="dxa"/>
        <w:jc w:val="left"/>
        <w:tblInd w:w="0" w:type="dxa"/>
        <w:tblLayout w:type="fixed"/>
        <w:tblCellMar>
          <w:top w:w="28" w:type="dxa"/>
          <w:left w:w="28" w:type="dxa"/>
          <w:bottom w:w="28" w:type="dxa"/>
          <w:right w:w="28" w:type="dxa"/>
        </w:tblCellMar>
      </w:tblPr>
      <w:tblGrid>
        <w:gridCol w:w="1009"/>
        <w:gridCol w:w="887"/>
        <w:gridCol w:w="894"/>
        <w:gridCol w:w="109"/>
        <w:gridCol w:w="109"/>
        <w:gridCol w:w="109"/>
        <w:gridCol w:w="349"/>
        <w:gridCol w:w="1195"/>
        <w:gridCol w:w="180"/>
        <w:gridCol w:w="109"/>
        <w:gridCol w:w="109"/>
        <w:gridCol w:w="109"/>
        <w:gridCol w:w="344"/>
        <w:gridCol w:w="1175"/>
        <w:gridCol w:w="251"/>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relief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self-insurance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Hospice CAP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license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15,330 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Refunds payable includes payables related to overpayments, duplicate payments and credit balances from various payor sources. Deferred revenue occurs when the Company receives payments in advance of services provided. Resident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include refundable deposits to residents and a small portion consists of non-refundable deposits recognized into revenue over a period of time. Deferred state relief funds are relief funds the Company has received from various states that will offset against future related expenses.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consists of the following:</w:t>
      </w:r>
    </w:p>
    <w:tbl>
      <w:tblPr>
        <w:tblW w:w="5498" w:type="dxa"/>
        <w:jc w:val="center"/>
        <w:tblInd w:w="0" w:type="dxa"/>
        <w:tblLayout w:type="fixed"/>
        <w:tblCellMar>
          <w:top w:w="28" w:type="dxa"/>
          <w:left w:w="28" w:type="dxa"/>
          <w:bottom w:w="28" w:type="dxa"/>
          <w:right w:w="28" w:type="dxa"/>
        </w:tblCellMar>
      </w:tblPr>
      <w:tblGrid>
        <w:gridCol w:w="1217"/>
        <w:gridCol w:w="1068"/>
        <w:gridCol w:w="1074"/>
        <w:gridCol w:w="211"/>
        <w:gridCol w:w="406"/>
        <w:gridCol w:w="109"/>
        <w:gridCol w:w="109"/>
        <w:gridCol w:w="109"/>
        <w:gridCol w:w="109"/>
        <w:gridCol w:w="211"/>
        <w:gridCol w:w="721"/>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Revolving credit facility</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(b)</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42"/>
        <w:gridCol w:w="2766"/>
        <w:gridCol w:w="39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On October 4, 2024, the Company used the proceeds from the Offering of common stock to pay in full the outstanding balance on our Amended Revolving Credit Facility.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Amortization expense for debt issuance costs, including expense of $428 related to the July 31, 2024 refinancing of our Revolving Credit Facility, was $1,096, $521, and $520 for the years ended December 31, 2024, 2023 and 2022, respectively, and is recorded in interest expense, net on the consolidated statements of income. For year ended December 31, 2024, the outstanding debt issuance costs of $3,906 are recorded in Restricted and other assets.</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2021, Pennant entered into an amendment to its existing credit agreement (as amended, the “Credit Agreement”), which provided for an increased revolving credit facility with a syndicate of banks with a borrowing capacity of $150,000 (the “Revolving Credit Facility”). On June 12, 2023, Pennant entered into a second amendment to the Credit Agreement that modified the reference rate from LIBOR to Standard Overnight Financing Rate (“SOFR”). The interest rates applicable to loans under the Revolving Credit Facility were, at the Company’s election, either (i) Adjusted Term SOFR (as defined in the Credit Agreement) plus a margin ranging from 2.25% to 3.25% per annum or (ii) Base Rate plus a margin ranging from 1.25% to 2.25% per annum, in each case, based on the ratio of Consolidated Total Net Debt to Consolidated EBITDA (each, as defined in the Credit Agreement). In addition, Pennant paid a commitment fee on the undrawn portion of the commitments under the Revolving Credit Facility which ranged from 0.35% to 0.50% per annum, depending on the Consolidated Total Net Debt to Consolidated EBITDA ratio of the Company and its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Pennant entered into an Amended and Restated Credit Agreement (the Credit Agreement, as amended and restated, the “Amended Credit Agreement”), which provides for a revolving credit facility (the Revolving Credit Facility, as upsized, the “Amended Revolving Credit Facility”) with a syndicate of banks with a borrowing capacity of $250,000. In conjunction with the amendment, the Company incurred additional debt issuance costs of $3,915 and wrote off previously deferred unamortized debt issuance costs of $428. After the effectiveness of the Amended Credit Agreement, the interest rates applicable to loans under the Amended Revolving Credit Facility are, at the Company’s election, either (i) Term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On October 4, 2024, the Company used the proceeds from the Offering of common stock to pay in full the outstanding balance on our Amended Revolving Credit Facility. As of December 31, 2024, the Company’s weighted average interest rate on its outstanding debt was 0.0%. As of December 31, 2024, the Company had available borrowing on the Revolving Credit Facility of $245,814, which is net of outstanding letters of credit of $4,186.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fair value of the Amended Revolving Credit Facility approximates carrying value, due to the short-term nature and variable interest rates. </w:t>
      </w:r>
      <w:r>
        <w:rPr>
          <w:rFonts w:ascii="Times New Roman;sans-serif" w:hAnsi="Times New Roman;sans-serif"/>
          <w:b w:val="false"/>
          <w:color w:val="000000"/>
          <w:sz w:val="20"/>
        </w:rPr>
        <w:t>The fair value of this debt is categorized within Level 2 of the fair value hierarchy based on the observable market borrowing 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acquisitions, mergers or consolidations, amend certain material agreements and pay certain dividends and other restricted payments. Financial covenants require compliance with certain levels of leverage ratios that impact the amount of interest. As of December 31, 2024 and 2023,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OPTIONS AND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options and restricted stock awards of the Company were granted under the 2019 Omnibus Incentive Plan and Long-Term Incentive Plan (the “LTIP”), (together referred to as the “Pennant Plans”).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Share-Based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disclosures represent share-based compensation expense relating to the Pennant Plans, including awards to employees of the Company’s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for all of the Pennant Plans for the years ended December 31, 2024, 2023 and 2022 were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429"/>
        <w:gridCol w:w="2128"/>
        <w:gridCol w:w="2139"/>
        <w:gridCol w:w="211"/>
        <w:gridCol w:w="616"/>
        <w:gridCol w:w="109"/>
        <w:gridCol w:w="109"/>
        <w:gridCol w:w="109"/>
        <w:gridCol w:w="109"/>
        <w:gridCol w:w="211"/>
        <w:gridCol w:w="616"/>
        <w:gridCol w:w="109"/>
        <w:gridCol w:w="109"/>
        <w:gridCol w:w="109"/>
        <w:gridCol w:w="109"/>
        <w:gridCol w:w="211"/>
        <w:gridCol w:w="616"/>
        <w:gridCol w:w="156"/>
      </w:tblGrid>
      <w:tr>
        <w:trPr/>
        <w:tc>
          <w:tcPr>
            <w:tcW w:w="2429"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related to Restricted Stock to non-employee directors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future periods, the Company estimates it will recognize the following share-based compensation expense for unvested stock options and unvested Restricted Stock. Total unrecognized share-based compensation as of December 31, 2024 was as follows: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21"/>
        <w:gridCol w:w="1042"/>
        <w:gridCol w:w="1048"/>
        <w:gridCol w:w="668"/>
        <w:gridCol w:w="2288"/>
        <w:gridCol w:w="350"/>
        <w:gridCol w:w="109"/>
        <w:gridCol w:w="109"/>
        <w:gridCol w:w="109"/>
        <w:gridCol w:w="924"/>
        <w:gridCol w:w="924"/>
        <w:gridCol w:w="1313"/>
      </w:tblGrid>
      <w:tr>
        <w:trPr/>
        <w:tc>
          <w:tcPr>
            <w:tcW w:w="132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Share-Based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Recognition Period (in years)</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stock options</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w:t>
            </w:r>
          </w:p>
        </w:tc>
        <w:tc>
          <w:tcPr>
            <w:tcW w:w="2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unrecognized share-based compensation expense</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16,937 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2022 the Company modified certain outstanding RSUs granted to the former chief executive officer of the Company in connection with the Spin-Off. All the RSUs had an original vesting date of October 1, 2022. The modification resulted in the forfeiture of 250 outstanding RSUs and accelerated the vesting on the remaining 943 RSUs from October 1, 2022 to July 31, 2022. The modification of the award resulted in a net reduction of share-based compensation expense related to the awards of $3,812 recorded in general and administrative expense during 2022. There were no modifications of awards during 2024 and 2023.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option-pricing model to determine the grant date fair value which is used to recognize the value of share-based compensation expense for share-based payment awards under the Pennant Plans. Determining the appropriate fair-value model and calculating the fair value of share-based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is estimated on the grant date using a Black-Scholes option-pricing model with the following weighted average assumptions for stock options granted: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41"/>
        <w:gridCol w:w="341"/>
        <w:gridCol w:w="342"/>
        <w:gridCol w:w="109"/>
        <w:gridCol w:w="109"/>
        <w:gridCol w:w="109"/>
        <w:gridCol w:w="283"/>
        <w:gridCol w:w="283"/>
        <w:gridCol w:w="706"/>
        <w:gridCol w:w="109"/>
        <w:gridCol w:w="109"/>
        <w:gridCol w:w="109"/>
        <w:gridCol w:w="351"/>
        <w:gridCol w:w="351"/>
        <w:gridCol w:w="352"/>
        <w:gridCol w:w="109"/>
        <w:gridCol w:w="109"/>
        <w:gridCol w:w="109"/>
        <w:gridCol w:w="335"/>
        <w:gridCol w:w="277"/>
        <w:gridCol w:w="692"/>
        <w:gridCol w:w="109"/>
        <w:gridCol w:w="109"/>
        <w:gridCol w:w="109"/>
        <w:gridCol w:w="240"/>
        <w:gridCol w:w="227"/>
        <w:gridCol w:w="566"/>
        <w:gridCol w:w="109"/>
        <w:gridCol w:w="109"/>
        <w:gridCol w:w="109"/>
        <w:gridCol w:w="382"/>
        <w:gridCol w:w="1116"/>
        <w:gridCol w:w="286"/>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Life</w:t>
            </w:r>
            <w:r>
              <w:rPr>
                <w:rFonts w:ascii="Times New Roman;sans-serif" w:hAnsi="Times New Roman;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Expected Volatility</w:t>
            </w:r>
            <w:r>
              <w:rPr>
                <w:rFonts w:ascii="Times New Roman;sans-serif" w:hAnsi="Times New Roman;sans-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Fair Value of Options</w:t>
            </w:r>
          </w:p>
        </w:tc>
      </w:tr>
      <w:tr>
        <w:trPr/>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employee stock option activity during the year ended December 31, 2024:</w:t>
      </w:r>
    </w:p>
    <w:p>
      <w:pPr>
        <w:pStyle w:val="TextBody"/>
        <w:bidi w:val="0"/>
        <w:spacing w:before="0" w:after="0"/>
        <w:ind w:left="0" w:right="0" w:firstLine="720"/>
        <w:jc w:val="both"/>
        <w:rPr/>
      </w:pPr>
      <w:r>
        <w:rPr/>
      </w:r>
    </w:p>
    <w:tbl>
      <w:tblPr>
        <w:tblW w:w="7444" w:type="dxa"/>
        <w:jc w:val="left"/>
        <w:tblInd w:w="0" w:type="dxa"/>
        <w:tblLayout w:type="fixed"/>
        <w:tblCellMar>
          <w:top w:w="28" w:type="dxa"/>
          <w:left w:w="28" w:type="dxa"/>
          <w:bottom w:w="28" w:type="dxa"/>
          <w:right w:w="28" w:type="dxa"/>
        </w:tblCellMar>
      </w:tblPr>
      <w:tblGrid>
        <w:gridCol w:w="629"/>
        <w:gridCol w:w="554"/>
        <w:gridCol w:w="556"/>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Exercise Price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of Options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Vested</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1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options outstanding, vested, unvested and exercised as of and for the year ended December 31, 2024 is as follows:</w:t>
      </w:r>
    </w:p>
    <w:tbl>
      <w:tblPr>
        <w:tblW w:w="2896" w:type="dxa"/>
        <w:jc w:val="left"/>
        <w:tblInd w:w="0" w:type="dxa"/>
        <w:tblLayout w:type="fixed"/>
        <w:tblCellMar>
          <w:top w:w="28" w:type="dxa"/>
          <w:left w:w="28" w:type="dxa"/>
          <w:bottom w:w="28" w:type="dxa"/>
          <w:right w:w="28" w:type="dxa"/>
        </w:tblCellMar>
      </w:tblPr>
      <w:tblGrid>
        <w:gridCol w:w="408"/>
        <w:gridCol w:w="357"/>
        <w:gridCol w:w="361"/>
        <w:gridCol w:w="344"/>
        <w:gridCol w:w="1175"/>
        <w:gridCol w:w="251"/>
      </w:tblGrid>
      <w:tr>
        <w:trPr/>
        <w:tc>
          <w:tcPr>
            <w:tcW w:w="4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Options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is calculated as the difference between the market value of the underlying common stock and the exercise price of the options. There were 1,964 unvested and outstanding options at December 31, 2024. The weighted average contractual life for options outstanding, vested and expected to vest at December 31, 2024 was 7.23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Pennant Plans, the Company granted Restricted Stock to Pennant employees, Ensign employees, and to non-employee directors. All awards generally vest between three to five years. A summary of the status of Pennant’s non-vested Restricted Stock, and changes during the year ended December 31, 2024, is presented below: </w:t>
      </w:r>
    </w:p>
    <w:p>
      <w:pPr>
        <w:pStyle w:val="TextBody"/>
        <w:bidi w:val="0"/>
        <w:spacing w:before="0" w:after="0"/>
        <w:ind w:left="0" w:right="0" w:firstLine="720"/>
        <w:jc w:val="both"/>
        <w:rPr/>
      </w:pPr>
      <w:r>
        <w:rPr/>
      </w:r>
    </w:p>
    <w:tbl>
      <w:tblPr>
        <w:tblW w:w="7899" w:type="dxa"/>
        <w:jc w:val="left"/>
        <w:tblInd w:w="0" w:type="dxa"/>
        <w:tblLayout w:type="fixed"/>
        <w:tblCellMar>
          <w:top w:w="28" w:type="dxa"/>
          <w:left w:w="28" w:type="dxa"/>
          <w:bottom w:w="28" w:type="dxa"/>
          <w:right w:w="28" w:type="dxa"/>
        </w:tblCellMar>
      </w:tblPr>
      <w:tblGrid>
        <w:gridCol w:w="629"/>
        <w:gridCol w:w="554"/>
        <w:gridCol w:w="556"/>
        <w:gridCol w:w="834"/>
        <w:gridCol w:w="834"/>
        <w:gridCol w:w="836"/>
        <w:gridCol w:w="109"/>
        <w:gridCol w:w="109"/>
        <w:gridCol w:w="109"/>
        <w:gridCol w:w="716"/>
        <w:gridCol w:w="2091"/>
        <w:gridCol w:w="5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Non-Vested Restricted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operating subsidiaries lease senior living communities under non-cancelable operating leases, most of which have initial lease terms ranging from 15 to 25 years. The Company’s independent operating subsidiaries also lease the administrative offices of home health and hospice agencies and the service centers which generally range from one to seven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consolidated balance sheets. Non-lease components, which are not significant overall, are combined with lease components. The Company has an insignificant amount of finance lease right of use assets included in Restricted and other assets and finance lease liabilities included in Other accrued liabilities and Other long-term liabilities on our consolidated balance sheets. Amortization and interest expense was $214 and $35, respectively for the year ended December 31, 2024. As of December 31, 2024, the weighted average remaining lease term and the weighted average discount rate was 3.4 years and 6.9% for finance leases,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December 31, 2024, the Company’s independent operating subsidiaries leased 32 senior living communities from subsidiaries of Ensign (“Ensign Leases”) under two master lease arrangements</w:t>
      </w:r>
      <w:r>
        <w:rPr>
          <w:rFonts w:ascii="Times New Roman;sans-serif" w:hAnsi="Times New Roman;sans-serif"/>
          <w:b w:val="false"/>
          <w:i/>
          <w:color w:val="000000"/>
          <w:sz w:val="20"/>
        </w:rPr>
        <w:t>.</w:t>
      </w:r>
      <w:r>
        <w:rPr>
          <w:color w:val="FF0000"/>
        </w:rPr>
        <w:t xml:space="preserve"> </w:t>
      </w:r>
      <w:r>
        <w:rPr>
          <w:rFonts w:ascii="Times New Roman;sans-serif" w:hAnsi="Times New Roman;sans-serif"/>
          <w:b w:val="false"/>
          <w:color w:val="000000"/>
          <w:sz w:val="20"/>
        </w:rPr>
        <w:t xml:space="preserve">The existing leases with subsidiaries of Ensign are for initial terms of between 14 to 20 years. The total amount of rent expense included in rent - cost of services paid to subsidiaries of Ensign was $14,018, $13,567, and $13,595, for the years ended December 31, 2024, 2023 and 2022,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further described in Note 3, </w:t>
      </w:r>
      <w:r>
        <w:rPr>
          <w:rFonts w:ascii="Times New Roman;sans-serif" w:hAnsi="Times New Roman;sans-serif"/>
          <w:b w:val="false"/>
          <w:i/>
          <w:color w:val="000000"/>
          <w:sz w:val="20"/>
        </w:rPr>
        <w:t>Transactions with Ensign</w:t>
      </w:r>
      <w:r>
        <w:rPr>
          <w:rFonts w:ascii="Times New Roman;sans-serif" w:hAnsi="Times New Roman;sans-serif"/>
          <w:b w:val="false"/>
          <w:color w:val="000000"/>
          <w:sz w:val="20"/>
        </w:rPr>
        <w:t xml:space="preserve">, on January 27, 2022, affiliates of the Company entered into Transfer Agreements with affiliates of Ensign, providing for the transfer of the operations of five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$42,506. Four of the terminated leases were part of a master lease agreement. As a result of the transferred leases being removed from the master lease arrangement, the remaining lease components under the master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arrangement were modified which resulted in a net increase to the lease liability and ROU asset balance of $6,161 for the year ended December 31,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cost, are as follows:</w:t>
      </w:r>
    </w:p>
    <w:p>
      <w:pPr>
        <w:pStyle w:val="TextBody"/>
        <w:bidi w:val="0"/>
        <w:spacing w:before="0" w:after="0"/>
        <w:ind w:left="0" w:right="0" w:firstLine="720"/>
        <w:jc w:val="left"/>
        <w:rPr/>
      </w:pPr>
      <w:r>
        <w:rPr/>
      </w:r>
    </w:p>
    <w:tbl>
      <w:tblPr>
        <w:tblW w:w="6837" w:type="dxa"/>
        <w:jc w:val="left"/>
        <w:tblInd w:w="0" w:type="dxa"/>
        <w:tblLayout w:type="fixed"/>
        <w:tblCellMar>
          <w:top w:w="28" w:type="dxa"/>
          <w:left w:w="28" w:type="dxa"/>
          <w:bottom w:w="28" w:type="dxa"/>
          <w:right w:w="28" w:type="dxa"/>
        </w:tblCellMar>
      </w:tblPr>
      <w:tblGrid>
        <w:gridCol w:w="1091"/>
        <w:gridCol w:w="959"/>
        <w:gridCol w:w="965"/>
        <w:gridCol w:w="211"/>
        <w:gridCol w:w="721"/>
        <w:gridCol w:w="109"/>
        <w:gridCol w:w="109"/>
        <w:gridCol w:w="109"/>
        <w:gridCol w:w="109"/>
        <w:gridCol w:w="211"/>
        <w:gridCol w:w="721"/>
        <w:gridCol w:w="109"/>
        <w:gridCol w:w="109"/>
        <w:gridCol w:w="109"/>
        <w:gridCol w:w="109"/>
        <w:gridCol w:w="211"/>
        <w:gridCol w:w="721"/>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rent—cost of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rent—cost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Rent—cost of services</w:t>
            </w:r>
            <w:r>
              <w:rPr>
                <w:rFonts w:ascii="Times New Roman;sans-serif" w:hAnsi="Times New Roman;sans-serif"/>
                <w:b w:val="false"/>
                <w:color w:val="000000"/>
                <w:sz w:val="13"/>
              </w:rPr>
              <w:t>(a)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Variable lease cost</w:t>
            </w:r>
            <w:r>
              <w:rPr>
                <w:rFonts w:ascii="Times New Roman;sans-serif" w:hAnsi="Times New Roman;sans-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67"/>
        <w:gridCol w:w="2753"/>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Includes short-term lease cost, which is immaterial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Represents variable lease cost for operating leases including property taxes, insurance, common area maintenance, and consumer price index increases. Costs of $5,348, $4,891, and $4,451 are recorded in cost of services and $3,340, $2,478, and $1,830 are included in rent-cost of services for the years ended December 31, 2024, 2023 and 2022.</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lease maturity analysis for all leases as of December 31, 2024:</w:t>
      </w:r>
    </w:p>
    <w:p>
      <w:pPr>
        <w:pStyle w:val="TextBody"/>
        <w:bidi w:val="0"/>
        <w:spacing w:before="0" w:after="0"/>
        <w:ind w:left="0" w:right="0" w:firstLine="720"/>
        <w:jc w:val="left"/>
        <w:rPr/>
      </w:pPr>
      <w:r>
        <w:rPr/>
      </w:r>
    </w:p>
    <w:tbl>
      <w:tblPr>
        <w:tblW w:w="4738" w:type="dxa"/>
        <w:jc w:val="left"/>
        <w:tblInd w:w="0" w:type="dxa"/>
        <w:tblLayout w:type="fixed"/>
        <w:tblCellMar>
          <w:top w:w="28" w:type="dxa"/>
          <w:left w:w="28" w:type="dxa"/>
          <w:bottom w:w="28" w:type="dxa"/>
          <w:right w:w="28" w:type="dxa"/>
        </w:tblCellMar>
      </w:tblPr>
      <w:tblGrid>
        <w:gridCol w:w="1122"/>
        <w:gridCol w:w="984"/>
        <w:gridCol w:w="998"/>
        <w:gridCol w:w="289"/>
        <w:gridCol w:w="1134"/>
        <w:gridCol w:w="211"/>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adjustments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total lease liabilities</w:t>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273,091 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lease liabilities</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253,420 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lease commencement,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liability. As of December 31, 2024, the weighted average remaining lease term and the weighted average discount rate was 11.8 years and 8.0% for operating leases, respectively.</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expense for the years ended December 31, 2024, 2023 and 2022 is summarized as follows:</w:t>
      </w:r>
    </w:p>
    <w:p>
      <w:pPr>
        <w:pStyle w:val="TextBody"/>
        <w:bidi w:val="0"/>
        <w:spacing w:before="0" w:after="0"/>
        <w:ind w:left="0" w:right="0" w:firstLine="720"/>
        <w:jc w:val="both"/>
        <w:rPr/>
      </w:pPr>
      <w:r>
        <w:rPr/>
      </w:r>
    </w:p>
    <w:tbl>
      <w:tblPr>
        <w:tblW w:w="6267" w:type="dxa"/>
        <w:jc w:val="left"/>
        <w:tblInd w:w="0" w:type="dxa"/>
        <w:tblLayout w:type="fixed"/>
        <w:tblCellMar>
          <w:top w:w="28" w:type="dxa"/>
          <w:left w:w="28" w:type="dxa"/>
          <w:bottom w:w="28" w:type="dxa"/>
          <w:right w:w="28" w:type="dxa"/>
        </w:tblCellMar>
      </w:tblPr>
      <w:tblGrid>
        <w:gridCol w:w="997"/>
        <w:gridCol w:w="878"/>
        <w:gridCol w:w="885"/>
        <w:gridCol w:w="211"/>
        <w:gridCol w:w="616"/>
        <w:gridCol w:w="109"/>
        <w:gridCol w:w="109"/>
        <w:gridCol w:w="109"/>
        <w:gridCol w:w="109"/>
        <w:gridCol w:w="211"/>
        <w:gridCol w:w="616"/>
        <w:gridCol w:w="109"/>
        <w:gridCol w:w="109"/>
        <w:gridCol w:w="109"/>
        <w:gridCol w:w="109"/>
        <w:gridCol w:w="211"/>
        <w:gridCol w:w="616"/>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federal statutory tax rate to the effective tax rate for income from continuing operations for the years ended December 31, 2024, 2023 and 2022, respectively, is comprised as follows:</w:t>
      </w:r>
    </w:p>
    <w:p>
      <w:pPr>
        <w:pStyle w:val="TextBody"/>
        <w:bidi w:val="0"/>
        <w:spacing w:before="0" w:after="0"/>
        <w:ind w:left="0" w:right="0" w:firstLine="720"/>
        <w:jc w:val="both"/>
        <w:rPr/>
      </w:pPr>
      <w:r>
        <w:rPr/>
      </w:r>
    </w:p>
    <w:tbl>
      <w:tblPr>
        <w:tblW w:w="6667" w:type="dxa"/>
        <w:jc w:val="left"/>
        <w:tblInd w:w="0" w:type="dxa"/>
        <w:tblLayout w:type="fixed"/>
        <w:tblCellMar>
          <w:top w:w="28" w:type="dxa"/>
          <w:left w:w="28" w:type="dxa"/>
          <w:bottom w:w="28" w:type="dxa"/>
          <w:right w:w="28" w:type="dxa"/>
        </w:tblCellMar>
      </w:tblPr>
      <w:tblGrid>
        <w:gridCol w:w="1263"/>
        <w:gridCol w:w="1114"/>
        <w:gridCol w:w="1118"/>
        <w:gridCol w:w="255"/>
        <w:gridCol w:w="256"/>
        <w:gridCol w:w="294"/>
        <w:gridCol w:w="118"/>
        <w:gridCol w:w="118"/>
        <w:gridCol w:w="118"/>
        <w:gridCol w:w="255"/>
        <w:gridCol w:w="256"/>
        <w:gridCol w:w="294"/>
        <w:gridCol w:w="118"/>
        <w:gridCol w:w="118"/>
        <w:gridCol w:w="118"/>
        <w:gridCol w:w="255"/>
        <w:gridCol w:w="256"/>
        <w:gridCol w:w="343"/>
      </w:tblGrid>
      <w:tr>
        <w:trPr/>
        <w:tc>
          <w:tcPr>
            <w:tcW w:w="126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at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 net of federal benefit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meals and entertainment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Section 162(m) limitation</w:t>
            </w:r>
            <w:r>
              <w:rPr>
                <w:rFonts w:ascii="Times New Roman;sans-serif" w:hAnsi="Times New Roman;sans-serif"/>
                <w:b w:val="false"/>
                <w:color w:val="000000"/>
                <w:sz w:val="13"/>
              </w:rPr>
              <w:t>(a)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non-deductible expenses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 based compensation</w:t>
            </w:r>
            <w:r>
              <w:rPr>
                <w:rFonts w:ascii="Times New Roman;sans-serif" w:hAnsi="Times New Roman;sans-serif"/>
                <w:b w:val="false"/>
                <w:color w:val="000000"/>
                <w:sz w:val="13"/>
              </w:rPr>
              <w:t>(b)</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at effective rate</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6"/>
        <w:gridCol w:w="2778"/>
        <w:gridCol w:w="39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During the year ended December 31, 2023, approximately $2,078 of the share-based compensation expense related to restricted stock that originally resulted in a deferred tax asset was written off.</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During the year ended December 31, 2024, employees exercised stock options representing approximately 254 shares. Although the Company had slightly higher option expirations in the year ended December 31, 2024, the tax deductions from the significantly increased option exercises resulted in a significant tax benefit. During the year ended December 31, 2023, employees exercised stock options representing approximately 89 shares. The Company had decreased exercises and increased expirations of stock options in the year ended December 31, 2023 and coupled with an increase in book income has caused the effect of this on the effective tax rate to be minimal. During the year ended December 31, 2022, employees exercised stock options representing approximately 125 shares. </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deferred tax assets and liabilities for the years ended December 31, 2024 and 2023 are summarized below.</w:t>
      </w:r>
    </w:p>
    <w:p>
      <w:pPr>
        <w:pStyle w:val="TextBody"/>
        <w:bidi w:val="0"/>
        <w:spacing w:before="0" w:after="0"/>
        <w:ind w:left="0" w:right="0" w:firstLine="720"/>
        <w:jc w:val="both"/>
        <w:rPr/>
      </w:pPr>
      <w:r>
        <w:rPr/>
      </w:r>
    </w:p>
    <w:tbl>
      <w:tblPr>
        <w:tblW w:w="5199" w:type="dxa"/>
        <w:jc w:val="left"/>
        <w:tblInd w:w="0" w:type="dxa"/>
        <w:tblLayout w:type="fixed"/>
        <w:tblCellMar>
          <w:top w:w="28" w:type="dxa"/>
          <w:left w:w="28" w:type="dxa"/>
          <w:bottom w:w="28" w:type="dxa"/>
          <w:right w:w="28" w:type="dxa"/>
        </w:tblCellMar>
      </w:tblPr>
      <w:tblGrid>
        <w:gridCol w:w="1005"/>
        <w:gridCol w:w="884"/>
        <w:gridCol w:w="886"/>
        <w:gridCol w:w="211"/>
        <w:gridCol w:w="721"/>
        <w:gridCol w:w="109"/>
        <w:gridCol w:w="109"/>
        <w:gridCol w:w="109"/>
        <w:gridCol w:w="109"/>
        <w:gridCol w:w="211"/>
        <w:gridCol w:w="691"/>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(liabilities):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State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fully utilized all of its federal and state net operating loss carryforwards from the year ended December 31,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p>
      <w:pPr>
        <w:pStyle w:val="TextBody"/>
        <w:bidi w:val="0"/>
        <w:spacing w:before="0" w:after="0"/>
        <w:ind w:left="0" w:right="0" w:firstLine="720"/>
        <w:jc w:val="both"/>
        <w:rPr/>
      </w:pPr>
      <w:r>
        <w:rPr/>
      </w:r>
    </w:p>
    <w:tbl>
      <w:tblPr>
        <w:tblW w:w="7407" w:type="dxa"/>
        <w:jc w:val="left"/>
        <w:tblInd w:w="0" w:type="dxa"/>
        <w:tblLayout w:type="fixed"/>
        <w:tblCellMar>
          <w:top w:w="28" w:type="dxa"/>
          <w:left w:w="28" w:type="dxa"/>
          <w:bottom w:w="28" w:type="dxa"/>
          <w:right w:w="28" w:type="dxa"/>
        </w:tblCellMar>
      </w:tblPr>
      <w:tblGrid>
        <w:gridCol w:w="1642"/>
        <w:gridCol w:w="1438"/>
        <w:gridCol w:w="1450"/>
        <w:gridCol w:w="211"/>
        <w:gridCol w:w="406"/>
        <w:gridCol w:w="109"/>
        <w:gridCol w:w="109"/>
        <w:gridCol w:w="109"/>
        <w:gridCol w:w="109"/>
        <w:gridCol w:w="211"/>
        <w:gridCol w:w="406"/>
        <w:gridCol w:w="109"/>
        <w:gridCol w:w="109"/>
        <w:gridCol w:w="109"/>
        <w:gridCol w:w="109"/>
        <w:gridCol w:w="211"/>
        <w:gridCol w:w="406"/>
        <w:gridCol w:w="154"/>
      </w:tblGrid>
      <w:tr>
        <w:trPr/>
        <w:tc>
          <w:tcPr>
            <w:tcW w:w="164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 of prior years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 related to the current year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unrecognized tax benefits net of their state benefits would affect the Company’s effective tax rate for the years ended December 31, 2024, 2023 and 2022. The Company classifies interest and/or penalties on income tax liabilities or refunds as additional income tax expense or income. Such amounts are not material.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is no longer subject to federal tax examinations for the fiscal years prior to 2021, and in most states, is no longer subject to state income tax examinations for fiscal years before 2020. The lapsing of the statutes of limitation for the years ended December 31, 2020 and December 31, 2019 had no impact on the Company’s unrecognized tax benefits.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15. DEFINED CONTRIBUTION PLAN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$1,219, $866, and $627 during the years ended December 31, 2024, 2023 and 2022,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2021, the Company implemented a non-qualified deferred compensation plan (the “DCP”) for executives, other highly compensated employees, independent contractors and non-employee directors which went into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2021, effective for compensation to be paid in 2022 and thereafter.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Company’s deferred compensation liabilities were $2,170 and $1,108, respectively, in other long-term liabilities on the consolidated balance sheets. The cash surrender value of the individual variable life insurance contracts is based on investment funds that shadow the investment allocations specified by participants in the DCP. As of December 31, 2024 and 2023, the cash surrender value of the company owned life insurance (“COLI”) policies were $2,182 and $1,123, respectively, and were included as a component of restricted and other assets on the consolidated balance sheets. There are no outstanding loan amounts offset against the cash surrender value of the COLI policies. The losses recorded for the change in cash surrender value were immaterial for each period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Regulatory Matters - </w:t>
      </w:r>
      <w:r>
        <w:rPr>
          <w:rFonts w:ascii="Times New Roman;sans-serif" w:hAnsi="Times New Roman;sans-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Cost-Containment Measures - </w:t>
      </w:r>
      <w:r>
        <w:rPr>
          <w:rFonts w:ascii="Times New Roman;sans-serif" w:hAnsi="Times New Roman;sans-serif"/>
          <w:b w:val="false"/>
          <w:color w:val="000000"/>
          <w:sz w:val="20"/>
        </w:rPr>
        <w:t>Government and third-party payors have instituted cost-containment measures designed to limit payments made to providers of healthcare services, may propose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Indemnities - </w:t>
      </w:r>
      <w:r>
        <w:rPr>
          <w:rFonts w:ascii="Times New Roman;sans-serif" w:hAnsi="Times New Roman;sans-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consolidated balance sheets for any of the periods presented.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Litigation - </w:t>
      </w:r>
      <w:r>
        <w:rPr>
          <w:rFonts w:ascii="Times New Roman;sans-serif" w:hAnsi="Times New Roman;sans-serif"/>
          <w:b w:val="false"/>
          <w:color w:val="000000"/>
          <w:sz w:val="20"/>
        </w:rPr>
        <w:t>The Company’s businesses involve a significant risk of liability given the age and health of the patients and residents served by its 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frequent in our industries.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increased scrutiny, potential liability and legal expenses and costs based on claims under state false claims acts in markets in which it conducts business.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 xml:space="preserve">Medicare Revenue Recoupments - </w:t>
      </w:r>
      <w:r>
        <w:rPr>
          <w:rFonts w:ascii="Times New Roman;sans-serif" w:hAnsi="Times New Roman;sans-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13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December 31, 2024, and through the filing of this Annual Report on Form 10-K,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10758965e5b49dabea82a0a7e0665de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PENNANT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(Continued)</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June 2021 to May 2022, one hospice provider number was subject to a Medicare payment suspension imposed by a UPIC. The total amount suspended was $5,105, which represents all Medicare payments due to the provider number during the suspension. As of December 31, 2024, the total amount due from the government payor impacted by the suspension was $246 and was recorded in long-term other assets.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the Company received communication that the Medicare payment suspension, for the above-referenced hospice provider number, was terminated and the UPIC’s review was complete. The UPIC reviewed 107 patient records covering a 10-month period to determine whether, in its view, a Medicare overpayment was made. Based on the results of the review, the UPIC initially alleged sampled and extrapolated overpayments of $5,105, and withheld that amount through continued recoupment of Medicare payments. The Company is pursuing its appeal rights through the administrative appeals process, including contesting the methodology used by the UPIC to perform statistical extrapolation. To date the Company has been successful in appealing the majority of the previously denied claims. The Company received the refund of previously withheld amounts totaling $1,610 and $3,249 during the years ended December 31, 2024 and 2023, respectively. The Company continues to work through the appeals process for the remaining denied claims of $246 and expects to be successful in those appeals. Based on the information currently available to the Company, the Company cannot predict the timing or the ultimate outcome of this review including refunds to be received.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Insurance</w:t>
      </w:r>
      <w:r>
        <w:rPr>
          <w:color w:val="000000"/>
        </w:rPr>
        <w:t xml:space="preserve"> </w:t>
      </w:r>
      <w:r>
        <w:rPr>
          <w:rFonts w:ascii="Times New Roman;sans-serif" w:hAnsi="Times New Roman;sans-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$500 corridor as an additional out-of-pocket retention the Company must satisfy for claims within the policy year before the carrier will reimburse losses. The workers’ compensation insurance has a retention limit of $250 per claim, except for policies held in Texas,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2022, 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2024, and $325 for each covered person for fiscal year 2023. </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STATEMENT OF COMPANY</w:t>
        <w:br/>
        <w:t>POLICY REGARDING INSIDER TRADING</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Adopted September 30, 2019 </w:t>
      </w:r>
    </w:p>
    <w:p>
      <w:pPr>
        <w:pStyle w:val="TextBody"/>
        <w:bidi w:val="0"/>
        <w:spacing w:lineRule="auto" w:line="288"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 xml:space="preserve">This policy applies to all officers, directors and employees of </w:t>
        <w:br/>
        <w:t xml:space="preserve">The Pennant Group, Inc. and its subsidiaries (collectively the “Company”) and supersedes </w:t>
        <w:br/>
        <w:t>all prior insider trading policies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both"/>
        <w:rPr/>
      </w:pPr>
      <w:r>
        <w:rPr>
          <w:rFonts w:ascii="Times New Roman;sans-serif" w:hAnsi="Times New Roman;sans-serif"/>
          <w:b/>
          <w:color w:val="000000"/>
          <w:sz w:val="24"/>
        </w:rPr>
        <w:t>I.</w:t>
      </w:r>
      <w:r>
        <w:rPr>
          <w:rFonts w:ascii="Times New Roman;sans-serif" w:hAnsi="Times New Roman;sans-serif"/>
          <w:b/>
          <w:color w:val="000000"/>
          <w:sz w:val="24"/>
          <w:u w:val="single"/>
        </w:rPr>
        <w:t xml:space="preserve">THE NEED FOR A POLICY STATEMENT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Under the federal securities laws, it is illegal to trade in the Company’s securities while in the possession of material nonpublic information about the Company. It is also illegal to disclose or give material nonpublic information to others who may trade on the basis of that information or to advise others how to trade while in possession of material nonpublic information. Any person who possesses material nonpublic information about the Company is deemed to be an “insider.” The category of insiders is NOT limited to officers and directors.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Insider trading violations are pursued vigorously by the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and the U.S. Attorneys and such violations are punished severely.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Both the SEC and the Nasdaq Stock Market are very effective at detecting and pursuing insider trading cases. The SEC has successfully prosecuted cases against employees trading through foreign accounts, trading by family members and friends, and trading involving only a small number of shares.</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4"/>
        </w:rPr>
        <w:t>The Company has adopted this Statement of Company Policy Regarding Insider Trading (the “</w:t>
      </w:r>
      <w:r>
        <w:rPr>
          <w:rFonts w:ascii="Times New Roman;sans-serif" w:hAnsi="Times New Roman;sans-serif"/>
          <w:b/>
          <w:i/>
          <w:color w:val="000000"/>
          <w:sz w:val="24"/>
        </w:rPr>
        <w:t>Policy Statement</w:t>
      </w:r>
      <w:r>
        <w:rPr>
          <w:color w:val="000000"/>
        </w:rPr>
        <w:t>”</w:t>
      </w:r>
      <w:r>
        <w:rPr>
          <w:rFonts w:ascii="Times New Roman;sans-serif" w:hAnsi="Times New Roman;sans-serif"/>
          <w:b w:val="false"/>
          <w:color w:val="000000"/>
          <w:sz w:val="24"/>
        </w:rPr>
        <w:t xml:space="preserve">) both to satisfy the Company’s obligation to prevent insider trading and to help Company personnel avoid the severe consequences associated with violations of the insider trading laws. This Policy Statement is also intended to prevent even the appearance of improper conduct on the part of anyone employed by or associated with the Company (not just the officers or directors of the Company). </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4"/>
        </w:rPr>
        <w:t>This Policy Statement applies to all directors, officers and employees of the Company. The Company may also determine that other persons should be subject to this Policy, such as contractors or consultants who have access to material nonpublic information. This Policy Statement also applies to family members, other members of a person’s household and entities controlled by a person covered by this Policy Statement, as described below.</w:t>
      </w:r>
    </w:p>
    <w:p>
      <w:pPr>
        <w:pStyle w:val="TextBody"/>
        <w:bidi w:val="0"/>
        <w:spacing w:lineRule="auto" w:line="288" w:before="0" w:after="240"/>
        <w:jc w:val="both"/>
        <w:rPr>
          <w:color w:val="231F20"/>
        </w:rPr>
      </w:pPr>
      <w:r>
        <w:rPr>
          <w:color w:val="231F20"/>
        </w:rPr>
        <w:t>    </w:t>
      </w:r>
      <w:r>
        <w:rPr>
          <w:rFonts w:ascii="Times New Roman;sans-serif" w:hAnsi="Times New Roman;sans-serif"/>
          <w:b w:val="false"/>
          <w:color w:val="231F20"/>
          <w:sz w:val="24"/>
        </w:rPr>
        <w:t xml:space="preserve">This Policy Statement applies to transactions in the Company’s securities (collectively referred to in this Policy Statement as “Company Securities”), including the Company’s common stock, options to purchase common stock, or any other type of securities that the Company may issue, including (but not limited to) preferred stock, convertible debentures and warrants, as well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231F20"/>
          <w:sz w:val="24"/>
        </w:rPr>
      </w:pPr>
      <w:r>
        <w:rPr>
          <w:rFonts w:ascii="Times New Roman;sans-serif" w:hAnsi="Times New Roman;sans-serif"/>
          <w:b w:val="false"/>
          <w:color w:val="231F20"/>
          <w:sz w:val="24"/>
        </w:rPr>
        <w:t xml:space="preserve">as derivative securities that are not issued by the Company, such as exchange-traded put or call options or swaps relating to Company Securities. </w:t>
      </w:r>
    </w:p>
    <w:p>
      <w:pPr>
        <w:pStyle w:val="TextBody"/>
        <w:bidi w:val="0"/>
        <w:spacing w:lineRule="auto" w:line="288" w:before="0" w:after="240"/>
        <w:jc w:val="both"/>
        <w:rPr>
          <w:color w:val="231F20"/>
        </w:rPr>
      </w:pPr>
      <w:r>
        <w:rPr>
          <w:color w:val="231F20"/>
        </w:rPr>
        <w:t>    </w:t>
      </w:r>
      <w:r>
        <w:rPr>
          <w:rFonts w:ascii="Times New Roman;sans-serif" w:hAnsi="Times New Roman;sans-serif"/>
          <w:b w:val="false"/>
          <w:color w:val="231F20"/>
          <w:sz w:val="24"/>
        </w:rPr>
        <w:t>Persons subject to this Policy Statement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Statement, and that any family member, household member or entity whose transactions are subject to this Policy Statement, as discussed below, also comply with this Policy. In all cases, the responsibility for determining whether an individual is in possession of material nonpublic information rests with that individual, and any action on the part of the Company, the General Counsel or any other employee or director pursuant to this Policy Statement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“The Penalties.”</w:t>
      </w:r>
    </w:p>
    <w:p>
      <w:pPr>
        <w:pStyle w:val="TextBody"/>
        <w:bidi w:val="0"/>
        <w:spacing w:lineRule="auto" w:line="240" w:before="0" w:after="240"/>
        <w:jc w:val="both"/>
        <w:rPr/>
      </w:pPr>
      <w:r>
        <w:rPr>
          <w:rFonts w:ascii="Times New Roman;sans-serif" w:hAnsi="Times New Roman;sans-serif"/>
          <w:b/>
          <w:color w:val="000000"/>
          <w:sz w:val="24"/>
        </w:rPr>
        <w:t>II.</w:t>
      </w:r>
      <w:r>
        <w:rPr>
          <w:rFonts w:ascii="Times New Roman;sans-serif" w:hAnsi="Times New Roman;sans-serif"/>
          <w:b/>
          <w:color w:val="000000"/>
          <w:sz w:val="24"/>
          <w:u w:val="single"/>
        </w:rPr>
        <w:t xml:space="preserve">THE PENALTIES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consequences of an insider trading violation can be extremely serious and severe:</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Traders and Tippers</w:t>
      </w:r>
      <w:r>
        <w:rPr>
          <w:rFonts w:ascii="Times New Roman;sans-serif" w:hAnsi="Times New Roman;sans-serif"/>
          <w:b w:val="false"/>
          <w:color w:val="000000"/>
          <w:sz w:val="24"/>
        </w:rPr>
        <w:t>. Company personnel (or their tippees) who trade on inside information (or tip inside information to others) are subject to the following penalties, among other things: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civil penalty of up to three times the profit gained or loss avoided;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criminal fine of up to $5,000,000 (no matter how small the profit from the trade);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jail term of up to twenty years.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person who tips information to a person who then trades is subject to the same penalties as the tippee, even if the person did not trade and did not profit from the tippee’s trading.</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Control Persons</w:t>
      </w:r>
      <w:r>
        <w:rPr>
          <w:rFonts w:ascii="Times New Roman;sans-serif" w:hAnsi="Times New Roman;sans-serif"/>
          <w:b w:val="false"/>
          <w:color w:val="000000"/>
          <w:sz w:val="24"/>
        </w:rPr>
        <w:t>. The Company and its supervisory personnel, if they fail to take appropriate steps to prevent illegal insider trading, can be subject to the following penalties: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civil penalty of up to $1,000,000 or, if greater, three times the profit gained or loss avoided as a result of the employee’s violation; and</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criminal penalty of up to $25,000,000.</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Company-Imposed Sanctions</w:t>
      </w:r>
      <w:r>
        <w:rPr>
          <w:rFonts w:ascii="Times New Roman;sans-serif" w:hAnsi="Times New Roman;sans-serif"/>
          <w:b w:val="false"/>
          <w:color w:val="000000"/>
          <w:sz w:val="24"/>
        </w:rPr>
        <w:t xml:space="preserve">. Compliance with the Policy Statement is a condition of continued employment or service with the Company of each employee, officer and director. An employee’s failure to comply with the Policy Statement will subject the employee to Company-imposed sanctions, which may include dismissal for cause, whether or not the employee’s failure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to comply results in a violation of law. The Company reserves the right to determine, in its own discretion and on the basis of the information available to it, whether this Policy Statement has been violated. The Company may also determine that specific conduct violates this Policy Statement whether or not the conduct also violates the law. It is not necessary for the Company to wait for the filing or conclusion of a civil or criminal action against the alleged violator before taking disciplinary action.</w:t>
      </w:r>
    </w:p>
    <w:p>
      <w:pPr>
        <w:pStyle w:val="TextBody"/>
        <w:bidi w:val="0"/>
        <w:spacing w:lineRule="auto" w:line="240" w:before="0" w:after="240"/>
        <w:jc w:val="both"/>
        <w:rPr/>
      </w:pPr>
      <w:r>
        <w:rPr>
          <w:rFonts w:ascii="Times New Roman;sans-serif" w:hAnsi="Times New Roman;sans-serif"/>
          <w:b/>
          <w:color w:val="000000"/>
          <w:sz w:val="24"/>
        </w:rPr>
        <w:t>III.</w:t>
      </w:r>
      <w:r>
        <w:rPr>
          <w:rFonts w:ascii="Times New Roman;sans-serif" w:hAnsi="Times New Roman;sans-serif"/>
          <w:b/>
          <w:color w:val="000000"/>
          <w:sz w:val="24"/>
          <w:u w:val="single"/>
        </w:rPr>
        <w:t xml:space="preserve">STATEMENT OF POLICY </w:t>
      </w:r>
    </w:p>
    <w:p>
      <w:pPr>
        <w:pStyle w:val="TextBody"/>
        <w:bidi w:val="0"/>
        <w:spacing w:lineRule="auto" w:line="288" w:before="0" w:after="240"/>
        <w:jc w:val="both"/>
        <w:rPr/>
      </w:pPr>
      <w:r>
        <w:rPr>
          <w:color w:val="231F20"/>
        </w:rPr>
        <w:t>    </w:t>
      </w:r>
      <w:r>
        <w:rPr>
          <w:rFonts w:ascii="Times New Roman;sans-serif" w:hAnsi="Times New Roman;sans-serif"/>
          <w:b w:val="false"/>
          <w:color w:val="000000"/>
          <w:sz w:val="24"/>
        </w:rPr>
        <w:t>It is the policy of the Company that no director, officer or other employee of the Company who is aware of material nonpublic information relating to the Company may, directly or through family members or other persons or entities, (a) engage in transaction in Company Securities (other than pursuant to a pre-approved trading plan that complies with SEC Rule 10b5-1), or engage in any other action to take personal advantage of that information, (b) disclose material nonpublic information to persons within the Company whose jobs do not require them to have that information, or outside of the Company to other persons, including, but not limited to, family, friends, acquaintances, business associates, investors and expert consulting firms, unless any such disclosure is made in accordance with the Company’s policies regarding the protection or authorized external disclosure of information regarding the Company, (c) recommend the purchase or sale of Company Securities, or (d) assist anyone engaged in the above activities.. In addition, it is the policy of the Company that no director, officer or other employee of the Company (or any other person designated as subject to this Policy Statement)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No Exception for Emergencies</w:t>
      </w:r>
      <w:r>
        <w:rPr>
          <w:rFonts w:ascii="Times New Roman;sans-serif" w:hAnsi="Times New Roman;sans-serif"/>
          <w:b w:val="false"/>
          <w:color w:val="000000"/>
          <w:sz w:val="24"/>
        </w:rPr>
        <w:t>. Transactions that may be necessary or justifiable for independent reasons (such as the need to raise money for an emergency expenditure) are not excepted from the policy. If the employee, officer or director has material, nonpublic information, the prohibition still applies. The securities laws do not recognize such mitigating circumstances, and, in any event, even the appearance of an improper transaction must be avoided to preserve the Company’s reputation for adhering to high standards of conduct.</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Disclosure of Information to Others</w:t>
      </w:r>
      <w:r>
        <w:rPr>
          <w:rFonts w:ascii="Times New Roman;sans-serif" w:hAnsi="Times New Roman;sans-serif"/>
          <w:b w:val="false"/>
          <w:color w:val="000000"/>
          <w:sz w:val="24"/>
        </w:rPr>
        <w:t>. The Company is required under Regulation FD of the federal securities laws to avoid the selective disclosure of material nonpublic information. The Company has established procedures for releasing material information in a manner that is designed to achieve broad public dissemination of the information immediately upon its release. You may not disclose such information to anyone outside the Company, including family members and friends, other than in accordance with those procedures. You may not pass on to others any inside information about the Company or recommend the purchase or sale of Company Securities while in the possession of material nonpublic information (even if that information itself is not disclosed). You also may not discuss the Company or its business in an Internet ‘chat room’ or similar Internet-based forum.</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Contract Personnel (Non-Employees)</w:t>
      </w:r>
      <w:r>
        <w:rPr>
          <w:rFonts w:ascii="Times New Roman;sans-serif" w:hAnsi="Times New Roman;sans-serif"/>
          <w:b w:val="false"/>
          <w:color w:val="000000"/>
          <w:sz w:val="24"/>
        </w:rPr>
        <w:t>. The Company sometimes utilizes the services of contract personnel who are not employees of the Company. As such, non-employee personnel may have access to material nonpublic information about the Company. The Company expects all such contract personnel to comply with its policies on the trading of its securities to the same extent as employees are required to comply with such policies. The Company will take appropriate action against any such personnel and the organizations for which they are employed if there is a failure to comply with the policies of the Company.</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Material Information</w:t>
      </w:r>
      <w:r>
        <w:rPr>
          <w:rFonts w:ascii="Times New Roman;sans-serif" w:hAnsi="Times New Roman;sans-serif"/>
          <w:b w:val="false"/>
          <w:color w:val="000000"/>
          <w:sz w:val="24"/>
        </w:rPr>
        <w:t>. Material information is any information that a reasonable investor would consider important in making a decision to buy, hold or sell securities. Any information that could be expected to affect the Company’s stock price, whether it is positive or negative, should be considered material. Some examples of information that ordinarily would be regarded as material are set forth below but this list is not exhaustive – other information may be deemed material based upon</w:t>
      </w:r>
      <w:r>
        <w:rPr>
          <w:color w:val="231F20"/>
        </w:rPr>
        <w:t xml:space="preserve"> </w:t>
      </w:r>
      <w:r>
        <w:rPr>
          <w:rFonts w:ascii="Times New Roman;sans-serif" w:hAnsi="Times New Roman;sans-serif"/>
          <w:b w:val="false"/>
          <w:color w:val="231F20"/>
          <w:sz w:val="24"/>
        </w:rPr>
        <w:t>the circumstances</w:t>
      </w:r>
      <w:r>
        <w:rPr>
          <w:rFonts w:ascii="Times New Roman;sans-serif" w:hAnsi="Times New Roman;sans-serif"/>
          <w:b w:val="false"/>
          <w:color w:val="000000"/>
          <w:sz w:val="24"/>
        </w:rPr>
        <w: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Financial information, including, but not limited to, revenue results, operating income or loss, or net income or loss;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Earnings that are inconsistent with the consensus expectations of the investment community or other earnings guidance, projections or budgets;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News about a significant contract or cancellation of an existing significant contract;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News about significant new services or lines of business;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The gain or loss of a significant supplier;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pending or proposed merger, acquisition, restructuring, joint venture or tender offer;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pending or proposed acquisition or disposition of a significant asset(s) or facility;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Significant related party transactions;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change in the Company’s dividend policy or the declaration of a stock split;</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The implementation, change in or results of a Company stock buy-back;</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public or private offering of additional securities, borrowings, credit facilities or other financing transactions;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231F20"/>
          <w:sz w:val="24"/>
        </w:rPr>
        <w:t>The imposition of a ban on trading in Company Securities or the securities of another company;</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change in the Board of Directors, senior management or any other major personnel changes;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change in the Company’s pricing or cost structure;</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Major marketing changes;</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A change in auditors or notification that the auditor’s reports may no longer be relied upon;</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231F20"/>
          <w:sz w:val="24"/>
        </w:rPr>
        <w:t>Significant cybersecurity incidents;</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Significant legal exposure due to actual, pending or threatened litigation; or</w:t>
      </w:r>
    </w:p>
    <w:p>
      <w:pPr>
        <w:pStyle w:val="TextBody"/>
        <w:bidi w:val="0"/>
        <w:spacing w:lineRule="auto" w:line="240" w:before="0" w:after="240"/>
        <w:ind w:left="0" w:right="0" w:hanging="360"/>
        <w:jc w:val="both"/>
        <w:rPr/>
      </w:pPr>
      <w:r>
        <w:rPr>
          <w:color w:val="000000"/>
        </w:rPr>
        <w:t>•</w:t>
      </w:r>
      <w:r>
        <w:rPr>
          <w:rFonts w:ascii="Times New Roman;sans-serif" w:hAnsi="Times New Roman;sans-serif"/>
          <w:b w:val="false"/>
          <w:color w:val="000000"/>
          <w:sz w:val="24"/>
        </w:rPr>
        <w:t>Impending bankruptcy or the existence of financial or liquidity problems.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unsure whether information is material, you should either consult the General Counsel before making any decision to disclose such information (other than to persons who need to know it) or to trade in or recommend securities to which that information relates or assume that the information is material.</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Twenty-Twenty Hindsight</w:t>
      </w:r>
      <w:r>
        <w:rPr>
          <w:rFonts w:ascii="Times New Roman;sans-serif" w:hAnsi="Times New Roman;sans-serif"/>
          <w:b w:val="false"/>
          <w:color w:val="000000"/>
          <w:sz w:val="24"/>
        </w:rPr>
        <w:t>. Remember, anyone scrutinizing your transactions will be doing so after the fact, with the benefit of 20/20 hindsight. As a practical matter, before engaging in any transaction, you should carefully consider how enforcement authorities and others might view the transaction in hindsight.</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When Information is “Public.</w:t>
      </w:r>
      <w:r>
        <w:rPr>
          <w:color w:val="000000"/>
        </w:rPr>
        <w:t xml:space="preserve">” </w:t>
      </w:r>
      <w:r>
        <w:rPr>
          <w:rFonts w:ascii="Times New Roman;sans-serif" w:hAnsi="Times New Roman;sans-serif"/>
          <w:b w:val="false"/>
          <w:color w:val="231F20"/>
          <w:sz w:val="24"/>
        </w:rPr>
        <w:t>I</w:t>
      </w:r>
      <w:r>
        <w:rPr>
          <w:rFonts w:ascii="Times New Roman;sans-serif" w:hAnsi="Times New Roman;sans-serif"/>
          <w:b w:val="false"/>
          <w:color w:val="000000"/>
          <w:sz w:val="24"/>
        </w:rPr>
        <w:t xml:space="preserve">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 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 If you are aware of material nonpublic information, you may not trade until the information has been disclosed broadly to the marketplace (such as by press release or an SEC filing) and the investing public has had time to absorb the information fully. To avoid the appearance of impropriety, as a general rule, </w:t>
      </w:r>
      <w:r>
        <w:rPr>
          <w:rFonts w:ascii="Times New Roman;sans-serif" w:hAnsi="Times New Roman;sans-serif"/>
          <w:b/>
          <w:color w:val="000000"/>
          <w:sz w:val="24"/>
        </w:rPr>
        <w:t>information should not be considered fully absorbed by the marketplace until after the second business day after the information is released.</w:t>
      </w:r>
      <w:r>
        <w:rPr>
          <w:color w:val="000000"/>
        </w:rPr>
        <w:t xml:space="preserve"> </w:t>
      </w:r>
      <w:r>
        <w:rPr>
          <w:rFonts w:ascii="Times New Roman;sans-serif" w:hAnsi="Times New Roman;sans-serif"/>
          <w:b w:val="false"/>
          <w:color w:val="000000"/>
          <w:sz w:val="24"/>
        </w:rPr>
        <w:t>If, for example, the Company were to make an announcement on a Monday, you should not trade in Company Securities until Thursday. If an announcement was made on a Friday, Wednesday generally would be the first eligible trading day after the announcement. Depending on the particular circumstances, the Company may determine that a longer or shorter period should apply to the release of specific material nonpublic information.</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Transactions by Family Members</w:t>
      </w:r>
      <w:r>
        <w:rPr>
          <w:rFonts w:ascii="Times New Roman;sans-serif" w:hAnsi="Times New Roman;sans-serif"/>
          <w:b w:val="false"/>
          <w:color w:val="000000"/>
          <w:sz w:val="24"/>
        </w:rPr>
        <w:t xml:space="preserve">. The insider trading policy also applies to your family members who reside with you,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lineRule="auto" w:line="288" w:before="0" w:after="240"/>
        <w:jc w:val="both"/>
        <w:rPr/>
      </w:pPr>
      <w:r>
        <w:rPr>
          <w:color w:val="000000"/>
        </w:rPr>
        <w:t>    </w:t>
      </w:r>
      <w:r>
        <w:rPr>
          <w:rFonts w:ascii="Times New Roman;sans-serif" w:hAnsi="Times New Roman;sans-serif"/>
          <w:b/>
          <w:i/>
          <w:color w:val="000000"/>
          <w:sz w:val="24"/>
          <w:u w:val="single"/>
        </w:rPr>
        <w:t>Transactions by Entities that You Influence or Control</w:t>
      </w:r>
      <w:r>
        <w:rPr>
          <w:rFonts w:ascii="Times New Roman;sans-serif" w:hAnsi="Times New Roman;sans-serif"/>
          <w:b w:val="false"/>
          <w:color w:val="000000"/>
          <w:sz w:val="24"/>
        </w:rPr>
        <w:t xml:space="preserve">. </w:t>
      </w:r>
      <w:r>
        <w:rPr>
          <w:rFonts w:ascii="Times New Roman;sans-serif" w:hAnsi="Times New Roman;sans-serif"/>
          <w:b w:val="false"/>
          <w:color w:val="231F20"/>
          <w:sz w:val="24"/>
        </w:rPr>
        <w:t>This Policy Statement applies to any entities that you influence or control, including any corporations, partnerships or trusts (collectively referred to as “Controlled Entities”), and transactions by these Controlled Entities should be treated for the purposes of this Policy Statement and applicable securities laws as if they were for your own account.</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Stock Option Exercises</w:t>
      </w:r>
      <w:r>
        <w:rPr>
          <w:rFonts w:ascii="Times New Roman;sans-serif" w:hAnsi="Times New Roman;sans-serif"/>
          <w:b w:val="false"/>
          <w:color w:val="000000"/>
          <w:sz w:val="24"/>
        </w:rPr>
        <w:t xml:space="preserve">. </w:t>
      </w:r>
      <w:r>
        <w:rPr>
          <w:rFonts w:ascii="Times New Roman;sans-serif" w:hAnsi="Times New Roman;sans-serif"/>
          <w:b w:val="false"/>
          <w:color w:val="231F20"/>
          <w:sz w:val="24"/>
        </w:rPr>
        <w:t>This Policy Statement</w:t>
      </w:r>
      <w:r>
        <w:rPr>
          <w:color w:val="000000"/>
        </w:rPr>
        <w:t xml:space="preserve"> </w:t>
      </w:r>
      <w:r>
        <w:rPr>
          <w:rFonts w:ascii="Times New Roman;sans-serif" w:hAnsi="Times New Roman;sans-serif"/>
          <w:b w:val="false"/>
          <w:color w:val="000000"/>
          <w:sz w:val="24"/>
        </w:rPr>
        <w:t xml:space="preserve">does not apply to the exercise of an employee stock option </w:t>
      </w:r>
      <w:r>
        <w:rPr>
          <w:rFonts w:ascii="Times New Roman;sans-serif" w:hAnsi="Times New Roman;sans-serif"/>
          <w:b w:val="false"/>
          <w:color w:val="231F20"/>
          <w:sz w:val="24"/>
        </w:rPr>
        <w:t>acquired pursuant to the Company’s plans</w:t>
      </w:r>
      <w:r>
        <w:rPr>
          <w:rFonts w:ascii="Times New Roman;sans-serif" w:hAnsi="Times New Roman;sans-serif"/>
          <w:b w:val="false"/>
          <w:color w:val="000000"/>
          <w:sz w:val="24"/>
        </w:rPr>
        <w:t>, or to the exercise of a tax withholding right pursuant to which you elect to have the Company withhold shares subject to an option to satisfy tax withholding requirements. The policy does apply, however, to any sale of stock as part of a broker-assisted cashless exercise of an option, or any other market sale for the purpose of generating the cash needed to pay the exercise price of an option.</w:t>
      </w:r>
    </w:p>
    <w:p>
      <w:pPr>
        <w:pStyle w:val="TextBody"/>
        <w:bidi w:val="0"/>
        <w:spacing w:lineRule="auto" w:line="288" w:before="0" w:after="240"/>
        <w:ind w:left="0" w:right="0" w:firstLine="720"/>
        <w:jc w:val="both"/>
        <w:rPr/>
      </w:pPr>
      <w:r>
        <w:rPr>
          <w:rFonts w:ascii="Times New Roman;sans-serif" w:hAnsi="Times New Roman;sans-serif"/>
          <w:b/>
          <w:i/>
          <w:color w:val="231F20"/>
          <w:sz w:val="24"/>
          <w:u w:val="single"/>
        </w:rPr>
        <w:t>Restricted Stock Awards</w:t>
      </w:r>
      <w:r>
        <w:rPr>
          <w:rFonts w:ascii="Times New Roman;sans-serif" w:hAnsi="Times New Roman;sans-serif"/>
          <w:b w:val="false"/>
          <w:color w:val="231F20"/>
          <w:sz w:val="24"/>
        </w:rPr>
        <w:t>. This Policy Statement does not apply to the vesting of restricted stock, or the exercise of a tax withholding right pursuant to which you elect to have the Company withhold shares of stock to satisfy tax withholding requirements upon the vesting of any restricted stock. The Policy Statement does apply, however, to any market sale of restricted stock.</w:t>
      </w:r>
    </w:p>
    <w:p>
      <w:pPr>
        <w:pStyle w:val="TextBody"/>
        <w:bidi w:val="0"/>
        <w:spacing w:lineRule="auto" w:line="288" w:before="0" w:after="240"/>
        <w:ind w:left="0" w:right="0" w:firstLine="720"/>
        <w:jc w:val="both"/>
        <w:rPr/>
      </w:pPr>
      <w:r>
        <w:rPr>
          <w:rFonts w:ascii="Times New Roman;sans-serif" w:hAnsi="Times New Roman;sans-serif"/>
          <w:b/>
          <w:i/>
          <w:color w:val="231F20"/>
          <w:sz w:val="24"/>
          <w:u w:val="single"/>
        </w:rPr>
        <w:t>401(k) Plan</w:t>
      </w:r>
      <w:r>
        <w:rPr>
          <w:rFonts w:ascii="Times New Roman;sans-serif" w:hAnsi="Times New Roman;sans-serif"/>
          <w:b w:val="false"/>
          <w:color w:val="231F20"/>
          <w:sz w:val="24"/>
        </w:rPr>
        <w:t>. This Policy Statement does not apply to purchases of Company Securities in the Company’s 401(k) plan resulting from your periodic contribution of money to the plan pursuant to your payroll deduction election. This Policy Statement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pStyle w:val="TextBody"/>
        <w:bidi w:val="0"/>
        <w:spacing w:lineRule="auto" w:line="288" w:before="0" w:after="240"/>
        <w:jc w:val="both"/>
        <w:rPr/>
      </w:pPr>
      <w:r>
        <w:rPr>
          <w:color w:val="231F20"/>
        </w:rPr>
        <w:t>    </w:t>
      </w:r>
      <w:r>
        <w:rPr>
          <w:rFonts w:ascii="Times New Roman;sans-serif" w:hAnsi="Times New Roman;sans-serif"/>
          <w:b/>
          <w:i/>
          <w:color w:val="231F20"/>
          <w:sz w:val="24"/>
          <w:u w:val="single"/>
        </w:rPr>
        <w:t>Transactions Not Involving a Purchase or Sale</w:t>
      </w:r>
      <w:r>
        <w:rPr>
          <w:rFonts w:ascii="Times New Roman;sans-serif" w:hAnsi="Times New Roman;sans-serif"/>
          <w:b w:val="false"/>
          <w:color w:val="231F20"/>
          <w:sz w:val="24"/>
        </w:rPr>
        <w:t>. Bona fide</w:t>
      </w:r>
      <w:r>
        <w:rPr>
          <w:color w:val="231F20"/>
        </w:rPr>
        <w:t xml:space="preserve"> </w:t>
      </w:r>
      <w:r>
        <w:rPr>
          <w:rFonts w:ascii="Times New Roman;sans-serif" w:hAnsi="Times New Roman;sans-serif"/>
          <w:b w:val="false"/>
          <w:color w:val="231F20"/>
          <w:sz w:val="24"/>
        </w:rPr>
        <w:t>gifts are not transactions subject to this Policy Statement, unless the person making the gift has reason to believe that the recipient intends to sell Company Securities while the officer, employee or director is aware of material nonpublic information, or the person making the gift is subject to the trading restrictions specified below under the heading “</w:t>
      </w:r>
      <w:r>
        <w:rPr>
          <w:rFonts w:ascii="Times New Roman;sans-serif" w:hAnsi="Times New Roman;sans-serif"/>
          <w:b w:val="false"/>
          <w:color w:val="000000"/>
          <w:sz w:val="24"/>
        </w:rPr>
        <w:t>Additional Procedures</w:t>
      </w:r>
      <w:r>
        <w:rPr>
          <w:color w:val="231F20"/>
        </w:rPr>
        <w:t xml:space="preserve">” </w:t>
      </w:r>
      <w:r>
        <w:rPr>
          <w:rFonts w:ascii="Times New Roman;sans-serif" w:hAnsi="Times New Roman;sans-serif"/>
          <w:b w:val="false"/>
          <w:color w:val="231F20"/>
          <w:sz w:val="24"/>
        </w:rPr>
        <w:t>and the sales by the recipient of the Company Securities occur during a blackout period. Directors, officers and other insiders subject to this policy are encouraged to make gifts during open trading windows or pursuant to approved Rule 10b5-1 Plans. Further, transactions in mutual funds that are invested in Company Securities are not transactions subject to this Policy Statement.</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Additional Prohibited Transactions</w:t>
      </w:r>
      <w:r>
        <w:rPr>
          <w:rFonts w:ascii="Times New Roman;sans-serif" w:hAnsi="Times New Roman;sans-serif"/>
          <w:b w:val="false"/>
          <w:color w:val="000000"/>
          <w:sz w:val="24"/>
        </w:rPr>
        <w:t xml:space="preserve">. The Company considers it improper and inappropriate for any director, officer or other employee of the Company to engage in short-term or speculative transactions in the Company Securities. </w:t>
      </w:r>
      <w:r>
        <w:rPr>
          <w:rFonts w:ascii="Times New Roman;sans-serif" w:hAnsi="Times New Roman;sans-serif"/>
          <w:b/>
          <w:color w:val="000000"/>
          <w:sz w:val="24"/>
        </w:rPr>
        <w:t>It therefore is the Company’s policy that directors, officers and other employees may NOT engage in any of the following transactions:</w:t>
      </w:r>
    </w:p>
    <w:p>
      <w:pPr>
        <w:pStyle w:val="TextBody"/>
        <w:bidi w:val="0"/>
        <w:spacing w:lineRule="auto" w:line="288" w:before="0" w:after="240"/>
        <w:ind w:left="0" w:right="0" w:firstLine="720"/>
        <w:jc w:val="both"/>
        <w:rPr/>
      </w:pPr>
      <w:r>
        <w:rPr>
          <w:rFonts w:ascii="Times New Roman;sans-serif" w:hAnsi="Times New Roman;sans-serif"/>
          <w:b w:val="false"/>
          <w:color w:val="231F20"/>
          <w:sz w:val="24"/>
        </w:rPr>
        <w:t>a.</w:t>
      </w:r>
      <w:r>
        <w:rPr>
          <w:rFonts w:ascii="Times New Roman;sans-serif" w:hAnsi="Times New Roman;sans-serif"/>
          <w:b/>
          <w:i/>
          <w:color w:val="231F20"/>
          <w:sz w:val="24"/>
          <w:u w:val="single"/>
        </w:rPr>
        <w:t>Short-Swing Trades</w:t>
      </w:r>
      <w:r>
        <w:rPr>
          <w:rFonts w:ascii="Times New Roman;sans-serif" w:hAnsi="Times New Roman;sans-serif"/>
          <w:b w:val="false"/>
          <w:color w:val="231F20"/>
          <w:sz w:val="24"/>
        </w:rPr>
        <w:t>. E</w:t>
      </w:r>
      <w:r>
        <w:rPr>
          <w:rFonts w:ascii="Times New Roman;sans-serif" w:hAnsi="Times New Roman;sans-serif"/>
          <w:b w:val="false"/>
          <w:color w:val="000000"/>
          <w:sz w:val="24"/>
        </w:rPr>
        <w:t>xcept in connection with certain stock plan transactions, bona fide gift transactions and other transactions approved in</w:t>
      </w:r>
      <w:r>
        <w:rPr>
          <w:color w:val="231F20"/>
        </w:rPr>
        <w:t xml:space="preserve"> </w:t>
      </w:r>
      <w:r>
        <w:rPr>
          <w:rFonts w:ascii="Times New Roman;sans-serif" w:hAnsi="Times New Roman;sans-serif"/>
          <w:b w:val="false"/>
          <w:color w:val="231F20"/>
          <w:sz w:val="24"/>
        </w:rPr>
        <w:t xml:space="preserve">advance by the General Counsel, </w:t>
      </w:r>
      <w:r>
        <w:rPr>
          <w:rFonts w:ascii="Times New Roman;sans-serif" w:hAnsi="Times New Roman;sans-serif"/>
          <w:b w:val="false"/>
          <w:color w:val="000000"/>
          <w:sz w:val="24"/>
        </w:rPr>
        <w:t>directors, executive officers, Presidents and such other persons as are designated by the General Counsel</w:t>
      </w:r>
      <w:r>
        <w:rPr>
          <w:color w:val="231F20"/>
        </w:rPr>
        <w:t xml:space="preserve"> </w:t>
      </w:r>
      <w:r>
        <w:rPr>
          <w:rFonts w:ascii="Times New Roman;sans-serif" w:hAnsi="Times New Roman;sans-serif"/>
          <w:b w:val="false"/>
          <w:color w:val="231F20"/>
          <w:sz w:val="24"/>
        </w:rPr>
        <w:t>may not engage in transactions in which the individual or their agent buys and sells, or sells and buys, any Company Securities within a period of less than six months.</w:t>
      </w:r>
    </w:p>
    <w:p>
      <w:pPr>
        <w:pStyle w:val="TextBody"/>
        <w:bidi w:val="0"/>
        <w:spacing w:lineRule="auto" w:line="288" w:before="0" w:after="240"/>
        <w:ind w:left="0" w:right="0" w:firstLine="720"/>
        <w:jc w:val="both"/>
        <w:rPr/>
      </w:pPr>
      <w:r>
        <w:rPr>
          <w:rFonts w:ascii="Times New Roman;sans-serif" w:hAnsi="Times New Roman;sans-serif"/>
          <w:b w:val="false"/>
          <w:color w:val="231F20"/>
          <w:sz w:val="24"/>
        </w:rPr>
        <w:t>b.</w:t>
      </w:r>
      <w:r>
        <w:rPr>
          <w:rFonts w:ascii="Times New Roman;sans-serif" w:hAnsi="Times New Roman;sans-serif"/>
          <w:b/>
          <w:i/>
          <w:color w:val="000000"/>
          <w:sz w:val="24"/>
          <w:u w:val="single"/>
        </w:rPr>
        <w:t>Short Sales</w:t>
      </w:r>
      <w:r>
        <w:rPr>
          <w:rFonts w:ascii="Times New Roman;sans-serif" w:hAnsi="Times New Roman;sans-serif"/>
          <w:b w:val="false"/>
          <w:color w:val="000000"/>
          <w:sz w:val="24"/>
        </w:rPr>
        <w:t>. Short sales of the Company Securities evidence an expectation on the part of the seller that the securities will decline in value, and therefore signal to the market that the seller has no confidence in the Company or its short-</w:t>
      </w:r>
      <w:r>
        <w:rPr>
          <w:rFonts w:ascii="Times New Roman;sans-serif" w:hAnsi="Times New Roman;sans-serif"/>
          <w:b w:val="false"/>
          <w:color w:val="231F20"/>
          <w:sz w:val="24"/>
        </w:rPr>
        <w:t xml:space="preserve">term prospects. In addition, short sales may reduce the seller’s incentive to improve the Company’s performance. For these reasons, short sales of Company Securities are prohibited by this Policy Statement. In addition, Section 16(c) of the Exchange Act prohibits officers and directors from engaging in short sales. </w:t>
      </w:r>
    </w:p>
    <w:p>
      <w:pPr>
        <w:pStyle w:val="TextBody"/>
        <w:bidi w:val="0"/>
        <w:spacing w:lineRule="auto" w:line="288" w:before="0" w:after="240"/>
        <w:ind w:left="0" w:right="0" w:firstLine="720"/>
        <w:jc w:val="both"/>
        <w:rPr/>
      </w:pPr>
      <w:r>
        <w:rPr>
          <w:rFonts w:ascii="Times New Roman;sans-serif" w:hAnsi="Times New Roman;sans-serif"/>
          <w:b w:val="false"/>
          <w:color w:val="231F20"/>
          <w:sz w:val="24"/>
        </w:rPr>
        <w:t>c.</w:t>
      </w:r>
      <w:r>
        <w:rPr>
          <w:rFonts w:ascii="Times New Roman;sans-serif" w:hAnsi="Times New Roman;sans-serif"/>
          <w:b/>
          <w:i/>
          <w:color w:val="000000"/>
          <w:sz w:val="24"/>
          <w:u w:val="single"/>
        </w:rPr>
        <w:t>Publicly-Traded Options</w:t>
      </w:r>
      <w:r>
        <w:rPr>
          <w:rFonts w:ascii="Times New Roman;sans-serif" w:hAnsi="Times New Roman;sans-serif"/>
          <w:b w:val="false"/>
          <w:color w:val="000000"/>
          <w:sz w:val="24"/>
        </w:rPr>
        <w:t>. A transaction in options is, in effect, a bet on the short-term movement of the Company’s stock, and therefore creates the appearance that the director, officer or employee is trading based on inside information. Transactions in options also may focus the director’s, officer’s or employee’s attention on short-te</w:t>
      </w:r>
      <w:r>
        <w:rPr>
          <w:rFonts w:ascii="Times New Roman;sans-serif" w:hAnsi="Times New Roman;sans-serif"/>
          <w:b w:val="false"/>
          <w:color w:val="231F20"/>
          <w:sz w:val="24"/>
        </w:rPr>
        <w:t>rm performance at the expense of the Company’s long-term objectives. Accordingly, transactions in puts, calls or other derivative securities involving the Company, on an exchange or in any other organized market, are prohibited by this Policy Statement. (Option positions arising from certain types of hedging transactions are governed by the section below captioned “Hedging Transactions</w:t>
      </w:r>
      <w:r>
        <w:rPr>
          <w:rFonts w:ascii="Times New Roman;sans-serif" w:hAnsi="Times New Roman;sans-serif"/>
          <w:b w:val="false"/>
          <w:i/>
          <w:color w:val="000000"/>
          <w:sz w:val="24"/>
        </w:rPr>
        <w: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231F20"/>
          <w:sz w:val="24"/>
        </w:rPr>
        <w:t>d.</w:t>
      </w:r>
      <w:r>
        <w:rPr>
          <w:rFonts w:ascii="Times New Roman;sans-serif" w:hAnsi="Times New Roman;sans-serif"/>
          <w:b/>
          <w:i/>
          <w:color w:val="000000"/>
          <w:sz w:val="24"/>
          <w:u w:val="single"/>
        </w:rPr>
        <w:t>Margin Accounts and Pledges</w:t>
      </w:r>
      <w:r>
        <w:rPr>
          <w:rFonts w:ascii="Times New Roman;sans-serif" w:hAnsi="Times New Roman;sans-serif"/>
          <w:b w:val="false"/>
          <w:color w:val="000000"/>
          <w:sz w:val="24"/>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w:t>
      </w:r>
      <w:r>
        <w:rPr>
          <w:rFonts w:ascii="Times New Roman;sans-serif" w:hAnsi="Times New Roman;sans-serif"/>
          <w:b w:val="false"/>
          <w:color w:val="231F20"/>
          <w:sz w:val="24"/>
        </w:rPr>
        <w:t xml:space="preserve">ation or otherwise is not permitted to trade in Company Securities, directors, officers and other employees are prohibited from holding Company Securities in a margin account or pledging Company Securities as collateral for a loan. An exception to this prohibition exists where a person wishes to pledge Company Securities as collateral for a loan (not including margin debt) and clearly demonstrates the financial capacity to repay the loan without resort to the pledged securities. </w:t>
      </w:r>
    </w:p>
    <w:p>
      <w:pPr>
        <w:pStyle w:val="TextBody"/>
        <w:bidi w:val="0"/>
        <w:spacing w:lineRule="auto" w:line="288" w:before="0" w:after="240"/>
        <w:ind w:left="0" w:right="0" w:firstLine="720"/>
        <w:jc w:val="both"/>
        <w:rPr/>
      </w:pPr>
      <w:r>
        <w:rPr>
          <w:rFonts w:ascii="Times New Roman;sans-serif" w:hAnsi="Times New Roman;sans-serif"/>
          <w:b w:val="false"/>
          <w:color w:val="231F20"/>
          <w:sz w:val="24"/>
        </w:rPr>
        <w:t>e.</w:t>
      </w:r>
      <w:r>
        <w:rPr>
          <w:rFonts w:ascii="Times New Roman;sans-serif" w:hAnsi="Times New Roman;sans-serif"/>
          <w:b/>
          <w:i/>
          <w:color w:val="231F20"/>
          <w:sz w:val="24"/>
          <w:u w:val="single"/>
        </w:rPr>
        <w:t>Standing and Limit Orders</w:t>
      </w:r>
      <w:r>
        <w:rPr>
          <w:rFonts w:ascii="Times New Roman;sans-serif" w:hAnsi="Times New Roman;sans-serif"/>
          <w:b w:val="false"/>
          <w:color w:val="231F20"/>
          <w:sz w:val="24"/>
        </w:rPr>
        <w:t xml:space="preserve">.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231F20"/>
          <w:sz w:val="24"/>
        </w:rPr>
        <w:t>standing order or limit order, the order should be limited to short duration and should otherwise comply with the restrictions and procedures outlined below under the heading “</w:t>
      </w:r>
      <w:r>
        <w:rPr>
          <w:rFonts w:ascii="Times New Roman;sans-serif" w:hAnsi="Times New Roman;sans-serif"/>
          <w:b w:val="false"/>
          <w:color w:val="000000"/>
          <w:sz w:val="24"/>
        </w:rPr>
        <w:t>Additional Procedures</w:t>
      </w:r>
      <w:r>
        <w:rPr>
          <w:rFonts w:ascii="Times New Roman;sans-serif" w:hAnsi="Times New Roman;sans-serif"/>
          <w:b w:val="false"/>
          <w:color w:val="231F2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231F20"/>
          <w:sz w:val="24"/>
        </w:rPr>
        <w:t>f.</w:t>
      </w:r>
      <w:r>
        <w:rPr>
          <w:rFonts w:ascii="Times New Roman;sans-serif" w:hAnsi="Times New Roman;sans-serif"/>
          <w:b/>
          <w:i/>
          <w:color w:val="000000"/>
          <w:sz w:val="24"/>
          <w:u w:val="single"/>
        </w:rPr>
        <w:t>Hedging Transactions</w:t>
      </w:r>
      <w:r>
        <w:rPr>
          <w:rFonts w:ascii="Times New Roman;sans-serif" w:hAnsi="Times New Roman;sans-serif"/>
          <w:b w:val="false"/>
          <w:color w:val="000000"/>
          <w:sz w:val="24"/>
        </w:rPr>
        <w:t xml:space="preserve">. Certain forms of hedging or monetization transactions </w:t>
      </w:r>
      <w:r>
        <w:rPr>
          <w:rFonts w:ascii="Times New Roman;sans-serif" w:hAnsi="Times New Roman;sans-serif"/>
          <w:b w:val="false"/>
          <w:color w:val="231F20"/>
          <w:sz w:val="24"/>
        </w:rPr>
        <w:t>can be accomplished through a number of possible mechanisms</w:t>
      </w:r>
      <w:r>
        <w:rPr>
          <w:rFonts w:ascii="Times New Roman;sans-serif" w:hAnsi="Times New Roman;sans-serif"/>
          <w:b w:val="false"/>
          <w:color w:val="000000"/>
          <w:sz w:val="24"/>
        </w:rPr>
        <w:t xml:space="preserve">, such as zero-cost or prepaid variable collars, forwards, </w:t>
      </w:r>
      <w:r>
        <w:rPr>
          <w:rFonts w:ascii="Times New Roman;sans-serif" w:hAnsi="Times New Roman;sans-serif"/>
          <w:b w:val="false"/>
          <w:color w:val="231F20"/>
          <w:sz w:val="24"/>
        </w:rPr>
        <w:t>equity swaps, and exchange funds</w:t>
      </w:r>
      <w:r>
        <w:rPr>
          <w:rFonts w:ascii="Times New Roman;sans-serif" w:hAnsi="Times New Roman;sans-serif"/>
          <w:b w:val="false"/>
          <w:color w:val="000000"/>
          <w:sz w:val="24"/>
        </w:rPr>
        <w:t>, and allow a director, officer or employee to lock in much of the value of his or her stock holdings, often in exchange for all or part of the potential for upside appreciation in the stock. These transactions allow the director, officer or employee to continue to own the covered securities, but without the full risks and rewards of ownership. When that occurs, the director, officer or employee may no longer have the same objectives as the Company’s other stockhol</w:t>
      </w:r>
      <w:r>
        <w:rPr>
          <w:rFonts w:ascii="Times New Roman;sans-serif" w:hAnsi="Times New Roman;sans-serif"/>
          <w:b w:val="false"/>
          <w:color w:val="231F20"/>
          <w:sz w:val="24"/>
        </w:rPr>
        <w:t>ders. Therefore, the Company prohibits you from engaging in such transactions. Any person wishing to enter into such an arrangement must first pre-clear the proposed transaction with the Board of Directors. Any request for pre-clearance of a hedging or similar arrangement must be submitted to the General Counsel for approval at least one week prior to the proposed execution of documents evidencing the proposed transaction and must set forth a justification for the proposed transaction.</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Post-Termination Transactions</w:t>
      </w:r>
      <w:r>
        <w:rPr>
          <w:rFonts w:ascii="Times New Roman;sans-serif" w:hAnsi="Times New Roman;sans-serif"/>
          <w:b w:val="false"/>
          <w:color w:val="000000"/>
          <w:sz w:val="24"/>
        </w:rPr>
        <w:t>. The Policy Statement continues to apply to your transactions in Company Securities even after you have terminated service as an employee, officer or director of the Company. If you are aware of material nonpublic information when you terminate service as a director, officer, President or other employee of the Company, you may not trade in Company Securities until that information has become public or is no longer material. T</w:t>
      </w:r>
      <w:r>
        <w:rPr>
          <w:rFonts w:ascii="Times New Roman;sans-serif" w:hAnsi="Times New Roman;sans-serif"/>
          <w:b w:val="false"/>
          <w:color w:val="231F20"/>
          <w:sz w:val="24"/>
        </w:rPr>
        <w:t>he pre-clearance procedures specified under the heading “Additional Procedures” above, however, will cease to apply to your transactions in Company Securities upon the expiration of any “blackout period” or other Company-imposed trading restrictions applicable to your transactions at the time of your termination of service.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w:t>
      </w:r>
      <w:r>
        <w:rPr>
          <w:rFonts w:ascii="Times New Roman;sans-serif" w:hAnsi="Times New Roman;sans-serif"/>
          <w:b/>
          <w:i/>
          <w:color w:val="000000"/>
          <w:sz w:val="24"/>
          <w:u w:val="single"/>
        </w:rPr>
        <w:t>Pre-Clearance Procedures</w:t>
      </w:r>
      <w:r>
        <w:rPr>
          <w:rFonts w:ascii="Times New Roman;sans-serif" w:hAnsi="Times New Roman;sans-serif"/>
          <w:b w:val="false"/>
          <w:color w:val="000000"/>
          <w:sz w:val="24"/>
        </w:rPr>
        <w:t>. To help prevent inadvertent violations of the federal securities laws and to avoid even the appearance of trading on inside information</w:t>
      </w:r>
      <w:r>
        <w:rPr>
          <w:rFonts w:ascii="Times New Roman;sans-serif" w:hAnsi="Times New Roman;sans-serif"/>
          <w:b w:val="false"/>
          <w:color w:val="231F20"/>
          <w:sz w:val="24"/>
        </w:rPr>
        <w:t xml:space="preserve">, directors, officers, accounting employees with the title of vice president or higher, investor relations employees that assist with earnings releases, legal department employees that assist with preparing SEC filings, any employees on the Company’s disclosure committee, and any persons designated by the General Counsel as being subject to the Company’s pre-clearance procedures, together with the Family Members and Controlled Entities of such persons (“Covered Senior Persons”), may not engage in any transaction involving Company Securities </w:t>
      </w:r>
      <w:r>
        <w:rPr>
          <w:rFonts w:ascii="Times New Roman;sans-serif" w:hAnsi="Times New Roman;sans-serif"/>
          <w:b w:val="false"/>
          <w:color w:val="000000"/>
          <w:sz w:val="24"/>
        </w:rPr>
        <w:t>(including a stock plan transaction such as an option exercise, gift, loan or pledge or hedge, contribution to a trust, or any other transfer)</w:t>
      </w:r>
      <w:r>
        <w:rPr>
          <w:color w:val="231F20"/>
        </w:rPr>
        <w:t xml:space="preserve"> </w:t>
      </w:r>
      <w:r>
        <w:rPr>
          <w:rFonts w:ascii="Times New Roman;sans-serif" w:hAnsi="Times New Roman;sans-serif"/>
          <w:b w:val="false"/>
          <w:color w:val="231F20"/>
          <w:sz w:val="24"/>
        </w:rPr>
        <w:t>without first obtain</w:t>
      </w:r>
      <w:r>
        <w:rPr>
          <w:rFonts w:ascii="Times New Roman;sans-serif" w:hAnsi="Times New Roman;sans-serif"/>
          <w:b w:val="false"/>
          <w:color w:val="000000"/>
          <w:sz w:val="24"/>
        </w:rPr>
        <w:t>ing pre-clearance of the transaction from the General Counsel. A request for pre-clearance should be submitted to the General Counsel at least two business days in advance of the proposed transaction, unless earlier notice is otherwise required by the Policy Statement (e.g., one week for hedging transactions).</w:t>
      </w:r>
      <w:r>
        <w:rPr>
          <w:color w:val="231F20"/>
        </w:rPr>
        <w:t xml:space="preserve"> </w:t>
      </w:r>
      <w:r>
        <w:rPr>
          <w:rFonts w:ascii="Times New Roman;sans-serif" w:hAnsi="Times New Roman;sans-serif"/>
          <w:b w:val="false"/>
          <w:color w:val="231F20"/>
          <w:sz w:val="24"/>
        </w:rPr>
        <w:t>The General Counsel is under no obligation to approve a trade submitted for pre-clearance, and may in his sole discretion, determine not to permit the trade. If a person seeks pre-clearance and permission to engage in the transaction is denied, then he or she should refrain from initiating any transaction in Company Securities, and should not inform any other person of the restriction. When a request for pre-</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231F20"/>
          <w:sz w:val="24"/>
        </w:rPr>
      </w:pPr>
      <w:r>
        <w:rPr>
          <w:rFonts w:ascii="Times New Roman;sans-serif" w:hAnsi="Times New Roman;sans-serif"/>
          <w:b w:val="false"/>
          <w:color w:val="231F20"/>
          <w:sz w:val="24"/>
        </w:rPr>
        <w:t>clearance is made, the requestor should indicate whether he or she has effected any non-exempt “opposite-way” transactions within the past six months, and should be prepared to report the proposed transaction on an appropriate Form 4 or Form 5. The requestor should also be prepared to comply with SEC Rule 144 and file a Form 144, if necessary, at the time of any sale. If a person seeks pre-clearance and permission to engage in the transaction is granted, then such trade must be effected within five business days of receipt of pre-clearance unless an exception is granted. Such person must promptly notify the General Counsel following the completion of the transaction. A person who has not effected a transaction within the time limit may not engage in such transaction without again obtaining pre-clearance of the transaction from the General Counsel.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 xml:space="preserve">The General Counsel has designated the presidents of the Company’s several “portfolio” or direct operating subsidiaries (herein the “Presidents”) as key employees subject to these pre-clearance procedures, regardless of whether they have been designated as Section 16 Officers.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Any person subject to the pre-clearance requirements who wishes to implement a trading plan under SEC Rule 10b5-1 must first pre-clear the plan with the General Counsel. As required by Rule 10b5-1, you may enter into a trading plan only when you are not in possession of material nonpublic information. In addition, you may not enter into a trading plan during a blackout period or within forty-five (45) days after the cancellation of any existing 10b5-1 plan. Transactions effected pursuant to a pre-cleared trading plan will not require further pre-clearance at the time of the transaction if the plan specifies the dates, prices and amounts of the contemplated trades, or establishes a formula for determining the dates, prices and amounts. Except as noted above, no trading may occur under any 10b5-1 trading plan or modification thereof until at least 30 days after adoption of the 10b5-1 trading plan or modification.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j.</w:t>
      </w:r>
      <w:r>
        <w:rPr>
          <w:rFonts w:ascii="Times New Roman;sans-serif" w:hAnsi="Times New Roman;sans-serif"/>
          <w:b/>
          <w:i/>
          <w:color w:val="231F20"/>
          <w:sz w:val="24"/>
          <w:u w:val="single"/>
        </w:rPr>
        <w:t>Quarterly Blackout Periods</w:t>
      </w:r>
      <w:r>
        <w:rPr>
          <w:rFonts w:ascii="Times New Roman;sans-serif" w:hAnsi="Times New Roman;sans-serif"/>
          <w:b w:val="false"/>
          <w:i/>
          <w:color w:val="231F20"/>
          <w:sz w:val="24"/>
        </w:rPr>
        <w:t xml:space="preserve">. </w:t>
      </w:r>
      <w:r>
        <w:rPr>
          <w:rFonts w:ascii="Times New Roman;sans-serif" w:hAnsi="Times New Roman;sans-serif"/>
          <w:b w:val="false"/>
          <w:color w:val="000000"/>
          <w:sz w:val="24"/>
        </w:rPr>
        <w:t>The Company’s announcement of its quarterly financial results almost always has the potential to have a material effect on the market for the Company’s securities. Therefore, to avoid even the appearance of trading while aware of material nonpublic information, persons who are or may be expected to be aware of the Company’s quarterly financial results generally will not be pre-cleared to trade in the Company’s securities during the period beginning on the fourteenth calendar day of the last month of each fiscal quarter and ending after the second full business day following the Company’s issuance of its quarterly earnings release. Persons subject to these quarterly blackout periods include all directors and executive officers, other Section 16 Officers (if any), the Presidents, the controller of the Company, and all other persons who are informed by the General Counsel that they are subject to the quarterly blackout periods. The General Counsel and the Chief Executive Officer shall meet at least annually or at such more frequent intervals as they deem advisable to establish those employees subject to this trading window requirement.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may on occasion issue interim earnings guidance or other potentially material information by means of a press release, a Form 8-K filed with the SEC or by other means designed to achieve widespread dissemination of the information. You should anticipate that trades are unlikely to be pre-cleared while the Company is in the process of assembling the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to be released and until the information has been released and fully absorbed by the market.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k.</w:t>
      </w:r>
      <w:r>
        <w:rPr>
          <w:rFonts w:ascii="Times New Roman;sans-serif" w:hAnsi="Times New Roman;sans-serif"/>
          <w:b/>
          <w:i/>
          <w:color w:val="000000"/>
          <w:sz w:val="24"/>
          <w:u w:val="single"/>
        </w:rPr>
        <w:t>Event Specific Black-Outs; Cancellation of Existing Orders</w:t>
      </w:r>
      <w:r>
        <w:rPr>
          <w:rFonts w:ascii="Times New Roman;sans-serif" w:hAnsi="Times New Roman;sans-serif"/>
          <w:b w:val="false"/>
          <w:color w:val="000000"/>
          <w:sz w:val="24"/>
        </w:rPr>
        <w:t>. From time to time, an event may occur that is material to the Company,</w:t>
      </w:r>
      <w:r>
        <w:rPr>
          <w:color w:val="231F20"/>
        </w:rPr>
        <w:t xml:space="preserve"> </w:t>
      </w:r>
      <w:r>
        <w:rPr>
          <w:rFonts w:ascii="Times New Roman;sans-serif" w:hAnsi="Times New Roman;sans-serif"/>
          <w:b w:val="false"/>
          <w:color w:val="231F20"/>
          <w:sz w:val="24"/>
        </w:rPr>
        <w:t>such as a cybersecurity incident,</w:t>
      </w:r>
      <w:r>
        <w:rPr>
          <w:color w:val="000000"/>
        </w:rPr>
        <w:t xml:space="preserve"> </w:t>
      </w:r>
      <w:r>
        <w:rPr>
          <w:rFonts w:ascii="Times New Roman;sans-serif" w:hAnsi="Times New Roman;sans-serif"/>
          <w:b w:val="false"/>
          <w:color w:val="000000"/>
          <w:sz w:val="24"/>
        </w:rPr>
        <w:t>and is known by only a few directors or employees. So long as the event remains material and nonpublic, directors, executive officers, Presidents and such other persons as are designated by the General Counsel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General Counsel will inform the requester of the existence of a blackout period, without disclosing the reason for the blackout. Any person made aware of the existence of an event-specific blackout should not disclose the existence of the blackout to any other person. The failure of the General Counsel to designate a person as being subject to an event-specific blackout will not relieve that person of the obligation not to trade while aware of material nonpublic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l.</w:t>
      </w:r>
      <w:r>
        <w:rPr>
          <w:rFonts w:ascii="Times New Roman;sans-serif" w:hAnsi="Times New Roman;sans-serif"/>
          <w:b/>
          <w:i/>
          <w:color w:val="000000"/>
          <w:sz w:val="24"/>
          <w:u w:val="single"/>
        </w:rPr>
        <w:t>Hardship Exceptions</w:t>
      </w:r>
      <w:r>
        <w:rPr>
          <w:rFonts w:ascii="Times New Roman;sans-serif" w:hAnsi="Times New Roman;sans-serif"/>
          <w:b w:val="false"/>
          <w:color w:val="000000"/>
          <w:sz w:val="24"/>
        </w:rPr>
        <w:t>. A person who is subject to a quarterly earnings blackout period and who has an unexpected and urgent need to sell Company Securities in order to generate cash may, in appropriate and very limited rare circumstances, be permitted to sell Company stock even during the blackout period. A hardship exception may be granted only by the Audit Committee, at its sole discretion, and such exception must be requested at least two business days in advance of the proposed trade. A hardship exception may be granted only if the Audit Committee concludes that the Company’s earnings information for the applicable quarter does not constitute material nonpublic information or if the Company does not have sufficient insight as to the Company’s earnings information as of that time. It is highly unlikely that a hardship exception will be granted, and under no circumstance will a hardship exception be granted during an event-specific blackout period.</w:t>
      </w:r>
    </w:p>
    <w:p>
      <w:pPr>
        <w:pStyle w:val="TextBody"/>
        <w:bidi w:val="0"/>
        <w:spacing w:lineRule="auto" w:line="288" w:before="0" w:after="240"/>
        <w:ind w:left="0" w:right="0" w:firstLine="720"/>
        <w:jc w:val="both"/>
        <w:rPr/>
      </w:pPr>
      <w:r>
        <w:rPr>
          <w:rFonts w:ascii="Times New Roman;sans-serif" w:hAnsi="Times New Roman;sans-serif"/>
          <w:b/>
          <w:color w:val="000000"/>
          <w:sz w:val="24"/>
          <w:u w:val="single"/>
        </w:rPr>
        <w:t>IV.</w:t>
      </w:r>
      <w:r>
        <w:rPr>
          <w:rFonts w:ascii="Times New Roman;sans-serif" w:hAnsi="Times New Roman;sans-serif"/>
          <w:b/>
          <w:i/>
          <w:color w:val="000000"/>
          <w:sz w:val="24"/>
          <w:u w:val="single"/>
        </w:rPr>
        <w:t>Our Broker Interface Procedures</w:t>
      </w:r>
      <w:r>
        <w:rPr>
          <w:rFonts w:ascii="Times New Roman;sans-serif" w:hAnsi="Times New Roman;sans-serif"/>
          <w:b w:val="false"/>
          <w:color w:val="000000"/>
          <w:sz w:val="24"/>
        </w:rPr>
        <w:t>. The accelerated reporting obligations for Section 16 reports require tight interface with brokers handling transactions for our Section 16 executives. In addition, the Presidents and any other persons designated by the General Counsel as being subject to the Company’s broker interface and notification procedures, together with their family members, must abide by these procedures at all times. We require that you provide a copy of this Policy Statement to your broker and such broker must agree that he or she:</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Will not enter any orders for you (except for orders under pre-approved Rule 10b5-1 plans) without first:</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w:t>
      </w:r>
      <w:r>
        <w:rPr>
          <w:rFonts w:ascii="Times New Roman;sans-serif" w:hAnsi="Times New Roman;sans-serif"/>
          <w:b w:val="false"/>
          <w:color w:val="000000"/>
          <w:sz w:val="24"/>
        </w:rPr>
        <w:t>verifying with the Company that your transaction was pre-cleared; and</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w:t>
      </w:r>
      <w:r>
        <w:rPr>
          <w:rFonts w:ascii="Times New Roman;sans-serif" w:hAnsi="Times New Roman;sans-serif"/>
          <w:b w:val="false"/>
          <w:color w:val="000000"/>
          <w:sz w:val="24"/>
        </w:rPr>
        <w:t>complying with the brokerage firm’s compliance procedures (e.g., Rule 144).</w:t>
      </w:r>
    </w:p>
    <w:p>
      <w:pPr>
        <w:pStyle w:val="TextBody"/>
        <w:bidi w:val="0"/>
        <w:spacing w:lineRule="auto" w:line="240"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Report any transactions immediately to the General Counsel of the Company via:</w: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(1)</w:t>
      </w:r>
      <w:r>
        <w:rPr>
          <w:rFonts w:ascii="Times New Roman;sans-serif" w:hAnsi="Times New Roman;sans-serif"/>
          <w:b w:val="false"/>
          <w:color w:val="000000"/>
          <w:sz w:val="24"/>
        </w:rPr>
        <w:t>telephone; and</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10000"/>
          <w:sz w:val="24"/>
        </w:rPr>
        <w:t>(2)</w:t>
      </w:r>
      <w:r>
        <w:rPr>
          <w:rFonts w:ascii="Times New Roman;sans-serif" w:hAnsi="Times New Roman;sans-serif"/>
          <w:b w:val="false"/>
          <w:color w:val="000000"/>
          <w:sz w:val="24"/>
        </w:rPr>
        <w:t>in writing via e-mail to legal@pennantgroup.com, describing the details of every transaction involving Company stock, including gifts, transfers, pledges, and all 10b5-1 transactions.</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Company Assistance</w:t>
      </w:r>
      <w:r>
        <w:rPr>
          <w:rFonts w:ascii="Times New Roman;sans-serif" w:hAnsi="Times New Roman;sans-serif"/>
          <w:b w:val="false"/>
          <w:color w:val="000000"/>
          <w:sz w:val="24"/>
        </w:rPr>
        <w:t>. Any person who has a question about this Policy Statement or its application to any proposed transaction may obtain additional guidance from the Company’s General Counsel or the Company’s Executive Vice President and Secretary, whose telephone number is (949) 487-9500. In addition, if you have any doubt as to whether you are in possession of material, nonpublic information or whether a trade may otherwise violate this Policy Statement, you should contact the foregoing person before trading any Company Securities.</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Other Procedures</w:t>
      </w:r>
      <w:r>
        <w:rPr>
          <w:rFonts w:ascii="Times New Roman;sans-serif" w:hAnsi="Times New Roman;sans-serif"/>
          <w:b w:val="false"/>
          <w:color w:val="000000"/>
          <w:sz w:val="24"/>
        </w:rPr>
        <w:t>. The Company may change these procedures or adopt such other procedures in the future as the Company considers appropriate or advisable in order to carry out the purposes of this Policy Statement or to comply with the federal securities laws. Wherever this Policy refers to, or calls for action by or involving the Company’s General Counsel, such reference shall include the Company’s Executive Vice President and Secretary or such other person as the General Counsel may designate from time to time, if the General Counsel is unavailable or otherwise unable to act for any reason.</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No Third Party Rights</w:t>
      </w:r>
      <w:r>
        <w:rPr>
          <w:rFonts w:ascii="Times New Roman;sans-serif" w:hAnsi="Times New Roman;sans-serif"/>
          <w:b w:val="false"/>
          <w:color w:val="000000"/>
          <w:sz w:val="24"/>
        </w:rPr>
        <w:t>. This Policy Statement is not intended to create any rights in third parties with respect to any violation of its terms and is also not intended to create any legal liability for the Company or any employee, officer or director beyond those for which they are already responsible under applicable securities laws.</w:t>
      </w:r>
    </w:p>
    <w:p>
      <w:pPr>
        <w:pStyle w:val="TextBody"/>
        <w:bidi w:val="0"/>
        <w:spacing w:lineRule="auto" w:line="288" w:before="0" w:after="240"/>
        <w:ind w:left="0" w:right="0" w:firstLine="720"/>
        <w:jc w:val="both"/>
        <w:rPr/>
      </w:pPr>
      <w:r>
        <w:rPr>
          <w:rFonts w:ascii="Times New Roman;sans-serif" w:hAnsi="Times New Roman;sans-serif"/>
          <w:b/>
          <w:i/>
          <w:color w:val="000000"/>
          <w:sz w:val="24"/>
          <w:u w:val="single"/>
        </w:rPr>
        <w:t>Certifications</w:t>
      </w:r>
      <w:r>
        <w:rPr>
          <w:rFonts w:ascii="Times New Roman;sans-serif" w:hAnsi="Times New Roman;sans-serif"/>
          <w:b w:val="false"/>
          <w:color w:val="000000"/>
          <w:sz w:val="24"/>
        </w:rPr>
        <w:t>. All employees, officers and directors must annually certify their understanding of, and intent to comply with, this Policy Statement. A copy of the certification that all employees (other than executive officers) must sign is attached to this Policy Statement. Please return an executed copy of the attached certification immediately. Directors, executive officers and certain key employees are also subject to additional restrictions on their transactions in Company Securities, which are described in a separate Addendum to this Policy Statement. Directors, executive officers and such key employees subject to the Addendum should sign the certification attached to that Addendum instead of the one attached hereto.</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hereby certify that: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    I have read and understand Statement of Company Policy Regarding Insider Trading dated September 30, 2019 (the “</w:t>
      </w:r>
      <w:r>
        <w:rPr>
          <w:rFonts w:ascii="Times New Roman;sans-serif" w:hAnsi="Times New Roman;sans-serif"/>
          <w:b/>
          <w:i/>
          <w:color w:val="000000"/>
          <w:sz w:val="24"/>
        </w:rPr>
        <w:t>Policy Statement</w:t>
      </w:r>
      <w:r>
        <w:rPr>
          <w:color w:val="000000"/>
        </w:rPr>
        <w:t>”</w:t>
      </w:r>
      <w:r>
        <w:rPr>
          <w:rFonts w:ascii="Times New Roman;sans-serif" w:hAnsi="Times New Roman;sans-serif"/>
          <w:b w:val="false"/>
          <w:color w:val="000000"/>
          <w:sz w:val="24"/>
        </w:rPr>
        <w:t>). I understand that the General Counsel and the outside legal counsel of The Pennant Group,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are available to answer any questions I have regarding the Policy Statement.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I agree that I will comply with the Policy Statement for as long as I am subject to the Policy Statement.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I understand that all of my trades must be preapproved by the Company’s General Counsel or such other person as the Company may designate from time to time.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I agree that the Company may at any time and in its sole discretion issue a prohibition on trading in Company Securities and that the Company shall have full power and authority to cancel any outstanding orders, including “good until cancelled” orders, that I may place, but that I have the sole responsibility for compliance with the Policy Statement. I further agree and represent that I will never trade in Company Securities while I am in possession of material nonpublic information regarding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    This certification constitutes consent for the Company to issue any necessary stop-transfer orders to the Company’s transfer agent to enforce compliance with this Policy Statement.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Signature: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Print Name: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List of Subsidiaries of The Pennant Group, Inc.</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is a list of subsidiaries of The Pennant Group, Inc. as of December 31, 2024:</w:t>
      </w:r>
    </w:p>
    <w:p>
      <w:pPr>
        <w:pStyle w:val="TextBody"/>
        <w:bidi w:val="0"/>
        <w:spacing w:before="0" w:after="0"/>
        <w:jc w:val="left"/>
        <w:rPr/>
      </w:pPr>
      <w:r>
        <w:rPr/>
      </w:r>
    </w:p>
    <w:tbl>
      <w:tblPr>
        <w:tblW w:w="4708" w:type="dxa"/>
        <w:jc w:val="left"/>
        <w:tblInd w:w="0" w:type="dxa"/>
        <w:tblLayout w:type="fixed"/>
        <w:tblCellMar>
          <w:top w:w="28" w:type="dxa"/>
          <w:left w:w="28" w:type="dxa"/>
          <w:bottom w:w="28" w:type="dxa"/>
          <w:right w:w="28" w:type="dxa"/>
        </w:tblCellMar>
      </w:tblPr>
      <w:tblGrid>
        <w:gridCol w:w="1162"/>
        <w:gridCol w:w="1022"/>
        <w:gridCol w:w="1026"/>
        <w:gridCol w:w="109"/>
        <w:gridCol w:w="109"/>
        <w:gridCol w:w="109"/>
        <w:gridCol w:w="343"/>
        <w:gridCol w:w="343"/>
        <w:gridCol w:w="485"/>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Subsidiary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Jurisdiction</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2410 Stillhouse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Alpowa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Apricus Home Health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Arches Home 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Autumn Ridge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Bear River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Bellingham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 Mountain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Bluebird Home 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Bluebird Home Health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Bluebird Home Health,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Bluebird Hospice,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Brenwood Park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Brio Arizona Home Health,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Arizona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Brookfield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Brookhollow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Brown Road Senior Housing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Neenah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Buffalo Springs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Cactus Heights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Canyon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Capitol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Continuum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Cascades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CCS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Cedar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Creek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Creek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Clark Fork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 Creek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Connected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 Basin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Cornerstone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Cornerstone Service Center,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Point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 Care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497" w:type="dxa"/>
        <w:jc w:val="left"/>
        <w:tblInd w:w="0" w:type="dxa"/>
        <w:tblLayout w:type="fixed"/>
        <w:tblCellMar>
          <w:top w:w="28" w:type="dxa"/>
          <w:left w:w="28" w:type="dxa"/>
          <w:bottom w:w="28" w:type="dxa"/>
          <w:right w:w="28" w:type="dxa"/>
        </w:tblCellMar>
      </w:tblPr>
      <w:tblGrid>
        <w:gridCol w:w="1184"/>
        <w:gridCol w:w="1037"/>
        <w:gridCol w:w="1048"/>
        <w:gridCol w:w="109"/>
        <w:gridCol w:w="109"/>
        <w:gridCol w:w="109"/>
        <w:gridCol w:w="263"/>
        <w:gridCol w:w="263"/>
        <w:gridCol w:w="375"/>
      </w:tblGrid>
      <w:tr>
        <w:trPr/>
        <w:tc>
          <w:tcPr>
            <w:tcW w:w="118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 Soto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Eagle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Eden Landing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Elevate HC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Elkhorn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Elm Creek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Emblem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Eureka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Exemplar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Finding Home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Finding Home Physician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Glacier Peak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 Assisted,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Grandview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Granite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Granite Hills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Lakes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 Plains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 Bay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 Meadows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Happy Valley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Heartland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Hollow Creek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Huachuca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Hummingbird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iCare Private Duty,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Indigo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Iron Bridge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Jameson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Jentilly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Joshua Tree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Juniper Point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Kenosha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Keystone Hospice 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 Pointe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Lakeside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Lowes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Madison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Manitowoc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Maritime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8" w:type="dxa"/>
        <w:jc w:val="left"/>
        <w:tblInd w:w="0" w:type="dxa"/>
        <w:tblLayout w:type="fixed"/>
        <w:tblCellMar>
          <w:top w:w="28" w:type="dxa"/>
          <w:left w:w="28" w:type="dxa"/>
          <w:bottom w:w="28" w:type="dxa"/>
          <w:right w:w="28" w:type="dxa"/>
        </w:tblCellMar>
      </w:tblPr>
      <w:tblGrid>
        <w:gridCol w:w="1070"/>
        <w:gridCol w:w="940"/>
        <w:gridCol w:w="945"/>
        <w:gridCol w:w="109"/>
        <w:gridCol w:w="109"/>
        <w:gridCol w:w="109"/>
        <w:gridCol w:w="224"/>
        <w:gridCol w:w="224"/>
        <w:gridCol w:w="318"/>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McFarland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Mesa Grande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Mesa Springs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Mohave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Monitive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Monument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Moorland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Moss Bay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Moulton Falls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 Hood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Peak Home 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 Vista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NP2U,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Oregon</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Oceano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Orange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Orangewood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Orchard Prairie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Oso Bay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Painted Sky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Paragon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 Point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Peaceful Heart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Pearl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Pecan Bayou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Pennant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Pine Grove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Pine Valley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Pine Valley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Pinnacle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Pinnacle Service Center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Pleasant Run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Ponderosa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California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Colorado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Nevada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Oregon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Washington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Wisconsin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PPM Wyoming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Prairie View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Primrose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Prospect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93" w:type="dxa"/>
        <w:jc w:val="left"/>
        <w:tblInd w:w="0" w:type="dxa"/>
        <w:tblLayout w:type="fixed"/>
        <w:tblCellMar>
          <w:top w:w="28" w:type="dxa"/>
          <w:left w:w="28" w:type="dxa"/>
          <w:bottom w:w="28" w:type="dxa"/>
          <w:right w:w="28" w:type="dxa"/>
        </w:tblCellMar>
      </w:tblPr>
      <w:tblGrid>
        <w:gridCol w:w="1145"/>
        <w:gridCol w:w="1005"/>
        <w:gridCol w:w="1015"/>
        <w:gridCol w:w="109"/>
        <w:gridCol w:w="109"/>
        <w:gridCol w:w="109"/>
        <w:gridCol w:w="263"/>
        <w:gridCol w:w="263"/>
        <w:gridCol w:w="375"/>
      </w:tblGrid>
      <w:tr>
        <w:trPr/>
        <w:tc>
          <w:tcPr>
            <w:tcW w:w="114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Racine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Rancho Bernardo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Rio Verde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Riverview Village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 Garden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Rockbrook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Rogue River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Hills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Rosenburg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Sacramento River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Saguaro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Gabriel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 Lily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Sandstone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Sawtooth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Sentinel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 Springs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 Springs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Sheboygan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Shoshone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Lake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Somers Kenosha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Somersett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Bay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Plains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Pines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Southport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Spanish Meadows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Spokane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 Valley Assisted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 Valley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Stevens Point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 Creek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Stoughton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Summerlin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Peak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Spruce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Sunset Mesa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Sycamore Grove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Sycamore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Symbol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Rock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7" w:type="dxa"/>
        <w:jc w:val="left"/>
        <w:tblInd w:w="0" w:type="dxa"/>
        <w:tblLayout w:type="fixed"/>
        <w:tblCellMar>
          <w:top w:w="28" w:type="dxa"/>
          <w:left w:w="28" w:type="dxa"/>
          <w:bottom w:w="28" w:type="dxa"/>
          <w:right w:w="28" w:type="dxa"/>
        </w:tblCellMar>
      </w:tblPr>
      <w:tblGrid>
        <w:gridCol w:w="1521"/>
        <w:gridCol w:w="1334"/>
        <w:gridCol w:w="1344"/>
        <w:gridCol w:w="109"/>
        <w:gridCol w:w="109"/>
        <w:gridCol w:w="109"/>
        <w:gridCol w:w="263"/>
        <w:gridCol w:w="263"/>
        <w:gridCol w:w="375"/>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Tamarack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Terrace Court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Teton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Pennant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Road Senior Housing,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Peaks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Rocks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Healthcare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Triumph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Tumalo Falls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Tuolumne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 Falls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Rivers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Vesper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Victoria Ventura Assisted Living Community,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 River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Warhawk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Warhawk Senior Living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Allis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Whitetank Mountain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Whitewater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Willamette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Willow Creek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Willow Creek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Wisconsin Rapids Senior Living,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Woodlake Healthcare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Nevada</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We consent to the incorporation by reference in Registration Statement No. 333-233937 on Form </w:t>
      </w:r>
      <w:r>
        <w:rPr>
          <w:rFonts w:ascii="Times New Roman;sans-serif" w:hAnsi="Times New Roman;sans-serif"/>
          <w:b w:val="false"/>
          <w:color w:val="000000"/>
          <w:sz w:val="20"/>
        </w:rPr>
        <w:t>S-8</w:t>
      </w:r>
      <w:r>
        <w:rPr>
          <w:color w:val="000000"/>
          <w:shd w:fill="FFFFFF" w:val="clear"/>
        </w:rPr>
        <w:t xml:space="preserve"> </w:t>
      </w:r>
      <w:r>
        <w:rPr>
          <w:rFonts w:ascii="Times New Roman;sans-serif" w:hAnsi="Times New Roman;sans-serif"/>
          <w:b w:val="false"/>
          <w:color w:val="000000"/>
          <w:sz w:val="20"/>
          <w:shd w:fill="FFFFFF" w:val="clear"/>
        </w:rPr>
        <w:t xml:space="preserve">and No. 333-281302 on Form S-3 of our reports dated February 27, 2025, relating to the financial statements of The Pennant Group, Inc. and the effectiveness of the Pennant Group, Inc.’s internal control over financial reporting, appearing in this Annual Report on Form 10-K for the year ended December 31, 2024.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DELOITTE &amp; TOUCHE LLP</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Boise, ID</w:t>
      </w:r>
    </w:p>
    <w:p>
      <w:pPr>
        <w:pStyle w:val="TextBody"/>
        <w:bidi w:val="0"/>
        <w:spacing w:lineRule="auto" w:line="288"/>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bl>
      <w:tblPr>
        <w:tblW w:w="5853"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28"/>
        <w:gridCol w:w="728"/>
        <w:gridCol w:w="728"/>
        <w:gridCol w:w="728"/>
        <w:gridCol w:w="728"/>
        <w:gridCol w:w="75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43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43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The Pennant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71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77" w:type="dxa"/>
            <w:gridSpan w:val="18"/>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10-K for the period ended December 31, 2024,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8"/>
        <w:gridCol w:w="588"/>
        <w:gridCol w:w="588"/>
        <w:gridCol w:w="655"/>
        <w:gridCol w:w="588"/>
        <w:gridCol w:w="588"/>
        <w:gridCol w:w="664"/>
        <w:gridCol w:w="588"/>
        <w:gridCol w:w="588"/>
        <w:gridCol w:w="588"/>
        <w:gridCol w:w="588"/>
        <w:gridCol w:w="588"/>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J. GUERISOLI</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J. Guerisoli</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6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0"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Annual Report of The Pennant Group, Inc. (the Company) on Form 10-K for the period ended December 31, 2024,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0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83" w:type="dxa"/>
            <w:gridSpan w:val="12"/>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THE PENNANT GROUP, INC. </w:t>
      </w:r>
    </w:p>
    <w:p>
      <w:pPr>
        <w:pStyle w:val="TextBody"/>
        <w:bidi w:val="0"/>
        <w:spacing w:before="0" w:after="0"/>
        <w:jc w:val="center"/>
        <w:rPr/>
      </w:pPr>
      <w:r>
        <w:rPr/>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(Adopted as of December 1, 2023)</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rPr>
        <w:t>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The Pennant Group,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believes that it is in the best interest of the Company and its stockholders to create and maintain a culture that emphasizes integrity and accountability and that reinforces the Company’s pay-for-performance compensation philosophy. The Board has therefore adopted this Clawback Policy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to address the recovery of erroneously awarded incentive-based compensation in compliance with the rules set forth in Section 10D-1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and the related listing rules of the Nasdaq Stock Market (“</w:t>
      </w:r>
      <w:r>
        <w:rPr>
          <w:rFonts w:ascii="Times New Roman;sans-serif" w:hAnsi="Times New Roman;sans-serif"/>
          <w:b/>
          <w:i/>
          <w:color w:val="000000"/>
          <w:sz w:val="24"/>
        </w:rPr>
        <w:t>Nasdaq</w:t>
      </w:r>
      <w:r>
        <w:rPr>
          <w:color w:val="000000"/>
        </w:rPr>
        <w:t>”</w:t>
      </w:r>
      <w:r>
        <w:rPr>
          <w:rFonts w:ascii="Times New Roman;sans-serif" w:hAnsi="Times New Roman;sans-serif"/>
          <w:b w:val="false"/>
          <w:color w:val="000000"/>
          <w:sz w:val="24"/>
        </w:rPr>
        <w:t>), specifically including Listing Rule 5608 of the Nasdaq Stock Market Rulebook (collectively, the “</w:t>
      </w:r>
      <w:r>
        <w:rPr>
          <w:rFonts w:ascii="Times New Roman;sans-serif" w:hAnsi="Times New Roman;sans-serif"/>
          <w:b/>
          <w:i/>
          <w:color w:val="000000"/>
          <w:sz w:val="24"/>
        </w:rPr>
        <w:t>Clawback Rules</w:t>
      </w:r>
      <w:r>
        <w:rPr>
          <w:color w:val="000000"/>
        </w:rPr>
        <w:t>”</w:t>
      </w:r>
      <w:r>
        <w:rPr>
          <w:rFonts w:ascii="Times New Roman;sans-serif" w:hAnsi="Times New Roman;sans-serif"/>
          <w:b w:val="false"/>
          <w:color w:val="000000"/>
          <w:sz w:val="24"/>
        </w:rPr>
        <w:t>). This Policy supersedes and replaces in its entirety any prior or existing policies adopted by the Company with respect to the clawback of incentive-based compensation payable to a person covered by this Policy. To the extent this Policy is in any manner deemed inconsistent with the Clawback Rules, this Policy shall be treated as retroactively amended to be compliant with such rules.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Definitions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An “</w:t>
      </w:r>
      <w:r>
        <w:rPr>
          <w:rFonts w:ascii="Times New Roman;sans-serif" w:hAnsi="Times New Roman;sans-serif"/>
          <w:b/>
          <w:i/>
          <w:color w:val="000000"/>
          <w:sz w:val="24"/>
        </w:rPr>
        <w:t>Executive Officer</w:t>
      </w:r>
      <w:r>
        <w:rPr>
          <w:color w:val="000000"/>
        </w:rPr>
        <w:t>” </w:t>
      </w:r>
      <w:r>
        <w:rPr>
          <w:rFonts w:ascii="Times New Roman;sans-serif" w:hAnsi="Times New Roman;sans-serif"/>
          <w:b w:val="false"/>
          <w:color w:val="000000"/>
          <w:sz w:val="24"/>
        </w:rPr>
        <w:t xml:space="preserve">is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Executive officers of the Company’s subsidiaries are deemed executive officers of the Company if such persons perform policy making functions for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Reference to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i/>
          <w:color w:val="000000"/>
          <w:sz w:val="24"/>
        </w:rPr>
        <w:t>Financial Reporting Measures</w:t>
      </w:r>
      <w:r>
        <w:rPr>
          <w:color w:val="000000"/>
        </w:rPr>
        <w:t>” </w:t>
      </w:r>
      <w:r>
        <w:rPr>
          <w:rFonts w:ascii="Times New Roman;sans-serif" w:hAnsi="Times New Roman;sans-serif"/>
          <w:b w:val="false"/>
          <w:color w:val="000000"/>
          <w:sz w:val="24"/>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of the Company or included in a filing made by the Company with the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 xml:space="preserve">is any compensation that is granted, earned, or vested based wholly or in part upon the attainment of a Financial Reporting Measure.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Incentive-Based Compensation is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 xml:space="preserve">in the Company’s fiscal period during which the Financial Reporting Measure specified in the Incentive-Based Compensation award is attained, even if the payment or grant of the Incentive-Based Compensation occurs after the end of that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Administration and Interpretation of Policy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The Policy shall be administered by the Compensation Committee of the Board (the “</w:t>
      </w:r>
      <w:r>
        <w:rPr>
          <w:rFonts w:ascii="Times New Roman;sans-serif" w:hAnsi="Times New Roman;sans-serif"/>
          <w:b/>
          <w:i/>
          <w:color w:val="000000"/>
          <w:sz w:val="24"/>
        </w:rPr>
        <w:t>Compensation Committee</w:t>
      </w:r>
      <w:r>
        <w:rPr>
          <w:color w:val="000000"/>
        </w:rPr>
        <w:t>”</w:t>
      </w:r>
      <w:r>
        <w:rPr>
          <w:rFonts w:ascii="Times New Roman;sans-serif" w:hAnsi="Times New Roman;sans-serif"/>
          <w:b w:val="false"/>
          <w:color w:val="000000"/>
          <w:sz w:val="24"/>
        </w:rPr>
        <w:t>), or in the absence of such a committee, a majority of the independent directors serving on the Board (either the Compensation Committee or a majority of the independent directors serving on the Board in the administration of this Policy,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Decisions of the Committee with respect to this Policy shall be final, conclusive and binding on all Executive Officers subject to this Policy, unless determined to be an abuse of discretion or determined to be unenforceable by the U.S.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or Nasdaq.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Rule 10D-1 of the Exchange Act, the Clawback Rules, and any other applicable law, regulation, rule or interpretation of the SEC or Nasdaq promulgated or issued in connection therewith.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Application of the Policy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This Policy shall apply in the event that the Company is required to prepare an “</w:t>
      </w:r>
      <w:r>
        <w:rPr>
          <w:rFonts w:ascii="Times New Roman;sans-serif" w:hAnsi="Times New Roman;sans-serif"/>
          <w:b/>
          <w:i/>
          <w:color w:val="000000"/>
          <w:sz w:val="24"/>
        </w:rPr>
        <w:t>accounting restatement</w:t>
      </w:r>
      <w:r>
        <w:rPr>
          <w:color w:val="000000"/>
        </w:rPr>
        <w:t xml:space="preserve">” </w:t>
      </w:r>
      <w:r>
        <w:rPr>
          <w:rFonts w:ascii="Times New Roman;sans-serif" w:hAnsi="Times New Roman;sans-serif"/>
          <w:b w:val="false"/>
          <w:color w:val="000000"/>
          <w:sz w:val="24"/>
        </w:rPr>
        <w:t xml:space="preserve">due to material noncompliance of the Company with any financial reporting requirement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Recovery of Erroneously Awarded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compensation that is subject to clawback under this Policy is Incentive-Based Compensation that is Received by an Executive Officer: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a)after such person began service as an Executive Officer; </w:t>
      </w:r>
    </w:p>
    <w:p>
      <w:pPr>
        <w:pStyle w:val="TextBody"/>
        <w:bidi w:val="0"/>
        <w:spacing w:before="0" w:after="0"/>
        <w:jc w:val="both"/>
        <w:rPr/>
      </w:pPr>
      <w:r>
        <w:rPr/>
      </w:r>
    </w:p>
    <w:p>
      <w:pPr>
        <w:pStyle w:val="TextBody"/>
        <w:bidi w:val="0"/>
        <w:spacing w:lineRule="auto" w:line="288"/>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b)who served as an Executive Officer at any time during the performance period for such Incentive-Based Compensation (for the avoidance of doubt, this includes both current and former Executive Officers);</w:t>
      </w:r>
    </w:p>
    <w:p>
      <w:pPr>
        <w:pStyle w:val="TextBody"/>
        <w:bidi w:val="0"/>
        <w:spacing w:before="0" w:after="16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c)while the Company has a class of securities listed on Nasdaq (or such other national securities exchange on which the Company’s securities are then listed);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d)during the three completed fiscal years immediately preceding the date that the Company is required to prepare an accounting restatement as described under the heading “</w:t>
      </w:r>
      <w:r>
        <w:rPr>
          <w:rFonts w:ascii="Times New Roman;sans-serif" w:hAnsi="Times New Roman;sans-serif"/>
          <w:b w:val="false"/>
          <w:color w:val="000000"/>
          <w:sz w:val="24"/>
          <w:u w:val="single"/>
        </w:rPr>
        <w:t>Application of the Policy</w:t>
      </w:r>
      <w:r>
        <w:rPr>
          <w:rFonts w:ascii="Times New Roman;sans-serif" w:hAnsi="Times New Roman;sans-serif"/>
          <w:b w:val="false"/>
          <w:color w:val="000000"/>
          <w:sz w:val="24"/>
        </w:rPr>
        <w:t>.” Further, see Rule 10D-1(b)(1)(i)(D) of the Exchange Act for certain circumstances under which the Policy will apply to Incentive-Based Compensation Received by an Executive Officer during a transition period arising due to a change in the Company’s fiscal year within or immediately following those three completed fiscal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obligation to recover Erroneously Awarded Compensation is not dependent on if or when the restated financial statements are filed.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Committee shall have authority to clawback compensation that does not constitute Incentive-Based Compensation in its discretion in accordance with the objectives and terms of this Policy.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Determination of Recovery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determining the relevant recovery period, the date that the Company is required to prepare an accounting restatement shall be the earlier to occur of:</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ans-serif" w:hAnsi="Times New Roman;sans-serif"/>
          <w:b w:val="false"/>
          <w:color w:val="000000"/>
          <w:sz w:val="24"/>
        </w:rPr>
        <w:t>a)the date the Board, a committee of the Board, or the officer or officers of the Company authorized to take such action if Board action is not required, concludes, or reasonably should have concluded, that the Company is required to prepare an accounting restatement as described under the heading “</w:t>
      </w:r>
      <w:r>
        <w:rPr>
          <w:rFonts w:ascii="Times New Roman;sans-serif" w:hAnsi="Times New Roman;sans-serif"/>
          <w:b w:val="false"/>
          <w:color w:val="000000"/>
          <w:sz w:val="24"/>
          <w:u w:val="single"/>
        </w:rPr>
        <w:t>Application of the Policy</w:t>
      </w:r>
      <w:r>
        <w:rPr>
          <w:color w:val="000000"/>
        </w:rPr>
        <w:t>”</w:t>
      </w:r>
      <w:r>
        <w:rPr>
          <w:rFonts w:ascii="Times New Roman;sans-serif" w:hAnsi="Times New Roman;sans-serif"/>
          <w:b w:val="false"/>
          <w:color w:val="000000"/>
          <w:sz w:val="24"/>
        </w:rPr>
        <w:t xml:space="preserve">; or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date a court, regulator, or other legally authorized body directs the Company to prepare an accounting restatement.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Erroneously Awarded Compensation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The amount of Incentive-Based Compensation subject to this Policy (“</w:t>
      </w:r>
      <w:r>
        <w:rPr>
          <w:rFonts w:ascii="Times New Roman;sans-serif" w:hAnsi="Times New Roman;sans-serif"/>
          <w:b/>
          <w:i/>
          <w:color w:val="000000"/>
          <w:sz w:val="24"/>
        </w:rPr>
        <w:t>Erroneously Awarded Compensation</w:t>
      </w:r>
      <w:r>
        <w:rPr>
          <w:color w:val="000000"/>
        </w:rPr>
        <w:t>”</w:t>
      </w:r>
      <w:r>
        <w:rPr>
          <w:rFonts w:ascii="Times New Roman;sans-serif" w:hAnsi="Times New Roman;sans-serif"/>
          <w:b w:val="false"/>
          <w:color w:val="000000"/>
          <w:sz w:val="24"/>
        </w:rPr>
        <w:t xml:space="preserve">) is the amount of Incentive-Based Compensation Received that exceeds the amount of Incentive Based-Compensation that otherwise would have been Received had it been determined based on the restated amounts and shall be computed without regard to any taxes paid.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Incentive-Based Compensation based on stock price or total shareholder return, where the amount of Erroneously Awarded Compensation is not subject to mathematical recalculation directly from the information in an accounting restatement: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amount shall be based on a reasonable estimate of the effect of the accounting restatement on the stock price or total shareholder return upon which the Incentive-Based Compensation was Received;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Company must maintain documentation of the determination of that reasonable estimate and provide such documentation to Nasdaq.</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Recovery by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shall recover reasonably promptly any Erroneously Awarded Compensation in compliance with this Policy, except to the extent that: (i) the conditions of paragraphs (a) or (b) below apply, and (ii) the Compensation Committee, or in the absence of such a committee, a majority of the independent directors serving on the Board, has made a determination that recovery would be impracticable.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Nasdaq.</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b)Recovery would likely cause an otherwise tax-qualified retirement plan, under which benefits are broadly available to employees of the registrant, to fail to meet the requirements of 26 U.S.C. 401(a)(13) or 26 U.S.C. 411(a) and regulations thereunder.</w:t>
      </w:r>
    </w:p>
    <w:p>
      <w:pPr>
        <w:pStyle w:val="TextBody"/>
        <w:bidi w:val="0"/>
        <w:spacing w:before="0" w:after="0"/>
        <w:jc w:val="both"/>
        <w:rPr/>
      </w:pPr>
      <w:r>
        <w:rPr/>
      </w:r>
    </w:p>
    <w:p>
      <w:pPr>
        <w:pStyle w:val="TextBody"/>
        <w:bidi w:val="0"/>
        <w:spacing w:lineRule="auto" w:line="288" w:before="0" w:after="0"/>
        <w:jc w:val="both"/>
        <w:rPr>
          <w:color w:val="000000"/>
          <w:u w:val="single"/>
        </w:rPr>
      </w:pPr>
      <w:r>
        <w:rPr>
          <w:color w:val="000000"/>
          <w:u w:val="single"/>
        </w:rPr>
        <w:t>“</w:t>
      </w:r>
      <w:r>
        <w:rPr>
          <w:rFonts w:ascii="Times New Roman;sans-serif" w:hAnsi="Times New Roman;sans-serif"/>
          <w:b/>
          <w:color w:val="000000"/>
          <w:sz w:val="24"/>
          <w:u w:val="single"/>
        </w:rPr>
        <w:t xml:space="preserve">Reasonably Promptly”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shall determine the repayment schedule for each amount of Erroneously Awarded Compensation in a manner that complies with the “reasonably promptly” requirement. Such determination shall be made consistent with any applicable legal guidance, by the SEC, Nasdaq, judicial opinion, or otherwise. The determination of what constitutes “reasonably promptly” may vary from case to case and will depend on the particular facts and circumstances applicable to the Company, the accounting restatement and the Erroneously Awards Compensation, among other factors. The Committee is authorized to adopt additional rules to further describe what repayment schedules satisfy this requirement.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No Indemnification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any other policy or governing document of the Company or any agreement between the Company and an Executive Officer, no Executive Officer shall be indemnified by the Company against the loss of any Erroneously Awarded Compensation.</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Effective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shall be effective as of December 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Amendment;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Committee may amend this Policy from time to time in its discretion and shall amend this Policy as it deems necessary. Notwithstanding anything in this section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Other Recoupment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Any right of recoupment under this Policy is in addition to, and not in lieu of, any other remedies or rights of recoupment that may be available to the Company under applicable law, regulation or rule, or pursuant to the terms of any policy of the Company or any provision in any employment agreement, equity award agreement, compensatory plan, agreement or arrangement.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Relationship to Other Plans and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In the event of any inconsistency between the terms of this Policy and the terms of any employment agreement, equity award agreement, compensatory plan or any other agreement or arrangement with an Executive Officer under which Incentive-Based Compensation has been granted, awarded, earned, or paid to an Executive Officer, whether or not deferred, the terms of this Policy shall govern with respect to recoupment rights.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u w:val="single"/>
        </w:rPr>
        <w:t>Agreement to Policy by Executive Officers</w:t>
      </w:r>
      <w:r>
        <w:rPr>
          <w:color w:val="000000"/>
          <w:u w:val="single"/>
        </w:rPr>
        <w:t xml:space="preserve"> </w:t>
      </w:r>
    </w:p>
    <w:p>
      <w:pPr>
        <w:pStyle w:val="TextBody"/>
        <w:bidi w:val="0"/>
        <w:spacing w:before="0" w:after="0"/>
        <w:jc w:val="both"/>
        <w:rPr/>
      </w:pPr>
      <w:r>
        <w:rPr/>
      </w:r>
    </w:p>
    <w:p>
      <w:pPr>
        <w:pStyle w:val="TextBody"/>
        <w:bidi w:val="0"/>
        <w:spacing w:lineRule="auto" w:line="288"/>
        <w:jc w:val="both"/>
        <w:rPr/>
      </w:pPr>
      <w:r>
        <w:rPr>
          <w:rFonts w:ascii="Times New Roman;sans-serif" w:hAnsi="Times New Roman;sans-serif"/>
          <w:b w:val="false"/>
          <w:color w:val="000000"/>
          <w:sz w:val="24"/>
        </w:rPr>
        <w:t xml:space="preserve">The Committee shall take reasonable steps to inform Executive Officers of this Policy. Executive Officers should read this Policy carefully, ask questions of the Company’s Office of the General Counsel, and sign and return the certification attached hereto as </w:t>
      </w:r>
      <w:r>
        <w:rPr>
          <w:rFonts w:ascii="Times New Roman;sans-serif" w:hAnsi="Times New Roman;sans-serif"/>
          <w:b/>
          <w:color w:val="000000"/>
          <w:sz w:val="24"/>
          <w:u w:val="single"/>
        </w:rPr>
        <w:t>Annex A</w:t>
      </w:r>
      <w:r>
        <w:rPr>
          <w:rFonts w:ascii="Times New Roman;sans-serif" w:hAnsi="Times New Roman;sans-serif"/>
          <w:b w:val="false"/>
          <w:color w:val="000000"/>
          <w:sz w:val="24"/>
        </w:rPr>
        <w:t xml:space="preserve">. </w:t>
      </w:r>
    </w:p>
    <w:p>
      <w:pPr>
        <w:pStyle w:val="TextBody"/>
        <w:bidi w:val="0"/>
        <w:spacing w:before="0" w:after="16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270"/>
        <w:jc w:val="center"/>
        <w:rPr>
          <w:rFonts w:ascii="Times New Roman;sans-serif" w:hAnsi="Times New Roman;sans-serif"/>
          <w:b/>
          <w:color w:val="000000"/>
          <w:sz w:val="24"/>
        </w:rPr>
      </w:pPr>
      <w:r>
        <w:rPr>
          <w:rFonts w:ascii="Times New Roman;sans-serif" w:hAnsi="Times New Roman;sans-serif"/>
          <w:b/>
          <w:color w:val="000000"/>
          <w:sz w:val="24"/>
        </w:rPr>
        <w:t>ANNEX A</w:t>
      </w:r>
    </w:p>
    <w:p>
      <w:pPr>
        <w:pStyle w:val="TextBody"/>
        <w:bidi w:val="0"/>
        <w:spacing w:before="0" w:after="0"/>
        <w:ind w:left="0" w:right="0" w:firstLine="1275"/>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CLAWBACK POLICY 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4"/>
        </w:rPr>
        <w:t>I have read and understand the Clawback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of The Pennant Group,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 agree that I will comply with the policies and procedures set forth in the Policy. I understand and agree that, if I am an employee of the Company or one of its subsidiaries or other affiliates, my failure to comply in all respects with the Company’s policies, including the Policy, is a basis for termination of my employment with the Company and any subsidiary or other affiliate to which my employment now relates or may in the future relate.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am aware that this signed Certification will be filed with my personnel records in the Company’s Human Resources Department.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Signature: </w:t>
      </w:r>
      <w:r>
        <w:rPr>
          <w:color w:val="000000"/>
          <w:u w:val="single"/>
        </w:rPr>
        <w:t>                    </w:t>
      </w:r>
    </w:p>
    <w:p>
      <w:pPr>
        <w:pStyle w:val="TextBody"/>
        <w:bidi w:val="0"/>
        <w:spacing w:lineRule="auto" w:line="288" w:before="0" w:after="0"/>
        <w:jc w:val="both"/>
        <w:rPr/>
      </w:pPr>
      <w:r>
        <w:rPr>
          <w:rFonts w:ascii="Times New Roman;sans-serif" w:hAnsi="Times New Roman;sans-serif"/>
          <w:b w:val="false"/>
          <w:color w:val="000000"/>
          <w:sz w:val="24"/>
        </w:rPr>
        <w:t xml:space="preserve">Print Name: </w:t>
      </w:r>
      <w:r>
        <w:rPr>
          <w:color w:val="000000"/>
          <w:u w:val="single"/>
        </w:rPr>
        <w:t>                    </w:t>
      </w:r>
    </w:p>
    <w:p>
      <w:pPr>
        <w:pStyle w:val="TextBody"/>
        <w:bidi w:val="0"/>
        <w:spacing w:lineRule="auto" w:line="288" w:before="0" w:after="0"/>
        <w:jc w:val="both"/>
        <w:rPr/>
      </w:pPr>
      <w:r>
        <w:rPr>
          <w:rFonts w:ascii="Times New Roman;sans-serif" w:hAnsi="Times New Roman;sans-serif"/>
          <w:b w:val="false"/>
          <w:color w:val="000000"/>
          <w:sz w:val="24"/>
        </w:rPr>
        <w:t xml:space="preserve">Date: </w:t>
      </w:r>
      <w:r>
        <w:rPr>
          <w:color w:val="000000"/>
          <w:u w:val="single"/>
        </w:rPr>
        <w:t>                        </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30943432_v3</w:t>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766400/000119312519260914/d812063dex21.htm" TargetMode="External"/><Relationship Id="rId7" Type="http://schemas.openxmlformats.org/officeDocument/2006/relationships/hyperlink" Target="https://www.sec.gov/Archives/edgar/data/1766400/000176640022000025/ota-form2022x01x27.htm" TargetMode="External"/><Relationship Id="rId8" Type="http://schemas.openxmlformats.org/officeDocument/2006/relationships/hyperlink" Target="https://www.sec.gov/Archives/edgar/data/1766400/000119312519260914/d812063dex31.htm" TargetMode="External"/><Relationship Id="rId9" Type="http://schemas.openxmlformats.org/officeDocument/2006/relationships/hyperlink" Target="https://www.sec.gov/Archives/edgar/data/1766400/000176640022000027/pntg2ndarbylaws.htm" TargetMode="External"/><Relationship Id="rId10" Type="http://schemas.openxmlformats.org/officeDocument/2006/relationships/hyperlink" Target="https://www.sec.gov/Archives/edgar/data/1766400/000176640020000034/descriptionofsecuritie.htm" TargetMode="External"/><Relationship Id="rId11" Type="http://schemas.openxmlformats.org/officeDocument/2006/relationships/hyperlink" Target="https://www.sec.gov/Archives/edgar/data/1766400/000110465924086328/tm2420941d2_ex4-4.htm" TargetMode="External"/><Relationship Id="rId12" Type="http://schemas.openxmlformats.org/officeDocument/2006/relationships/hyperlink" Target="https://www.sec.gov/Archives/edgar/data/1766400/000110465924086328/tm2420941d2_ex4-4.htm" TargetMode="External"/><Relationship Id="rId13" Type="http://schemas.openxmlformats.org/officeDocument/2006/relationships/hyperlink" Target="https://www.sec.gov/Archives/edgar/data/1766400/000119312519260914/d812063dex101.htm" TargetMode="External"/><Relationship Id="rId14" Type="http://schemas.openxmlformats.org/officeDocument/2006/relationships/hyperlink" Target="https://www.sec.gov/Archives/edgar/data/1766400/000119312519260914/d812063dex102.htm" TargetMode="External"/><Relationship Id="rId15" Type="http://schemas.openxmlformats.org/officeDocument/2006/relationships/hyperlink" Target="https://www.sec.gov/Archives/edgar/data/1766400/000119312519260914/d812063dex103.htm" TargetMode="External"/><Relationship Id="rId16" Type="http://schemas.openxmlformats.org/officeDocument/2006/relationships/hyperlink" Target="https://www.sec.gov/Archives/edgar/data/1766400/000119312519224516/d693607dex104.htm" TargetMode="External"/><Relationship Id="rId17" Type="http://schemas.openxmlformats.org/officeDocument/2006/relationships/hyperlink" Target="https://www.sec.gov/Archives/edgar/data/1766400/000119312519260914/d812063dex1012.htm" TargetMode="External"/><Relationship Id="rId18" Type="http://schemas.openxmlformats.org/officeDocument/2006/relationships/hyperlink" Target="https://www.sec.gov/Archives/edgar/data/1766400/000119312519224516/d693607dex106.htm" TargetMode="External"/><Relationship Id="rId19" Type="http://schemas.openxmlformats.org/officeDocument/2006/relationships/hyperlink" Target="https://www.sec.gov/Archives/edgar/data/1766400/000119312519224516/d693607dex107.htm" TargetMode="External"/><Relationship Id="rId20" Type="http://schemas.openxmlformats.org/officeDocument/2006/relationships/hyperlink" Target="https://www.sec.gov/Archives/edgar/data/1766400/000119312519224516/d693607dex108.htm" TargetMode="External"/><Relationship Id="rId21" Type="http://schemas.openxmlformats.org/officeDocument/2006/relationships/hyperlink" Target="https://www.sec.gov/Archives/edgar/data/1766400/000119312519260914/d812063dex1011.htm" TargetMode="External"/><Relationship Id="rId22" Type="http://schemas.openxmlformats.org/officeDocument/2006/relationships/hyperlink" Target="https://www.sec.gov/Archives/edgar/data/1766400/000119312519224516/d693607dex1010.htm" TargetMode="External"/><Relationship Id="rId23" Type="http://schemas.openxmlformats.org/officeDocument/2006/relationships/hyperlink" Target="https://www.sec.gov/Archives/edgar/data/1766400/000119312519224516/d693607dex1011.htm" TargetMode="External"/><Relationship Id="rId24" Type="http://schemas.openxmlformats.org/officeDocument/2006/relationships/hyperlink" Target="https://www.sec.gov/Archives/edgar/data/1766400/000176640021000035/pntgconformedamendedcredit.htm" TargetMode="External"/><Relationship Id="rId25" Type="http://schemas.openxmlformats.org/officeDocument/2006/relationships/hyperlink" Target="https://www.sec.gov/Archives/edgar/data/1125376/000112537616000216/ex102cornerstoneomnibusinc.htm" TargetMode="External"/><Relationship Id="rId26" Type="http://schemas.openxmlformats.org/officeDocument/2006/relationships/hyperlink" Target="https://www.sec.gov/Archives/edgar/data/1766400/000176640022000112/pntg-consultingagreement.htm" TargetMode="External"/><Relationship Id="rId27" Type="http://schemas.openxmlformats.org/officeDocument/2006/relationships/hyperlink" Target="https://www.sec.gov/Archives/edgar/data/1766400/000176640022000112/pntg-rsuamendmentletterxdw.htm" TargetMode="External"/><Relationship Id="rId28" Type="http://schemas.openxmlformats.org/officeDocument/2006/relationships/hyperlink" Target="https://www.sec.gov/Archives/edgar/data/1766400/000176640023000073/ex101conformedamendedcredi.htm" TargetMode="External"/><Relationship Id="rId29" Type="http://schemas.openxmlformats.org/officeDocument/2006/relationships/hyperlink" Target="https://www.sec.gov/Archives/edgar/data/1766400/000176640024000090/pntg-amendedandrestatedcre.htm" TargetMode="External"/><Relationship Id="rId30" Type="http://schemas.openxmlformats.org/officeDocument/2006/relationships/hyperlink" Target="https://www.sec.gov/Archives/edgar/data/1766400/000176640024000090/pntg-amendedandrestatedcre.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60627</Words>
  <Characters>342413</Characters>
  <CharactersWithSpaces>400660</CharactersWithSpaces>
  <Paragraphs>4557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