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_____________________________</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2" w:lineRule="exact"/>
        <w:rPr>
          <w:sz w:val="24"/>
          <w:szCs w:val="24"/>
          <w:color w:val="auto"/>
        </w:rPr>
      </w:pPr>
    </w:p>
    <w:p>
      <w:pPr>
        <w:ind w:left="760" w:hanging="455"/>
        <w:spacing w:after="0"/>
        <w:tabs>
          <w:tab w:leader="none" w:pos="7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59" w:lineRule="exact"/>
        <w:rPr>
          <w:sz w:val="24"/>
          <w:szCs w:val="24"/>
          <w:color w:val="auto"/>
        </w:rPr>
      </w:pPr>
    </w:p>
    <w:p>
      <w:pPr>
        <w:ind w:left="760" w:hanging="455"/>
        <w:spacing w:after="0"/>
        <w:tabs>
          <w:tab w:leader="none" w:pos="7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1" w:lineRule="exact"/>
        <w:rPr>
          <w:sz w:val="24"/>
          <w:szCs w:val="24"/>
          <w:color w:val="auto"/>
        </w:rPr>
      </w:pPr>
    </w:p>
    <w:tbl>
      <w:tblPr>
        <w:tblLayout w:type="fixed"/>
        <w:tblInd w:w="180" w:type="dxa"/>
        <w:tblCellMar>
          <w:top w:w="0" w:type="dxa"/>
          <w:left w:w="0" w:type="dxa"/>
          <w:bottom w:w="0" w:type="dxa"/>
          <w:right w:w="0" w:type="dxa"/>
        </w:tblCellMar>
      </w:tblPr>
      <w:tr>
        <w:trPr>
          <w:trHeight w:val="184"/>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70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3960" w:type="dxa"/>
            <w:vAlign w:val="bottom"/>
            <w:gridSpan w:val="2"/>
          </w:tcPr>
          <w:p>
            <w:pPr>
              <w:jc w:val="right"/>
              <w:ind w:right="3459"/>
              <w:spacing w:after="0"/>
              <w:rPr>
                <w:sz w:val="20"/>
                <w:szCs w:val="20"/>
                <w:color w:val="auto"/>
              </w:rPr>
            </w:pPr>
            <w:r>
              <w:rPr>
                <w:rFonts w:ascii="Times New Roman" w:cs="Times New Roman" w:eastAsia="Times New Roman" w:hAnsi="Times New Roman"/>
                <w:sz w:val="16"/>
                <w:szCs w:val="16"/>
                <w:b w:val="1"/>
                <w:bCs w:val="1"/>
                <w:color w:val="auto"/>
              </w:rPr>
              <w:t>.</w:t>
            </w:r>
          </w:p>
        </w:tc>
        <w:tc>
          <w:tcPr>
            <w:tcW w:w="3120" w:type="dxa"/>
            <w:vAlign w:val="bottom"/>
          </w:tcPr>
          <w:p>
            <w:pPr>
              <w:spacing w:after="0"/>
              <w:rPr>
                <w:sz w:val="16"/>
                <w:szCs w:val="16"/>
                <w:color w:val="auto"/>
              </w:rPr>
            </w:pPr>
          </w:p>
        </w:tc>
      </w:tr>
      <w:tr>
        <w:trPr>
          <w:trHeight w:val="393"/>
        </w:trPr>
        <w:tc>
          <w:tcPr>
            <w:tcW w:w="2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58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Commission file number: 001-38900</w:t>
            </w:r>
          </w:p>
        </w:tc>
        <w:tc>
          <w:tcPr>
            <w:tcW w:w="3120" w:type="dxa"/>
            <w:vAlign w:val="bottom"/>
          </w:tcPr>
          <w:p>
            <w:pPr>
              <w:spacing w:after="0"/>
              <w:rPr>
                <w:sz w:val="24"/>
                <w:szCs w:val="24"/>
                <w:color w:val="auto"/>
              </w:rPr>
            </w:pPr>
          </w:p>
        </w:tc>
      </w:tr>
      <w:tr>
        <w:trPr>
          <w:trHeight w:val="262"/>
        </w:trPr>
        <w:tc>
          <w:tcPr>
            <w:tcW w:w="2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960" w:type="dxa"/>
            <w:vAlign w:val="bottom"/>
            <w:gridSpan w:val="2"/>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w:t>
            </w:r>
          </w:p>
        </w:tc>
        <w:tc>
          <w:tcPr>
            <w:tcW w:w="3120" w:type="dxa"/>
            <w:vAlign w:val="bottom"/>
          </w:tcPr>
          <w:p>
            <w:pPr>
              <w:spacing w:after="0"/>
              <w:rPr>
                <w:sz w:val="22"/>
                <w:szCs w:val="22"/>
                <w:color w:val="auto"/>
              </w:rPr>
            </w:pPr>
          </w:p>
        </w:tc>
      </w:tr>
      <w:tr>
        <w:trPr>
          <w:trHeight w:val="593"/>
        </w:trPr>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20" w:type="dxa"/>
            <w:vAlign w:val="bottom"/>
            <w:gridSpan w:val="6"/>
          </w:tcPr>
          <w:p>
            <w:pPr>
              <w:jc w:val="center"/>
              <w:ind w:right="1939"/>
              <w:spacing w:after="0"/>
              <w:rPr>
                <w:sz w:val="20"/>
                <w:szCs w:val="20"/>
                <w:color w:val="auto"/>
              </w:rPr>
            </w:pPr>
            <w:r>
              <w:rPr>
                <w:rFonts w:ascii="Times New Roman" w:cs="Times New Roman" w:eastAsia="Times New Roman" w:hAnsi="Times New Roman"/>
                <w:sz w:val="40"/>
                <w:szCs w:val="40"/>
                <w:b w:val="1"/>
                <w:bCs w:val="1"/>
                <w:color w:val="auto"/>
                <w:w w:val="98"/>
              </w:rPr>
              <w:t>THE PENNANT GROUP, INC.</w:t>
            </w:r>
          </w:p>
        </w:tc>
      </w:tr>
      <w:tr>
        <w:trPr>
          <w:trHeight w:val="441"/>
        </w:trPr>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6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3120" w:type="dxa"/>
            <w:vAlign w:val="bottom"/>
          </w:tcPr>
          <w:p>
            <w:pPr>
              <w:spacing w:after="0"/>
              <w:rPr>
                <w:sz w:val="24"/>
                <w:szCs w:val="24"/>
                <w:color w:val="auto"/>
              </w:rPr>
            </w:pPr>
          </w:p>
        </w:tc>
      </w:tr>
      <w:tr>
        <w:trPr>
          <w:trHeight w:val="229"/>
        </w:trPr>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center"/>
              <w:ind w:right="59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120" w:type="dxa"/>
            <w:vAlign w:val="bottom"/>
          </w:tcPr>
          <w:p>
            <w:pPr>
              <w:jc w:val="center"/>
              <w:ind w:right="1779"/>
              <w:spacing w:after="0"/>
              <w:rPr>
                <w:sz w:val="20"/>
                <w:szCs w:val="20"/>
                <w:color w:val="auto"/>
              </w:rPr>
            </w:pPr>
            <w:r>
              <w:rPr>
                <w:rFonts w:ascii="Times New Roman" w:cs="Times New Roman" w:eastAsia="Times New Roman" w:hAnsi="Times New Roman"/>
                <w:sz w:val="16"/>
                <w:szCs w:val="16"/>
                <w:b w:val="1"/>
                <w:bCs w:val="1"/>
                <w:color w:val="auto"/>
              </w:rPr>
              <w:t>83-3349931</w:t>
            </w:r>
          </w:p>
        </w:tc>
      </w:tr>
      <w:tr>
        <w:trPr>
          <w:trHeight w:val="216"/>
        </w:trPr>
        <w:tc>
          <w:tcPr>
            <w:tcW w:w="3580" w:type="dxa"/>
            <w:vAlign w:val="bottom"/>
            <w:gridSpan w:val="5"/>
          </w:tcPr>
          <w:p>
            <w:pPr>
              <w:jc w:val="center"/>
              <w:ind w:left="14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120" w:type="dxa"/>
            <w:vAlign w:val="bottom"/>
          </w:tcPr>
          <w:p>
            <w:pPr>
              <w:jc w:val="center"/>
              <w:ind w:right="17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6"/>
        </w:trPr>
        <w:tc>
          <w:tcPr>
            <w:tcW w:w="3580" w:type="dxa"/>
            <w:vAlign w:val="bottom"/>
            <w:gridSpan w:val="5"/>
          </w:tcPr>
          <w:p>
            <w:pPr>
              <w:jc w:val="center"/>
              <w:ind w:left="14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120" w:type="dxa"/>
            <w:vAlign w:val="bottom"/>
          </w:tcPr>
          <w:p>
            <w:pPr>
              <w:jc w:val="center"/>
              <w:ind w:right="17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6"/>
        </w:trPr>
        <w:tc>
          <w:tcPr>
            <w:tcW w:w="2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96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1675 East Riverside Drive, Suite 150, Eagle, ID 83616</w:t>
            </w:r>
          </w:p>
        </w:tc>
        <w:tc>
          <w:tcPr>
            <w:tcW w:w="3120" w:type="dxa"/>
            <w:vAlign w:val="bottom"/>
          </w:tcPr>
          <w:p>
            <w:pPr>
              <w:spacing w:after="0"/>
              <w:rPr>
                <w:sz w:val="23"/>
                <w:szCs w:val="23"/>
                <w:color w:val="auto"/>
              </w:rPr>
            </w:pPr>
          </w:p>
        </w:tc>
      </w:tr>
      <w:tr>
        <w:trPr>
          <w:trHeight w:val="187"/>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6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tc>
        <w:tc>
          <w:tcPr>
            <w:tcW w:w="3120" w:type="dxa"/>
            <w:vAlign w:val="bottom"/>
          </w:tcPr>
          <w:p>
            <w:pPr>
              <w:spacing w:after="0"/>
              <w:rPr>
                <w:sz w:val="16"/>
                <w:szCs w:val="16"/>
                <w:color w:val="auto"/>
              </w:rPr>
            </w:pPr>
          </w:p>
        </w:tc>
      </w:tr>
      <w:tr>
        <w:trPr>
          <w:trHeight w:val="205"/>
        </w:trPr>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6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(208) 506-6100</w:t>
            </w:r>
          </w:p>
        </w:tc>
        <w:tc>
          <w:tcPr>
            <w:tcW w:w="3120" w:type="dxa"/>
            <w:vAlign w:val="bottom"/>
          </w:tcPr>
          <w:p>
            <w:pPr>
              <w:spacing w:after="0"/>
              <w:rPr>
                <w:sz w:val="17"/>
                <w:szCs w:val="17"/>
                <w:color w:val="auto"/>
              </w:rPr>
            </w:pPr>
          </w:p>
        </w:tc>
      </w:tr>
      <w:tr>
        <w:trPr>
          <w:trHeight w:val="175"/>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960" w:type="dxa"/>
            <w:vAlign w:val="bottom"/>
            <w:gridSpan w:val="2"/>
          </w:tcPr>
          <w:p>
            <w:pPr>
              <w:jc w:val="center"/>
              <w:ind w:right="159"/>
              <w:spacing w:after="0" w:line="175" w:lineRule="exact"/>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12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580" w:type="dxa"/>
            <w:vAlign w:val="bottom"/>
          </w:tcPr>
          <w:p>
            <w:pPr>
              <w:jc w:val="center"/>
              <w:ind w:right="539"/>
              <w:spacing w:after="0" w:line="175" w:lineRule="exact"/>
              <w:rPr>
                <w:sz w:val="20"/>
                <w:szCs w:val="20"/>
                <w:color w:val="auto"/>
              </w:rPr>
            </w:pPr>
            <w:r>
              <w:rPr>
                <w:rFonts w:ascii="Times New Roman" w:cs="Times New Roman" w:eastAsia="Times New Roman" w:hAnsi="Times New Roman"/>
                <w:sz w:val="16"/>
                <w:szCs w:val="16"/>
                <w:color w:val="auto"/>
              </w:rPr>
              <w:t>None</w:t>
            </w:r>
          </w:p>
        </w:tc>
        <w:tc>
          <w:tcPr>
            <w:tcW w:w="3120" w:type="dxa"/>
            <w:vAlign w:val="bottom"/>
          </w:tcPr>
          <w:p>
            <w:pPr>
              <w:spacing w:after="0"/>
              <w:rPr>
                <w:sz w:val="15"/>
                <w:szCs w:val="15"/>
                <w:color w:val="auto"/>
              </w:rPr>
            </w:pPr>
          </w:p>
        </w:tc>
      </w:tr>
      <w:tr>
        <w:trPr>
          <w:trHeight w:val="185"/>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20" w:type="dxa"/>
            <w:vAlign w:val="bottom"/>
            <w:gridSpan w:val="6"/>
          </w:tcPr>
          <w:p>
            <w:pPr>
              <w:jc w:val="center"/>
              <w:ind w:right="193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60" w:type="dxa"/>
            <w:vAlign w:val="bottom"/>
            <w:gridSpan w:val="2"/>
          </w:tcPr>
          <w:p>
            <w:pPr>
              <w:jc w:val="center"/>
              <w:ind w:right="159"/>
              <w:spacing w:after="0"/>
              <w:rPr>
                <w:sz w:val="20"/>
                <w:szCs w:val="20"/>
                <w:color w:val="auto"/>
              </w:rPr>
            </w:pPr>
            <w:r>
              <w:rPr>
                <w:rFonts w:ascii="Times New Roman" w:cs="Times New Roman" w:eastAsia="Times New Roman" w:hAnsi="Times New Roman"/>
                <w:sz w:val="18"/>
                <w:szCs w:val="18"/>
                <w:color w:val="auto"/>
                <w:w w:val="99"/>
              </w:rPr>
              <w:t>________________</w:t>
            </w:r>
          </w:p>
        </w:tc>
        <w:tc>
          <w:tcPr>
            <w:tcW w:w="3120" w:type="dxa"/>
            <w:vAlign w:val="bottom"/>
          </w:tcPr>
          <w:p>
            <w:pPr>
              <w:spacing w:after="0"/>
              <w:rPr>
                <w:sz w:val="18"/>
                <w:szCs w:val="18"/>
                <w:color w:val="auto"/>
              </w:rPr>
            </w:pPr>
          </w:p>
        </w:tc>
      </w:tr>
      <w:tr>
        <w:trPr>
          <w:trHeight w:val="234"/>
        </w:trPr>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120" w:type="dxa"/>
            <w:vAlign w:val="bottom"/>
          </w:tcPr>
          <w:p>
            <w:pPr>
              <w:spacing w:after="0"/>
              <w:rPr>
                <w:sz w:val="20"/>
                <w:szCs w:val="20"/>
                <w:color w:val="auto"/>
              </w:rPr>
            </w:pPr>
          </w:p>
        </w:tc>
      </w:tr>
      <w:tr>
        <w:trPr>
          <w:trHeight w:val="237"/>
        </w:trPr>
        <w:tc>
          <w:tcPr>
            <w:tcW w:w="2240" w:type="dxa"/>
            <w:vAlign w:val="bottom"/>
            <w:gridSpan w:val="2"/>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80" w:type="dxa"/>
            <w:vAlign w:val="bottom"/>
          </w:tcPr>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1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6"/>
        </w:trPr>
        <w:tc>
          <w:tcPr>
            <w:tcW w:w="3580" w:type="dxa"/>
            <w:vAlign w:val="bottom"/>
            <w:gridSpan w:val="5"/>
          </w:tcPr>
          <w:p>
            <w:pPr>
              <w:jc w:val="center"/>
              <w:ind w:right="25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380" w:type="dxa"/>
            <w:vAlign w:val="bottom"/>
          </w:tcPr>
          <w:p>
            <w:pPr>
              <w:spacing w:after="0"/>
              <w:rPr>
                <w:sz w:val="18"/>
                <w:szCs w:val="18"/>
                <w:color w:val="auto"/>
              </w:rPr>
            </w:pPr>
          </w:p>
        </w:tc>
        <w:tc>
          <w:tcPr>
            <w:tcW w:w="3580" w:type="dxa"/>
            <w:vAlign w:val="bottom"/>
          </w:tcPr>
          <w:p>
            <w:pPr>
              <w:jc w:val="center"/>
              <w:ind w:right="759"/>
              <w:spacing w:after="0"/>
              <w:rPr>
                <w:sz w:val="20"/>
                <w:szCs w:val="20"/>
                <w:color w:val="auto"/>
              </w:rPr>
            </w:pPr>
            <w:r>
              <w:rPr>
                <w:rFonts w:ascii="Times New Roman" w:cs="Times New Roman" w:eastAsia="Times New Roman" w:hAnsi="Times New Roman"/>
                <w:sz w:val="16"/>
                <w:szCs w:val="16"/>
                <w:color w:val="auto"/>
              </w:rPr>
              <w:t>PNTG</w:t>
            </w:r>
          </w:p>
        </w:tc>
        <w:tc>
          <w:tcPr>
            <w:tcW w:w="3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8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200" w:lineRule="exact"/>
        <w:rPr>
          <w:sz w:val="24"/>
          <w:szCs w:val="24"/>
          <w:color w:val="auto"/>
        </w:rPr>
      </w:pPr>
    </w:p>
    <w:p>
      <w:pPr>
        <w:spacing w:after="0" w:line="237" w:lineRule="exact"/>
        <w:rPr>
          <w:sz w:val="24"/>
          <w:szCs w:val="24"/>
          <w:color w:val="auto"/>
        </w:rPr>
      </w:pPr>
    </w:p>
    <w:p>
      <w:pPr>
        <w:jc w:val="both"/>
        <w:ind w:firstLine="445"/>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73" w:lineRule="exact"/>
        <w:rPr>
          <w:sz w:val="24"/>
          <w:szCs w:val="24"/>
          <w:color w:val="auto"/>
        </w:rPr>
      </w:pPr>
    </w:p>
    <w:p>
      <w:pPr>
        <w:ind w:firstLine="445"/>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96" w:lineRule="exact"/>
        <w:rPr>
          <w:sz w:val="24"/>
          <w:szCs w:val="24"/>
          <w:color w:val="auto"/>
        </w:rPr>
      </w:pPr>
    </w:p>
    <w:p>
      <w:pPr>
        <w:jc w:val="both"/>
        <w:ind w:right="300" w:firstLine="445"/>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240"/>
        <w:spacing w:after="0" w:line="184" w:lineRule="exact"/>
        <w:tabs>
          <w:tab w:leader="none" w:pos="1980" w:val="left"/>
          <w:tab w:leader="none" w:pos="2620" w:val="left"/>
          <w:tab w:leader="none" w:pos="4200" w:val="left"/>
          <w:tab w:leader="none" w:pos="4720" w:val="left"/>
          <w:tab w:leader="none" w:pos="646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Smaller reporting company</w:t>
      </w:r>
      <w:r>
        <w:rPr>
          <w:rFonts w:ascii="MS PGothic" w:cs="MS PGothic" w:eastAsia="MS PGothic" w:hAnsi="MS PGothic"/>
          <w:sz w:val="16"/>
          <w:szCs w:val="16"/>
          <w:color w:val="auto"/>
        </w:rPr>
        <w:t xml:space="preserve">  ☐  </w:t>
      </w:r>
      <w:r>
        <w:rPr>
          <w:rFonts w:ascii="Times New Roman" w:cs="Times New Roman" w:eastAsia="Times New Roman" w:hAnsi="Times New Roman"/>
          <w:sz w:val="16"/>
          <w:szCs w:val="16"/>
          <w:color w:val="auto"/>
        </w:rPr>
        <w:t>Emerging growth company</w:t>
      </w:r>
      <w:r>
        <w:rPr>
          <w:rFonts w:ascii="MS PGothic" w:cs="MS PGothic" w:eastAsia="MS PGothic" w:hAnsi="MS PGothic"/>
          <w:sz w:val="16"/>
          <w:szCs w:val="16"/>
          <w:color w:val="auto"/>
        </w:rPr>
        <w:t xml:space="preserve">  ☐</w:t>
      </w:r>
    </w:p>
    <w:p>
      <w:pPr>
        <w:spacing w:after="0" w:line="375" w:lineRule="exact"/>
        <w:rPr>
          <w:sz w:val="24"/>
          <w:szCs w:val="24"/>
          <w:color w:val="auto"/>
        </w:rPr>
      </w:pPr>
    </w:p>
    <w:p>
      <w:pPr>
        <w:ind w:firstLine="445"/>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5" w:lineRule="exact"/>
        <w:rPr>
          <w:sz w:val="24"/>
          <w:szCs w:val="24"/>
          <w:color w:val="auto"/>
        </w:rPr>
      </w:pPr>
    </w:p>
    <w:p>
      <w:pPr>
        <w:ind w:left="460"/>
        <w:spacing w:after="0" w:line="196" w:lineRule="exact"/>
        <w:rPr>
          <w:sz w:val="20"/>
          <w:szCs w:val="20"/>
          <w:color w:val="auto"/>
        </w:rPr>
      </w:pPr>
      <w:r>
        <w:rPr>
          <w:rFonts w:ascii="Times New Roman" w:cs="Times New Roman" w:eastAsia="Times New Roman" w:hAnsi="Times New Roman"/>
          <w:sz w:val="16"/>
          <w:szCs w:val="16"/>
          <w:color w:val="auto"/>
        </w:rPr>
        <w:t xml:space="preserve">Indicate by a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August 5, 2024, 30,206,741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20" w:type="dxa"/>
            <w:vAlign w:val="bottom"/>
            <w:gridSpan w:val="11"/>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THE PENNANT GROUP,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20" w:type="dxa"/>
            <w:vAlign w:val="bottom"/>
            <w:gridSpan w:val="11"/>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920" w:type="dxa"/>
            <w:vAlign w:val="bottom"/>
            <w:gridSpan w:val="12"/>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9"/>
              </w:rPr>
              <w:t>FOR THE THREE AND SIX MONTHS ENDED JUNE 30, 2024</w:t>
            </w: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320" w:type="dxa"/>
            <w:vAlign w:val="bottom"/>
            <w:gridSpan w:val="11"/>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216"/>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80" w:type="dxa"/>
            <w:vAlign w:val="bottom"/>
            <w:gridSpan w:val="2"/>
            <w:vMerge w:val="restart"/>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980" w:type="dxa"/>
            <w:vAlign w:val="bottom"/>
            <w:gridSpan w:val="10"/>
          </w:tcPr>
          <w:p>
            <w:pPr>
              <w:jc w:val="center"/>
              <w:ind w:right="274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0" w:type="dxa"/>
            <w:vAlign w:val="bottom"/>
          </w:tcPr>
          <w:p>
            <w:pPr>
              <w:spacing w:after="0"/>
              <w:rPr>
                <w:sz w:val="1"/>
                <w:szCs w:val="1"/>
                <w:color w:val="auto"/>
              </w:rPr>
            </w:pPr>
          </w:p>
        </w:tc>
      </w:tr>
      <w:tr>
        <w:trPr>
          <w:trHeight w:val="210"/>
        </w:trPr>
        <w:tc>
          <w:tcPr>
            <w:tcW w:w="52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37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240" w:type="dxa"/>
            <w:vAlign w:val="bottom"/>
            <w:tcBorders>
              <w:top w:val="single" w:sz="8" w:color="0000FF"/>
            </w:tcBorders>
            <w:gridSpan w:val="5"/>
          </w:tcPr>
          <w:p>
            <w:pPr>
              <w:spacing w:after="0"/>
              <w:rPr>
                <w:sz w:val="18"/>
                <w:szCs w:val="18"/>
                <w:color w:val="auto"/>
              </w:rPr>
            </w:pPr>
          </w:p>
        </w:tc>
        <w:tc>
          <w:tcPr>
            <w:tcW w:w="27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4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 2023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and six months ended June 30, 2024 and 2023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7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six months ended June 30, 2024 and 2023</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3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4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80" w:type="dxa"/>
            <w:vAlign w:val="bottom"/>
            <w:gridSpan w:val="2"/>
            <w:vMerge w:val="restart"/>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20" w:type="dxa"/>
            <w:vAlign w:val="bottom"/>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2"/>
          </w:tcPr>
          <w:p>
            <w:pPr>
              <w:spacing w:after="0"/>
              <w:rPr>
                <w:sz w:val="21"/>
                <w:szCs w:val="21"/>
                <w:color w:val="auto"/>
              </w:rPr>
            </w:pPr>
          </w:p>
        </w:tc>
        <w:tc>
          <w:tcPr>
            <w:tcW w:w="64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2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80" w:type="dxa"/>
            <w:vAlign w:val="bottom"/>
            <w:gridSpan w:val="2"/>
          </w:tcPr>
          <w:p>
            <w:pPr>
              <w:spacing w:after="0"/>
              <w:rPr>
                <w:sz w:val="20"/>
                <w:szCs w:val="20"/>
                <w:color w:val="auto"/>
              </w:rPr>
            </w:pPr>
          </w:p>
        </w:tc>
        <w:tc>
          <w:tcPr>
            <w:tcW w:w="43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34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0" w:type="dxa"/>
            <w:vAlign w:val="bottom"/>
            <w:tcBorders>
              <w:top w:val="single" w:sz="8" w:color="0000FF"/>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6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980" w:type="dxa"/>
            <w:vAlign w:val="bottom"/>
            <w:gridSpan w:val="10"/>
          </w:tcPr>
          <w:p>
            <w:pPr>
              <w:jc w:val="center"/>
              <w:ind w:right="2740"/>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0" w:type="dxa"/>
            <w:vAlign w:val="bottom"/>
          </w:tcPr>
          <w:p>
            <w:pPr>
              <w:spacing w:after="0"/>
              <w:rPr>
                <w:sz w:val="1"/>
                <w:szCs w:val="1"/>
                <w:color w:val="auto"/>
              </w:rPr>
            </w:pPr>
          </w:p>
        </w:tc>
      </w:tr>
      <w:tr>
        <w:trPr>
          <w:trHeight w:val="257"/>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80" w:type="dxa"/>
            <w:vAlign w:val="bottom"/>
            <w:gridSpan w:val="2"/>
          </w:tcPr>
          <w:p>
            <w:pPr>
              <w:spacing w:after="0"/>
              <w:rPr>
                <w:sz w:val="22"/>
                <w:szCs w:val="22"/>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480" w:type="dxa"/>
            <w:vAlign w:val="bottom"/>
            <w:gridSpan w:val="4"/>
          </w:tcPr>
          <w:p>
            <w:pPr>
              <w:spacing w:after="0"/>
              <w:rPr>
                <w:sz w:val="22"/>
                <w:szCs w:val="22"/>
                <w:color w:val="auto"/>
              </w:rPr>
            </w:pPr>
          </w:p>
        </w:tc>
        <w:tc>
          <w:tcPr>
            <w:tcW w:w="2040" w:type="dxa"/>
            <w:vAlign w:val="bottom"/>
            <w:tcBorders>
              <w:top w:val="single" w:sz="8" w:color="0000FF"/>
            </w:tcBorders>
            <w:gridSpan w:val="3"/>
          </w:tcPr>
          <w:p>
            <w:pPr>
              <w:spacing w:after="0"/>
              <w:rPr>
                <w:sz w:val="22"/>
                <w:szCs w:val="22"/>
                <w:color w:val="auto"/>
              </w:rPr>
            </w:pPr>
          </w:p>
        </w:tc>
        <w:tc>
          <w:tcPr>
            <w:tcW w:w="284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0" w:type="dxa"/>
            <w:vAlign w:val="bottom"/>
          </w:tcPr>
          <w:p>
            <w:pPr>
              <w:spacing w:after="0"/>
              <w:rPr>
                <w:sz w:val="1"/>
                <w:szCs w:val="1"/>
                <w:color w:val="auto"/>
              </w:rPr>
            </w:pPr>
          </w:p>
        </w:tc>
      </w:tr>
      <w:tr>
        <w:trPr>
          <w:trHeight w:val="230"/>
        </w:trPr>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12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7940" w:type="dxa"/>
            <w:vAlign w:val="bottom"/>
            <w:gridSpan w:val="1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1195705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1</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2</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43</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46</w:t>
      </w:r>
    </w:p>
    <w:p>
      <w:pPr>
        <w:sectPr>
          <w:pgSz w:w="11900" w:h="16838" w:orient="portrait"/>
          <w:cols w:equalWidth="0" w:num="2">
            <w:col w:w="10160" w:space="720"/>
            <w:col w:w="180"/>
          </w:cols>
          <w:pgMar w:left="320" w:top="364"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I. </w:t>
      </w:r>
      <w:r>
        <w:rPr>
          <w:rFonts w:ascii="Times New Roman" w:cs="Times New Roman" w:eastAsia="Times New Roman" w:hAnsi="Times New Roman"/>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par value)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r>
      <w:tr>
        <w:trPr>
          <w:trHeight w:val="27"/>
        </w:trPr>
        <w:tc>
          <w:tcPr>
            <w:tcW w:w="7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70"/>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w:t>
            </w:r>
          </w:p>
        </w:tc>
      </w:tr>
      <w:tr>
        <w:trPr>
          <w:trHeight w:val="27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receivable—less allowance for doubtful accounts of $253 and $259, respectively</w:t>
            </w:r>
          </w:p>
        </w:tc>
        <w:tc>
          <w:tcPr>
            <w:tcW w:w="3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61,116</w:t>
            </w:r>
          </w:p>
        </w:tc>
      </w:tr>
      <w:tr>
        <w:trPr>
          <w:trHeight w:val="270"/>
        </w:trPr>
        <w:tc>
          <w:tcPr>
            <w:tcW w:w="7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12,902</w:t>
            </w:r>
          </w:p>
        </w:tc>
      </w:tr>
      <w:tr>
        <w:trPr>
          <w:trHeight w:val="223"/>
        </w:trPr>
        <w:tc>
          <w:tcPr>
            <w:tcW w:w="7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80,077</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28,598</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262,923</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and other assets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91,014</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indefinite-lived intangibles</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67,742</w:t>
            </w:r>
          </w:p>
        </w:tc>
      </w:tr>
      <w:tr>
        <w:trPr>
          <w:trHeight w:val="223"/>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602,467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539,691</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97"/>
        </w:trPr>
        <w:tc>
          <w:tcPr>
            <w:tcW w:w="7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w:t>
            </w:r>
          </w:p>
        </w:tc>
      </w:tr>
      <w:tr>
        <w:trPr>
          <w:trHeight w:val="229"/>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wages and related liabilities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28,256</w:t>
            </w:r>
          </w:p>
        </w:tc>
      </w:tr>
      <w:tr>
        <w:trPr>
          <w:trHeight w:val="23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w:t>
            </w:r>
          </w:p>
        </w:tc>
      </w:tr>
      <w:tr>
        <w:trPr>
          <w:trHeight w:val="230"/>
        </w:trPr>
        <w:tc>
          <w:tcPr>
            <w:tcW w:w="7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15,330</w:t>
            </w:r>
          </w:p>
        </w:tc>
      </w:tr>
      <w:tr>
        <w:trPr>
          <w:trHeight w:val="223"/>
        </w:trPr>
        <w:tc>
          <w:tcPr>
            <w:tcW w:w="7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71,549</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liabilities—less current portion</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248,596</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w:t>
            </w:r>
          </w:p>
        </w:tc>
      </w:tr>
      <w:tr>
        <w:trPr>
          <w:trHeight w:val="230"/>
        </w:trPr>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net</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63,914</w:t>
            </w:r>
          </w:p>
        </w:tc>
      </w:tr>
      <w:tr>
        <w:trPr>
          <w:trHeight w:val="223"/>
        </w:trPr>
        <w:tc>
          <w:tcPr>
            <w:tcW w:w="71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394,176</w:t>
            </w:r>
          </w:p>
        </w:tc>
      </w:tr>
      <w:tr>
        <w:trPr>
          <w:trHeight w:val="21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175"/>
        </w:trPr>
        <w:tc>
          <w:tcPr>
            <w:tcW w:w="71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$0.001 par value; 100,000 shares authorized; 30,493 and 30,150 shares issued</w:t>
            </w:r>
          </w:p>
        </w:tc>
        <w:tc>
          <w:tcPr>
            <w:tcW w:w="3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r>
        <w:trPr>
          <w:trHeight w:val="184"/>
        </w:trPr>
        <w:tc>
          <w:tcPr>
            <w:tcW w:w="71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and outstanding, respectively, at June 30, 2024; and 30,297 and 29,948 shares issued and</w:t>
            </w:r>
          </w:p>
        </w:tc>
        <w:tc>
          <w:tcPr>
            <w:tcW w:w="3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r>
      <w:tr>
        <w:trPr>
          <w:trHeight w:val="234"/>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respectively, at December 31, 2023</w:t>
            </w: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105,712</w:t>
            </w:r>
          </w:p>
        </w:tc>
      </w:tr>
      <w:tr>
        <w:trPr>
          <w:trHeight w:val="23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34,663</w:t>
            </w:r>
          </w:p>
        </w:tc>
      </w:tr>
      <w:tr>
        <w:trPr>
          <w:trHeight w:val="230"/>
        </w:trPr>
        <w:tc>
          <w:tcPr>
            <w:tcW w:w="7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Treasury stock, at cost, 3 shares at June 30, 2024 and December 31, 2023</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7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The Pennant Group, Inc.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140,339</w:t>
            </w:r>
          </w:p>
        </w:tc>
      </w:tr>
      <w:tr>
        <w:trPr>
          <w:trHeight w:val="223"/>
        </w:trPr>
        <w:tc>
          <w:tcPr>
            <w:tcW w:w="71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w:t>
            </w:r>
          </w:p>
        </w:tc>
      </w:tr>
      <w:tr>
        <w:trPr>
          <w:trHeight w:val="223"/>
        </w:trPr>
        <w:tc>
          <w:tcPr>
            <w:tcW w:w="7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145,515</w:t>
            </w:r>
          </w:p>
        </w:tc>
      </w:tr>
      <w:tr>
        <w:trPr>
          <w:trHeight w:val="223"/>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602,467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539,691</w:t>
            </w: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for per-share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258,745</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208,778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Rent—cost of services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(gain) on disposition of property and equipment, net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307,574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248,204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Pennant Group,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29"/>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30,171</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1840" w:type="dxa"/>
            <w:vAlign w:val="bottom"/>
            <w:gridSpan w:val="4"/>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4"/>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780" w:type="dxa"/>
            <w:vAlign w:val="bottom"/>
          </w:tcPr>
          <w:p>
            <w:pPr>
              <w:spacing w:after="0"/>
              <w:rPr>
                <w:sz w:val="10"/>
                <w:szCs w:val="10"/>
                <w:color w:val="auto"/>
              </w:rPr>
            </w:pPr>
          </w:p>
        </w:tc>
        <w:tc>
          <w:tcPr>
            <w:tcW w:w="184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200" w:type="dxa"/>
            <w:vAlign w:val="bottom"/>
          </w:tcPr>
          <w:p>
            <w:pPr>
              <w:spacing w:after="0"/>
              <w:rPr>
                <w:sz w:val="10"/>
                <w:szCs w:val="10"/>
                <w:color w:val="auto"/>
              </w:rPr>
            </w:pPr>
          </w:p>
        </w:tc>
        <w:tc>
          <w:tcPr>
            <w:tcW w:w="1160" w:type="dxa"/>
            <w:vAlign w:val="bottom"/>
            <w:gridSpan w:val="2"/>
            <w:vMerge w:val="restart"/>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8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27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7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145,515</w:t>
            </w: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The Pennant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Noncontrolling interests assumed related</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11,726</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 acquisitions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from the</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issuance of restricted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30,371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107,644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39,569</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center"/>
              <w:ind w:left="3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17,054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164,232</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Net income attributable to The Pennant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5,690</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Group, Inc.</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from the</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issuance of restricted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30,493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110,311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45,259</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center"/>
              <w:ind w:left="3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17,458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172,993</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780" w:type="dxa"/>
            <w:vAlign w:val="bottom"/>
          </w:tcPr>
          <w:p>
            <w:pPr>
              <w:spacing w:after="0"/>
              <w:rPr>
                <w:sz w:val="24"/>
                <w:szCs w:val="24"/>
                <w:color w:val="auto"/>
              </w:rPr>
            </w:pPr>
          </w:p>
        </w:tc>
        <w:tc>
          <w:tcPr>
            <w:tcW w:w="1840" w:type="dxa"/>
            <w:vAlign w:val="bottom"/>
            <w:gridSpan w:val="4"/>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4"/>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780" w:type="dxa"/>
            <w:vAlign w:val="bottom"/>
          </w:tcPr>
          <w:p>
            <w:pPr>
              <w:spacing w:after="0"/>
              <w:rPr>
                <w:sz w:val="10"/>
                <w:szCs w:val="10"/>
                <w:color w:val="auto"/>
              </w:rPr>
            </w:pPr>
          </w:p>
        </w:tc>
        <w:tc>
          <w:tcPr>
            <w:tcW w:w="184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200" w:type="dxa"/>
            <w:vAlign w:val="bottom"/>
          </w:tcPr>
          <w:p>
            <w:pPr>
              <w:spacing w:after="0"/>
              <w:rPr>
                <w:sz w:val="10"/>
                <w:szCs w:val="10"/>
                <w:color w:val="auto"/>
              </w:rPr>
            </w:pPr>
          </w:p>
        </w:tc>
        <w:tc>
          <w:tcPr>
            <w:tcW w:w="1160" w:type="dxa"/>
            <w:vAlign w:val="bottom"/>
            <w:gridSpan w:val="2"/>
            <w:vMerge w:val="restart"/>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8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27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7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125,657</w:t>
            </w: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The Pennant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restricted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129,224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Net loss attributable to The Pennant</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780" w:type="dxa"/>
            <w:vAlign w:val="bottom"/>
            <w:vMerge w:val="continue"/>
          </w:tcPr>
          <w:p>
            <w:pPr>
              <w:spacing w:after="0"/>
              <w:rPr>
                <w:sz w:val="9"/>
                <w:szCs w:val="9"/>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100" w:type="dxa"/>
            <w:vAlign w:val="bottom"/>
          </w:tcPr>
          <w:p>
            <w:pPr>
              <w:spacing w:after="0"/>
              <w:rPr>
                <w:sz w:val="9"/>
                <w:szCs w:val="9"/>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restricted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133,698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0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4,919</w:t>
            </w: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fees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loss on disposition of property and equipment,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operating assets and liabilities, net of acquisitions: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w:t>
            </w: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5,607</w:t>
            </w: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wages and related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w:t>
            </w:r>
          </w:p>
        </w:tc>
      </w:tr>
      <w:tr>
        <w:trPr>
          <w:trHeight w:val="212"/>
        </w:trPr>
        <w:tc>
          <w:tcPr>
            <w:tcW w:w="8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15,533</w:t>
            </w:r>
          </w:p>
        </w:tc>
      </w:tr>
      <w:tr>
        <w:trPr>
          <w:trHeight w:val="19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w:t>
            </w: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payments for business acquisitions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(7,261)</w:t>
            </w: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 for asset acquisitions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Escrow deposits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7"/>
        </w:trPr>
        <w:tc>
          <w:tcPr>
            <w:tcW w:w="80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(33,280)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(11,226)</w:t>
            </w:r>
          </w:p>
        </w:tc>
      </w:tr>
      <w:tr>
        <w:trPr>
          <w:trHeight w:val="19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94,000</w:t>
            </w: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Revolving Credit Facility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(98,000)</w:t>
            </w: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 obligations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upon the exercise of options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07"/>
        </w:trPr>
        <w:tc>
          <w:tcPr>
            <w:tcW w:w="80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(3,548)</w:t>
            </w:r>
          </w:p>
        </w:tc>
      </w:tr>
      <w:tr>
        <w:trPr>
          <w:trHeight w:val="21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beginning of period</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2,079</w:t>
            </w: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3,308</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obligations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vMerge w:val="continue"/>
          </w:tcPr>
          <w:p>
            <w:pPr>
              <w:spacing w:after="0"/>
              <w:rPr>
                <w:sz w:val="14"/>
                <w:szCs w:val="14"/>
                <w:color w:val="auto"/>
              </w:rPr>
            </w:pPr>
          </w:p>
        </w:tc>
        <w:tc>
          <w:tcPr>
            <w:tcW w:w="340" w:type="dxa"/>
            <w:vAlign w:val="bottom"/>
            <w:tcBorders>
              <w:bottom w:val="single" w:sz="8" w:color="auto"/>
            </w:tcBorders>
          </w:tcPr>
          <w:p>
            <w:pPr>
              <w:jc w:val="right"/>
              <w:ind w:right="15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13,822</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7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8,329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investing activity:</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 in accounts payable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 and operational senior living units)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Pennant Group, Inc. (herein referred to as “Pennant,” the “Company,” “it,” or “its”), is a holding company with no direct operating assets, employees or revenue. The Company, through its independent operating subsidiaries, provides healthcare services across the post-acute care continuum. As of June 30, 2024, the Company’s subsidiaries operated 117 home health, hospice and home care agencies and 54 senior living communities located in Arizona, California, Colorado, Idaho, Montana, Nevada, Oklahoma, Oregon, Texas, Utah, Washington, Wisconsin and Wyoming.</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Certain of the Company’s subsidiaries, collectively referred to as the Service Center, provide accounting, payroll, human resources, information technology, legal, risk management, and other services to the operations through contractual relationships. The Service Center also provides certain of these services to unaffiliated third parties under management agreements.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Company’s affiliated operations are operated by separate, independent subsidiaries that have their own management, employees and assets. References herein to the consolidated “Company” and “its” assets and activities are not meant to imply, nor should they be construed as meaning, that Pennant has direct operating assets, employees or revenue, or that any of the subsidiaries are operated by Pennant.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 </w:t>
      </w:r>
      <w:r>
        <w:rPr>
          <w:rFonts w:ascii="Times New Roman" w:cs="Times New Roman" w:eastAsia="Times New Roman" w:hAnsi="Times New Roman"/>
          <w:sz w:val="18"/>
          <w:szCs w:val="18"/>
          <w:color w:val="auto"/>
        </w:rPr>
        <w:t>The accompanying unaudited condensed consolidated financial statements of the Company (the “Interim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reflect the Company’s financial position, results of operations, and cash flows of the business. The Interim Financial Statements have been prepared in accordance with accounting principles generally accepted in the United States (“GAAP”) and pursuant to the regulations of the Securities and Exchange Commission (“SEC”). Management believes that the Interim Financial Statements reflect, in all material respects, all adjustments which are of a normal and recurring nature necessary to present fairly the Company’s financial position, results of operations, and cash flows for the periods presented in conformity with GAAP. The results reported in these Interim Financial Statements are not necessarily indicative of results that may be expected for the entire year.</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is derived from the Company’s annual audited Consolidated Financial Statements for the fiscal year ended December 31, 2023, which should be read in conjunction with these Interim Financial Statements. Certain information in the accompanying footnote disclosures normally included in annual financial statements was condensed or omitted for the interim periods presented in accordance with GAAP.</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significant intercompany transactions and balances between the various legal entities comprising the Company have been eliminated in consolidation. The Company presents noncontrolling interests within the equity section of its Condensed Consolidated Balance Sheets and the amount of consolidated net income that is attributable to the Company and the noncontrolling interest in its Condensed Consolidated Statements of Income.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consists of various limited liability companies and corporations established to operate home health, hospice, home care, and senior living operations. The Interim Financial Statements include the accounts of all entities controlled by the Company through its ownership of a majority voting interest.</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Estimates and Assumptions - </w:t>
      </w:r>
      <w:r>
        <w:rPr>
          <w:rFonts w:ascii="Times New Roman" w:cs="Times New Roman" w:eastAsia="Times New Roman" w:hAnsi="Times New Roman"/>
          <w:sz w:val="18"/>
          <w:szCs w:val="18"/>
          <w:color w:val="auto"/>
        </w:rPr>
        <w:t>The preparation of the Interim Financial Statements in conformity with GAAP requires management to make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and disclosure of contingent assets and liabilities at the date of the Interim Financial Statements and the reported amounts of revenue and expenses during the reporting periods. The most significant estimates in the Interim Financial Statements relate to self-insurance reserves, revenue recognition, and intangible assets and goodwill. Actual results could differ from those estimates.</w:t>
      </w:r>
    </w:p>
    <w:p>
      <w:pPr>
        <w:spacing w:after="0" w:line="21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State relief funding. </w:t>
      </w:r>
      <w:r>
        <w:rPr>
          <w:rFonts w:ascii="Times New Roman" w:cs="Times New Roman" w:eastAsia="Times New Roman" w:hAnsi="Times New Roman"/>
          <w:sz w:val="18"/>
          <w:szCs w:val="18"/>
          <w:color w:val="auto"/>
        </w:rPr>
        <w:t>The Company receives state relief funding through programs from various states, including healthcare relief funding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American Rescue Plan Act (ARPA), and other state specific relief programs. The funding generally incorporates specific use requirements primarily for direct patient care including labor related expenses that are attributable to the COVID-19 pandemic or are associated with providing patient care.</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funds are recognized as a reduction of cost of services expenses when related expenses are incurred. As of June 30, 2024 and December 31, 2023, the Company had $1,162 and $780 in unapplied state relief funds, respectively. The unapplied state relief funds received are recorded in other accrued liabilities. The Company recognized state relief funding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totaling $1,124 and $1,577 for the three and six months ended June 30, 2024, and $1,397 and $2,082 for the three and six months ended June 30, 2023, respectively, which the Company recognized as a reduction of cost of services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for rules and interpretive releases of the Securities and Exchange Commission (SEC) under authority of federal securities laws and a limited number of grandfathered standards, the Financial Accounting Standards Board (“FASB”) ASC is the sole source of authoritative GAAP literature recognized by the FASB and applicable to the Company. For any new pronouncements announced, the Company considers whether the new pronouncements could alter previous generally accepted accounting principles and determines whether any new or modified principles will have a material impact on the Company's reported financial position or operations in the near term. The applicability of any standard is subject to the formal review of the Company's financial management and certain standards are under consideration.</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requires the Company to expand the breadth and frequency of segment disclosures to include additional information about significant segment expenses, the chief operating decision maker and other items, and also requires the annual disclosures on an interim basis. This guidance is effective for annual periods beginning after December 15, 2023, which will be the Company's fiscal year 2024, with early adoption permitted. The Company is currently evaluating the impact of the ASU on its quarterly and annual reports.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the Company to disclose disaggregated jurisdictional and categorical information for the tax rate reconciliation, income taxes paid and other income tax related amounts. This guidance is effective for annual periods beginning after December 15, 2024, which will be the Company's fiscal year 2025, with early adoption permitted. The Company doesn’t expect it to have any material impacts.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TRANSACTIONS WITH ENSIGN</w:t>
      </w:r>
    </w:p>
    <w:p>
      <w:pPr>
        <w:spacing w:after="0" w:line="40"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Pennant completed its separation from The Ensign Group, Inc. (“Ensign”) in 2019. Certain directors who serve on our Board of Directors also serve as directors of Ensign and own shares of Ensign common stock. Pennant and Ensign continue to partner in the provision of services along the healthcare continuum.</w:t>
      </w:r>
    </w:p>
    <w:p>
      <w:pPr>
        <w:spacing w:after="0" w:line="2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costs of $302 and $582 for the three and six months ended June 30, 2024, and $192 and $465 for the three and six months ended June 30, 2023, respectively, that related primarily to shared services at proximate operations.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Expenses related to room and board charges at Ensign skilled nursing facilities for hospice patients were $1,570 and $3,070 for the three and six months ended June 30, 2024, and $1,014 and $1,954 for the three and six months ended June 30, 2023, respectively, and are included in cost of services.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independent operating subsidiaries leased 29 communities from subsidiaries of Ensign under a master lease arrangement as of both June 30, 2024 and June 30, 2023. See further discussion below at Note 13, Leases.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COMMON SHARE</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attributable to stockholders of the Company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12529"/>
        </w:rPr>
        <w:t>The following table sets forth the computation of basic and diluted net income per share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25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0" w:type="dxa"/>
            <w:vAlign w:val="bottom"/>
          </w:tcPr>
          <w:p>
            <w:pPr>
              <w:spacing w:after="0"/>
              <w:rPr>
                <w:sz w:val="20"/>
                <w:szCs w:val="20"/>
                <w:color w:val="auto"/>
              </w:rPr>
            </w:pPr>
          </w:p>
        </w:tc>
        <w:tc>
          <w:tcPr>
            <w:tcW w:w="23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62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The Pennant Group,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r>
      <w:tr>
        <w:trPr>
          <w:trHeight w:val="270"/>
        </w:trPr>
        <w:tc>
          <w:tcPr>
            <w:tcW w:w="6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for basic net income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29,780</w:t>
            </w:r>
          </w:p>
        </w:tc>
      </w:tr>
      <w:tr>
        <w:trPr>
          <w:trHeight w:val="175"/>
        </w:trPr>
        <w:tc>
          <w:tcPr>
            <w:tcW w:w="62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Plus: assumed incremental shares from exercise of options and assumed conversion</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6260" w:type="dxa"/>
            <w:vAlign w:val="bottom"/>
            <w:tcBorders>
              <w:bottom w:val="single" w:sz="8" w:color="CCEEFF"/>
            </w:tcBorders>
          </w:tcPr>
          <w:p>
            <w:pPr>
              <w:ind w:left="140"/>
              <w:spacing w:after="0" w:line="243" w:lineRule="exact"/>
              <w:rPr>
                <w:sz w:val="20"/>
                <w:szCs w:val="20"/>
                <w:color w:val="auto"/>
              </w:rPr>
            </w:pPr>
            <w:r>
              <w:rPr>
                <w:rFonts w:ascii="Times New Roman" w:cs="Times New Roman" w:eastAsia="Times New Roman" w:hAnsi="Times New Roman"/>
                <w:sz w:val="18"/>
                <w:szCs w:val="18"/>
                <w:color w:val="auto"/>
              </w:rPr>
              <w:t>or vesting of restricted stock</w:t>
            </w:r>
            <w:r>
              <w:rPr>
                <w:rFonts w:ascii="Times New Roman" w:cs="Times New Roman" w:eastAsia="Times New Roman" w:hAnsi="Times New Roman"/>
                <w:sz w:val="23"/>
                <w:szCs w:val="23"/>
                <w:color w:val="auto"/>
                <w:vertAlign w:val="superscript"/>
              </w:rPr>
              <w:t>(a)</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155"/>
        </w:trPr>
        <w:tc>
          <w:tcPr>
            <w:tcW w:w="6260" w:type="dxa"/>
            <w:vAlign w:val="bottom"/>
            <w:shd w:val="clear" w:color="auto" w:fill="CCEEFF"/>
          </w:tcPr>
          <w:p>
            <w:pPr>
              <w:ind w:left="460"/>
              <w:spacing w:after="0" w:line="156" w:lineRule="exact"/>
              <w:rPr>
                <w:sz w:val="20"/>
                <w:szCs w:val="20"/>
                <w:color w:val="auto"/>
              </w:rPr>
            </w:pPr>
            <w:r>
              <w:rPr>
                <w:rFonts w:ascii="Times New Roman" w:cs="Times New Roman" w:eastAsia="Times New Roman" w:hAnsi="Times New Roman"/>
                <w:sz w:val="18"/>
                <w:szCs w:val="18"/>
                <w:color w:val="auto"/>
              </w:rPr>
              <w:t>Adjusted weighted average common shares outstanding for diluted income per</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43"/>
        </w:trPr>
        <w:tc>
          <w:tcPr>
            <w:tcW w:w="6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share</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30,171</w:t>
            </w:r>
          </w:p>
        </w:tc>
      </w:tr>
      <w:tr>
        <w:trPr>
          <w:trHeight w:val="270"/>
        </w:trPr>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2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bl>
    <w:p>
      <w:pPr>
        <w:spacing w:after="0" w:line="126" w:lineRule="exact"/>
        <w:rPr>
          <w:sz w:val="20"/>
          <w:szCs w:val="20"/>
          <w:color w:val="auto"/>
        </w:rPr>
      </w:pPr>
    </w:p>
    <w:p>
      <w:pPr>
        <w:ind w:left="480" w:right="20" w:hanging="454"/>
        <w:spacing w:after="0" w:line="282" w:lineRule="auto"/>
        <w:tabs>
          <w:tab w:leader="none" w:pos="48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diluted per share amounts do not reflect common share equivalents outstanding of 1,375 and 1,788 for the three and six months ended June 30, 2024, and 2,312 and 2,158 for the three and six months ended June 30, 2023, respectively, because of their anti-dilutive effect.</w:t>
      </w:r>
    </w:p>
    <w:p>
      <w:pPr>
        <w:spacing w:after="0" w:line="135"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ACCOUNTS RECEIVABLE</w:t>
      </w:r>
    </w:p>
    <w:p>
      <w:pPr>
        <w:spacing w:after="0" w:line="6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is recognized when services are provided to the patients at the amount that reflects the consideration to which the Company expects to be entitled from patients and third-party payors, including Medicare, Medicaid, and managed care programs (Commercial, Medicare Advantage and Managed Medicaid plans). The healthcare services in home health and hospice patient contracts include routine services in exchange for a contractual agreed-upon amount or rate.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recognized from healthcare services is adjusted for estimates of variable consideration to arrive at the transaction price. The Company determines the transaction price based on contractually agreed-upon amounts or rates,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revenue from these governmental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disaggregates revenue from contracts with its patients by reportable operating segments and payors. The Company has determined that disaggregating revenue into these categories achieves the disclosure objectives to depict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service specific revenue recognition policies are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Health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Medicare Revenue</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service revenue is recognized in accordance with the Patient Driven Groupings Model (“PDGM”).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payment period; (f) changes in the base payments established by the Medicare program; (g) adjustments to the base payments for case mix and geographic wages; and (h) recoveries of overpayments.</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revenue recognized on completed episodes and periods, the Company also recognizes a portion of revenue associated with episodes and periods in progress. Episodes in progress are 30-day payment periods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Non-Medicare Revenue</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Episodic Based Revenue - </w:t>
      </w:r>
      <w:r>
        <w:rPr>
          <w:rFonts w:ascii="Times New Roman" w:cs="Times New Roman" w:eastAsia="Times New Roman" w:hAnsi="Times New Roman"/>
          <w:sz w:val="18"/>
          <w:szCs w:val="18"/>
          <w:color w:val="auto"/>
        </w:rPr>
        <w:t>The Company recognizes revenue in a similar manner as it recognizes Medicare revenue for episodic-based rates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paid by other insurance carriers, including carriers administering Medicare Advantage programs. These rates can vary based upon the negotiated terms.</w:t>
      </w:r>
    </w:p>
    <w:p>
      <w:pPr>
        <w:spacing w:after="0" w:line="18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Non-episodic Based Revenue - </w:t>
      </w:r>
      <w:r>
        <w:rPr>
          <w:rFonts w:ascii="Times New Roman" w:cs="Times New Roman" w:eastAsia="Times New Roman" w:hAnsi="Times New Roman"/>
          <w:sz w:val="18"/>
          <w:szCs w:val="18"/>
          <w:color w:val="auto"/>
        </w:rPr>
        <w:t>Revenue is recognized on an accrual basis based upon the date of service at amounts equal to its established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per visit rates, as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Hospice Revenue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the payor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Living Revenue</w:t>
      </w:r>
    </w:p>
    <w:p>
      <w:pPr>
        <w:spacing w:after="0" w:line="25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has elected the lessor practical expedient within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therefore recognizes, measures, presents, and discloses the revenue for services rendered under the Company’s senior living residency agreements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for its senior residency agreements, for which it has determined that the non-lease components of such residency agreements are the predominant component of each such contract.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senior living revenue consists of fees for basic housing and assisted living care. Accordingly, the Company records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Payor</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payor for the three months ended June 30, 2024 and 2023, is summarized in the following tables: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8"/>
          </w:tcPr>
          <w:p>
            <w:pPr>
              <w:ind w:left="118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Home Health</w:t>
            </w:r>
          </w:p>
        </w:tc>
        <w:tc>
          <w:tcPr>
            <w:tcW w:w="16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Hospice Services</w:t>
            </w:r>
          </w:p>
        </w:tc>
        <w:tc>
          <w:tcPr>
            <w:tcW w:w="200" w:type="dxa"/>
            <w:vAlign w:val="bottom"/>
          </w:tcPr>
          <w:p>
            <w:pPr>
              <w:spacing w:after="0"/>
              <w:rPr>
                <w:sz w:val="14"/>
                <w:szCs w:val="14"/>
                <w:color w:val="auto"/>
              </w:rPr>
            </w:pPr>
          </w:p>
        </w:tc>
        <w:tc>
          <w:tcPr>
            <w:tcW w:w="158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Revenue %</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60" w:type="dxa"/>
            <w:vAlign w:val="bottom"/>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00" w:type="dxa"/>
            <w:vAlign w:val="bottom"/>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30,389</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51,491</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81,880</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26,462</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2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108,342</w:t>
            </w:r>
          </w:p>
        </w:tc>
        <w:tc>
          <w:tcPr>
            <w:tcW w:w="12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21,349</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and other</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39,054</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168,745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80" w:hanging="454"/>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and other payors in the Company’s home health services includes revenue from all payors generated in the Company’s home care operations and management services agreement.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8"/>
          </w:tcPr>
          <w:p>
            <w:pPr>
              <w:ind w:left="116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Home Health</w:t>
            </w:r>
          </w:p>
        </w:tc>
        <w:tc>
          <w:tcPr>
            <w:tcW w:w="160" w:type="dxa"/>
            <w:vAlign w:val="bottom"/>
          </w:tcPr>
          <w:p>
            <w:pPr>
              <w:spacing w:after="0"/>
              <w:rPr>
                <w:sz w:val="15"/>
                <w:szCs w:val="15"/>
                <w:color w:val="auto"/>
              </w:rPr>
            </w:pP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Hospice Services</w:t>
            </w:r>
          </w:p>
        </w:tc>
        <w:tc>
          <w:tcPr>
            <w:tcW w:w="200" w:type="dxa"/>
            <w:vAlign w:val="bottom"/>
          </w:tcPr>
          <w:p>
            <w:pPr>
              <w:spacing w:after="0"/>
              <w:rPr>
                <w:sz w:val="15"/>
                <w:szCs w:val="15"/>
                <w:color w:val="auto"/>
              </w:rPr>
            </w:pPr>
          </w:p>
        </w:tc>
        <w:tc>
          <w:tcPr>
            <w:tcW w:w="156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Senior Living</w:t>
            </w:r>
          </w:p>
        </w:tc>
        <w:tc>
          <w:tcPr>
            <w:tcW w:w="200" w:type="dxa"/>
            <w:vAlign w:val="bottom"/>
          </w:tcPr>
          <w:p>
            <w:pPr>
              <w:spacing w:after="0"/>
              <w:rPr>
                <w:sz w:val="15"/>
                <w:szCs w:val="15"/>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Revenue %</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6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40,294</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64,214</w:t>
            </w:r>
          </w:p>
        </w:tc>
        <w:tc>
          <w:tcPr>
            <w:tcW w:w="10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18,931</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2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83,145</w:t>
            </w:r>
          </w:p>
        </w:tc>
        <w:tc>
          <w:tcPr>
            <w:tcW w:w="10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and other</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31,882</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48"/>
        </w:trPr>
        <w:tc>
          <w:tcPr>
            <w:tcW w:w="2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132,281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80" w:hanging="454"/>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and other payors in the Company’s home health services includes revenue from all payors generated in the Company’s home care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payor for the six months ended June 30, 2024 and 2023, is summarized in the following tables: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gridSpan w:val="8"/>
          </w:tcPr>
          <w:p>
            <w:pPr>
              <w:ind w:left="130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Home Health</w:t>
            </w:r>
          </w:p>
        </w:tc>
        <w:tc>
          <w:tcPr>
            <w:tcW w:w="140" w:type="dxa"/>
            <w:vAlign w:val="bottom"/>
          </w:tcPr>
          <w:p>
            <w:pPr>
              <w:spacing w:after="0"/>
              <w:rPr>
                <w:sz w:val="14"/>
                <w:szCs w:val="14"/>
                <w:color w:val="auto"/>
              </w:rPr>
            </w:pP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Hospice Services</w:t>
            </w:r>
          </w:p>
        </w:tc>
        <w:tc>
          <w:tcPr>
            <w:tcW w:w="200" w:type="dxa"/>
            <w:vAlign w:val="bottom"/>
          </w:tcPr>
          <w:p>
            <w:pPr>
              <w:spacing w:after="0"/>
              <w:rPr>
                <w:sz w:val="14"/>
                <w:szCs w:val="14"/>
                <w:color w:val="auto"/>
              </w:rPr>
            </w:pPr>
          </w:p>
        </w:tc>
        <w:tc>
          <w:tcPr>
            <w:tcW w:w="158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Revenue %</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4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00" w:type="dxa"/>
            <w:vAlign w:val="bottom"/>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60,231</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98,630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158,861</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51,528</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2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210,389</w:t>
            </w:r>
          </w:p>
        </w:tc>
        <w:tc>
          <w:tcPr>
            <w:tcW w:w="12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care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41,471</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9"/>
        </w:trPr>
        <w:tc>
          <w:tcPr>
            <w:tcW w:w="23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and other</w:t>
            </w:r>
            <w:r>
              <w:rPr>
                <w:rFonts w:ascii="Times New Roman" w:cs="Times New Roman" w:eastAsia="Times New Roman" w:hAnsi="Times New Roman"/>
                <w:sz w:val="23"/>
                <w:szCs w:val="23"/>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73,800</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48"/>
        </w:trPr>
        <w:tc>
          <w:tcPr>
            <w:tcW w:w="2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325,660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80" w:hanging="454"/>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and other payors in the Company’s home health services includes revenue from all payors generated in the Company’s home care operations and management services agreement.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8"/>
          </w:tcPr>
          <w:p>
            <w:pPr>
              <w:ind w:left="128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Home Health</w:t>
            </w:r>
          </w:p>
        </w:tc>
        <w:tc>
          <w:tcPr>
            <w:tcW w:w="160" w:type="dxa"/>
            <w:vAlign w:val="bottom"/>
          </w:tcPr>
          <w:p>
            <w:pPr>
              <w:spacing w:after="0"/>
              <w:rPr>
                <w:sz w:val="15"/>
                <w:szCs w:val="15"/>
                <w:color w:val="auto"/>
              </w:rPr>
            </w:pP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Hospice Services</w:t>
            </w:r>
          </w:p>
        </w:tc>
        <w:tc>
          <w:tcPr>
            <w:tcW w:w="200" w:type="dxa"/>
            <w:vAlign w:val="bottom"/>
          </w:tcPr>
          <w:p>
            <w:pPr>
              <w:spacing w:after="0"/>
              <w:rPr>
                <w:sz w:val="15"/>
                <w:szCs w:val="15"/>
                <w:color w:val="auto"/>
              </w:rPr>
            </w:pPr>
          </w:p>
        </w:tc>
        <w:tc>
          <w:tcPr>
            <w:tcW w:w="156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Senior Living</w:t>
            </w:r>
          </w:p>
        </w:tc>
        <w:tc>
          <w:tcPr>
            <w:tcW w:w="200" w:type="dxa"/>
            <w:vAlign w:val="bottom"/>
          </w:tcPr>
          <w:p>
            <w:pPr>
              <w:spacing w:after="0"/>
              <w:rPr>
                <w:sz w:val="15"/>
                <w:szCs w:val="15"/>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Revenue %</w:t>
            </w: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6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77,674</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124,970</w:t>
            </w:r>
          </w:p>
        </w:tc>
        <w:tc>
          <w:tcPr>
            <w:tcW w:w="10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36,562</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2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161,532</w:t>
            </w:r>
          </w:p>
        </w:tc>
        <w:tc>
          <w:tcPr>
            <w:tcW w:w="10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and other</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62,833</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48"/>
        </w:trPr>
        <w:tc>
          <w:tcPr>
            <w:tcW w:w="2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258,745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80" w:hanging="454"/>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and other payors in the Company’s home health services includes revenue from all payors generated in the Company’s home care operations.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Impact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Included in the Company’s Condensed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receivable, net as of June 30, 2024 and December 31, 2023 is summarized in the following table: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780" w:type="dxa"/>
            <w:vAlign w:val="bottom"/>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35,665</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care</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11,752</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 and other</w:t>
            </w:r>
          </w:p>
        </w:tc>
        <w:tc>
          <w:tcPr>
            <w:tcW w:w="1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23"/>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61,375</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48"/>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780" w:type="dxa"/>
            <w:vAlign w:val="bottom"/>
            <w:tcBorders>
              <w:bottom w:val="single" w:sz="8" w:color="auto"/>
            </w:tcBorders>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61,116</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 Credit Risk</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significant accounts receivable balances, the collectability of which is dependent on the availability of funds from certain governmental programs, primarily Medicare and Medicaid. These receivables represent the only significant concentration of credit risk for the Company. The Company does not believe there are significant credit risks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76.2% and 77.0% of its total gross accounts receivable as of June 30, 2024 and December 31, 2023, respectively. Combined revenue from reimbursement under the Medicare and Medicaid programs accounted for 64.2% and 64.6% of the Company’s revenue for the three and six months ended June 30, 2024, and 62.8% and 62.4% of the Company’s revenue for the three and six months ended June 30, 2023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 and Exemptions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340, </w:t>
      </w:r>
      <w:r>
        <w:rPr>
          <w:rFonts w:ascii="Times New Roman" w:cs="Times New Roman" w:eastAsia="Times New Roman" w:hAnsi="Times New Roman"/>
          <w:sz w:val="18"/>
          <w:szCs w:val="18"/>
          <w:i w:val="1"/>
          <w:iCs w:val="1"/>
          <w:color w:val="auto"/>
        </w:rPr>
        <w:t>Other Assets and Deferred Costs</w:t>
      </w:r>
      <w:r>
        <w:rPr>
          <w:rFonts w:ascii="Times New Roman" w:cs="Times New Roman" w:eastAsia="Times New Roman" w:hAnsi="Times New Roman"/>
          <w:sz w:val="18"/>
          <w:szCs w:val="18"/>
          <w:color w:val="auto"/>
        </w:rPr>
        <w:t>, and all incremental customer contract acquisition costs are expensed as they are incurred because the amortization period would have been one year or less.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BUSINESS SEGMENTS</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classifies its operations into the following reportable operating segments: (1) home health and hospice services, which includes the Company’s home health, hospice and home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The Company’s Chief Executive Officer, who is the Company’s Chief Operating Decision Maker (“CODM”), reviews financial information at the operating segment level. The Company also reports an “all other” category that includes general and administrative expense from the Company’s Service Center.</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the Company provided services through 117 affiliated home health, hospice and home care agencies, and 54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Company does not review assets by segment and therefore assets by segment are not disclosed below.</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CODM uses Segment Adjusted EBITDAR from Operations as the primary measure of profit and loss for the Company's reportable segments and to compare the performance of its operations with those of its competitors. 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and credit allowances, (4) the costs associated with transitioning operations, (5) unusual, non-recurring or redundant charges, and (6) net income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certain financial information regarding the Company’s reportable segments, general and administrative expenses are not allocated to the reportable segments and are included in “All Other” for the three and six months ended June 30, 2024 and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Home Health and</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Senior Living</w:t>
            </w:r>
          </w:p>
        </w:tc>
        <w:tc>
          <w:tcPr>
            <w:tcW w:w="240" w:type="dxa"/>
            <w:vAlign w:val="bottom"/>
          </w:tcPr>
          <w:p>
            <w:pPr>
              <w:spacing w:after="0"/>
              <w:rPr>
                <w:sz w:val="17"/>
                <w:szCs w:val="17"/>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34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Hospice Services</w:t>
            </w:r>
          </w:p>
        </w:tc>
        <w:tc>
          <w:tcPr>
            <w:tcW w:w="18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168,745</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23,472</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132,281</w:t>
            </w:r>
          </w:p>
        </w:tc>
        <w:tc>
          <w:tcPr>
            <w:tcW w:w="0" w:type="dxa"/>
            <w:vAlign w:val="bottom"/>
          </w:tcPr>
          <w:p>
            <w:pPr>
              <w:spacing w:after="0"/>
              <w:rPr>
                <w:sz w:val="1"/>
                <w:szCs w:val="1"/>
                <w:color w:val="auto"/>
              </w:rPr>
            </w:pP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0" w:type="dxa"/>
            <w:vAlign w:val="bottom"/>
          </w:tcPr>
          <w:p>
            <w:pPr>
              <w:spacing w:after="0"/>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Home Health and</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Senior Living</w:t>
            </w:r>
          </w:p>
        </w:tc>
        <w:tc>
          <w:tcPr>
            <w:tcW w:w="240" w:type="dxa"/>
            <w:vAlign w:val="bottom"/>
          </w:tcPr>
          <w:p>
            <w:pPr>
              <w:spacing w:after="0"/>
              <w:rPr>
                <w:sz w:val="17"/>
                <w:szCs w:val="17"/>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34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Hospice Services</w:t>
            </w:r>
          </w:p>
        </w:tc>
        <w:tc>
          <w:tcPr>
            <w:tcW w:w="18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325,660</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44,872</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258,745</w:t>
            </w:r>
          </w:p>
        </w:tc>
        <w:tc>
          <w:tcPr>
            <w:tcW w:w="0" w:type="dxa"/>
            <w:vAlign w:val="bottom"/>
          </w:tcPr>
          <w:p>
            <w:pPr>
              <w:spacing w:after="0"/>
              <w:rPr>
                <w:sz w:val="1"/>
                <w:szCs w:val="1"/>
                <w:color w:val="auto"/>
              </w:rPr>
            </w:pP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21,921</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(15,399)</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36,615</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Segment Adjusted EBITDAR from Operations to Condensed Consolidated Income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42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9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36,615</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r>
      <w:tr>
        <w:trPr>
          <w:trHeight w:val="230"/>
        </w:trPr>
        <w:tc>
          <w:tcPr>
            <w:tcW w:w="5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Rent—cost of services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19,433</w:t>
            </w:r>
          </w:p>
        </w:tc>
      </w:tr>
      <w:tr>
        <w:trPr>
          <w:trHeight w:val="229"/>
        </w:trPr>
        <w:tc>
          <w:tcPr>
            <w:tcW w:w="5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Segment EBITDAR from Operations: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Costs at start-up operations</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594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Share-based compensation expense and related taxes</w:t>
            </w:r>
            <w:r>
              <w:rPr>
                <w:rFonts w:ascii="Times New Roman" w:cs="Times New Roman" w:eastAsia="Times New Roman" w:hAnsi="Times New Roman"/>
                <w:sz w:val="23"/>
                <w:szCs w:val="23"/>
                <w:color w:val="auto"/>
                <w:vertAlign w:val="superscript"/>
              </w:rPr>
              <w:t>(b)</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r>
      <w:tr>
        <w:trPr>
          <w:trHeight w:val="229"/>
        </w:trPr>
        <w:tc>
          <w:tcPr>
            <w:tcW w:w="594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Acquisition related costs and credit allowances</w:t>
            </w:r>
            <w:r>
              <w:rPr>
                <w:rFonts w:ascii="Times New Roman" w:cs="Times New Roman" w:eastAsia="Times New Roman" w:hAnsi="Times New Roman"/>
                <w:sz w:val="23"/>
                <w:szCs w:val="23"/>
                <w:color w:val="auto"/>
                <w:vertAlign w:val="superscript"/>
              </w:rPr>
              <w:t>(c)</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594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Costs associated with transitioning operations</w:t>
            </w:r>
            <w:r>
              <w:rPr>
                <w:rFonts w:ascii="Times New Roman" w:cs="Times New Roman" w:eastAsia="Times New Roman" w:hAnsi="Times New Roman"/>
                <w:sz w:val="23"/>
                <w:szCs w:val="23"/>
                <w:color w:val="auto"/>
                <w:vertAlign w:val="superscript"/>
              </w:rPr>
              <w:t>(d)</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594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Unusual, non-recurring or redundant charges</w:t>
            </w:r>
            <w:r>
              <w:rPr>
                <w:rFonts w:ascii="Times New Roman" w:cs="Times New Roman" w:eastAsia="Times New Roman" w:hAnsi="Times New Roman"/>
                <w:sz w:val="23"/>
                <w:szCs w:val="23"/>
                <w:color w:val="auto"/>
                <w:vertAlign w:val="superscript"/>
              </w:rPr>
              <w:t>(e)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3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Condensed Consolidated Income from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480" w:hanging="454"/>
        <w:spacing w:after="0"/>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results related to start-up operations. This amount excludes rent and depreciation and amortization expense related to such operations.</w:t>
      </w:r>
    </w:p>
    <w:p>
      <w:pPr>
        <w:spacing w:after="0" w:line="68" w:lineRule="exact"/>
        <w:rPr>
          <w:rFonts w:ascii="Times New Roman" w:cs="Times New Roman" w:eastAsia="Times New Roman" w:hAnsi="Times New Roman"/>
          <w:sz w:val="14"/>
          <w:szCs w:val="14"/>
          <w:color w:val="auto"/>
        </w:rPr>
      </w:pPr>
    </w:p>
    <w:p>
      <w:pPr>
        <w:ind w:left="480" w:right="340" w:hanging="454"/>
        <w:spacing w:after="0" w:line="291" w:lineRule="auto"/>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 and related payroll taxes incurred. Share-based compensation expense and related payroll taxes are included in cost of services and general and administrative expense.</w:t>
      </w:r>
    </w:p>
    <w:p>
      <w:pPr>
        <w:spacing w:after="0" w:line="14"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Non-capitalizable costs associated with acquisitions, credit allowances, and write offs for amounts in dispute with the prior owners of certain acquired operations.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67" w:lineRule="exact"/>
        <w:rPr>
          <w:sz w:val="20"/>
          <w:szCs w:val="20"/>
          <w:color w:val="auto"/>
        </w:rPr>
      </w:pPr>
    </w:p>
    <w:p>
      <w:pPr>
        <w:jc w:val="both"/>
        <w:ind w:left="480" w:right="340" w:hanging="454"/>
        <w:spacing w:after="0" w:line="275" w:lineRule="auto"/>
        <w:tabs>
          <w:tab w:leader="none" w:pos="4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2023, an affiliate of the Company placed its memory care units into transition and began seeking to sublease the units to an unrelated third party. The amount above represents the net operating impact attributable to the units in transition. The amounts reported exclude rent and depreciation and amortization expense related to such operations and include legal settlement costs associated with one of the entities transitioned to Ensign.</w:t>
      </w:r>
    </w:p>
    <w:p>
      <w:pPr>
        <w:spacing w:after="0" w:line="13" w:lineRule="exact"/>
        <w:rPr>
          <w:rFonts w:ascii="Times New Roman" w:cs="Times New Roman" w:eastAsia="Times New Roman" w:hAnsi="Times New Roman"/>
          <w:sz w:val="14"/>
          <w:szCs w:val="14"/>
          <w:color w:val="auto"/>
        </w:rPr>
      </w:pPr>
    </w:p>
    <w:p>
      <w:pPr>
        <w:ind w:left="480" w:right="340" w:hanging="454"/>
        <w:spacing w:after="0" w:line="271" w:lineRule="auto"/>
        <w:tabs>
          <w:tab w:leader="none" w:pos="4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unusual or non-recurring charges for legal services, implementation costs, integration costs, and consulting fees in general and administrative and cost of services expenses.</w:t>
      </w:r>
    </w:p>
    <w:p>
      <w:pPr>
        <w:spacing w:after="0" w:line="200" w:lineRule="exact"/>
        <w:rPr>
          <w:rFonts w:ascii="Times New Roman" w:cs="Times New Roman" w:eastAsia="Times New Roman" w:hAnsi="Times New Roman"/>
          <w:sz w:val="14"/>
          <w:szCs w:val="14"/>
          <w:color w:val="auto"/>
        </w:rPr>
      </w:pPr>
    </w:p>
    <w:p>
      <w:pPr>
        <w:spacing w:after="0" w:line="388"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focused on acquiring operations that are complementary to the Company’s current businesses, accretive to the Company’s business or otherwise advance the Company’s strategy. The results of all the Company’s independent operating subsidiaries are included in the Interim Financial Statements subsequent to the date of acquisition. Acquisitions are accounted for using the acquisition method of accounting.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the Company expanded its operations with the addition of four home health agencies, two hospice agencies, and three senior living communities. The Company also acquired the real estate of two of three senior living communities. The aggregate purchase price of the real estate of the two senior living communities acquired was $10,380 which consisted primarily of land and building. In connection with the third senior living community, the Company entered into a new long-term “triple-net” lease. A subsidiary of the Company entered into a separate operations transfer agreement with the prior operator of each acquired operation as part of each transaction. These new communities included 261 operational senior living units to be operated by the Company's independent operating subsidiaries.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1, 2024, the Company announced it closed on a joint venture for a home health agency with John Muir Health (“Muir”), a leading nonprofit integrated health system serving communities throughout the east bay region of San Francisco, California. The transaction combines certain assets and the operations of Muir’s home health business and the assets and operations of a local Pennant-affiliated home health agency. The joint venture is majority-owned and managed by an independent operating subsidiary of the Company and provides home health services to patients throughout the San Francisco east bay region. Along with the assets contributed by a local Pennant-affiliated home health agency, the Company paid Muir $11,680 for a majority interest in the joint venture.</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fair value of assets for the joint venture acquired was mostly concentrated in goodwill and intangible assets and as such, this transaction was classified as a business combination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fair value of assets acquired for the business combination was $28,406, which preliminarily consisted of goodwill of $19,473, indefinite-lived intangible assets of $8,800 related to a Medicare and Medicaid license, and equipment of $133. The Company acquired a 60.0% ownership interest in the joint venture. The contributions of assets by Muir to the joint venture, resulted in the Company recording a noncontrolling interest with a fair value of $11,726. The Company anticipates that the total goodwill recognized will be fully deductible for tax purposes.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 of assets for one home health agency and one hospice agency acquired were mostly concentrated in goodwill and intangible assets. This transaction was classified as a business combination in accordance with ASC Topic 805, Business Combinations (“ASC 805”). The purchase price for the business combination was $5,000, which preliminarily consisted of goodwill of $3,267, indefinite-lived intangible assets of $1,600 related to Medicare and Medicaid licenses, and equipment and other assets of $133. The Company anticipates that the total goodwill recognized will be fully deductible for tax purposes.</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One hospice and two home health agencies acquired were Medicare licenses and are considered asset acquisitions. The fair value of the licenses acquired was $1,000 and was recorded in other indefinite-lived intangibles.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material acquisition costs that were expensed related to the business combinations during the six months ended June 30,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the Company expanded its operations with the addition of three home health agencies, one hospice agency, two home care agencies, and two senior living communities. In connection with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 of the two senior living communities, the Company entered into a new long-term “triple-net” lease. A subsidiary of the Company entered into a separate operations transfer agreement with the prior operator of each acquired operation as part of each transaction.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 of assets for two home health agencies , two home care agencies, and one hospice agency acquired were mostly concentrated in goodwill and intangible assets and as such, these transactions were classified as business combinations in accordance with ASC Topic 805, Business Combinations (“ASC 805”). The purchase price for the business combinations was $7,261, which consisted of equipment and other assets of $1,027, goodwill of $4,117, and indefinite-lived intangible assets of $2,012 related to Medicare and Medicaid licenses, and other intangible assets of $186 less assumed liabilities of $81. The Company anticipates that the total goodwill recognized will be fully deductible for tax purposes.</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One home health agency acquired was a Medicare license and is considered an asset acquisition. The fair value of the home health license acquired was $210 and was allocated to indefinite-lived intangible assets.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material acquisition costs that were expensed related to the business combinations during the six months ended June 30,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1, 2024, the Company closed on the acquisition of certain affiliates of Signature Healthcare at Home (“Signature”) located in Washington and Idaho for an aggregate purchase price of $32,000. The acquisition will add to the Company’s existing strength in the region while building out its operational footprint. We are currently in the process of finalizing our accounting for this transaction and expect to complete our preliminary allocation of the purchase consideration in a subsequent quarter.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an agreement to purchase additional Signature assets located in Oregon which is anticipated to close January 1, 2025. The final purchase price is subject to certain adjustments based on potential changes in the business between the signing and closing of the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EQUIPMENT—NET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99"/>
        </w:trPr>
        <w:tc>
          <w:tcPr>
            <w:tcW w:w="7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21,204</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29,247</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23"/>
        </w:trPr>
        <w:tc>
          <w:tcPr>
            <w:tcW w:w="7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53,675</w:t>
            </w:r>
          </w:p>
        </w:tc>
      </w:tr>
      <w:tr>
        <w:trPr>
          <w:trHeight w:val="230"/>
        </w:trPr>
        <w:tc>
          <w:tcPr>
            <w:tcW w:w="7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(25,077)</w:t>
            </w:r>
          </w:p>
        </w:tc>
      </w:tr>
      <w:tr>
        <w:trPr>
          <w:trHeight w:val="248"/>
        </w:trPr>
        <w:tc>
          <w:tcPr>
            <w:tcW w:w="7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$1,468 and $2,799 for the three and six months ended June 30, 2024, respectively, and $1,211 and $2,486 for the three and six months ended June 30, 2023 respectively.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certain assets at fair value on a non-recurring basis, including long-lived assets, which are evaluated for impairment. Long-lived assets include assets such as property and equipment, operating lease assets and certain intangible assets. The inputs used to determine the fair value of long-lived assets in the impairment analysis are considered Level 3 measurements due to their subjective nature. Management has evaluated its long-lived assets and determined there was no impairment recorded during the three and six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OTHER INDEFINITE-LIVED INTANGIBLE ASSETS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activity in goodwill by segment for the six months ended June 30, 2024: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Home Health and</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Senior Living Services</w:t>
            </w:r>
          </w:p>
        </w:tc>
        <w:tc>
          <w:tcPr>
            <w:tcW w:w="160" w:type="dxa"/>
            <w:vAlign w:val="bottom"/>
          </w:tcPr>
          <w:p>
            <w:pPr>
              <w:spacing w:after="0"/>
              <w:rPr>
                <w:sz w:val="17"/>
                <w:szCs w:val="17"/>
                <w:color w:val="auto"/>
              </w:rPr>
            </w:pPr>
          </w:p>
        </w:tc>
        <w:tc>
          <w:tcPr>
            <w:tcW w:w="176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5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Hospice Services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0" w:type="dxa"/>
            <w:vAlign w:val="bottom"/>
            <w:gridSpan w:val="4"/>
            <w:vMerge w:val="continue"/>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87,372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91,014</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106,845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110,487</w:t>
            </w:r>
          </w:p>
        </w:tc>
        <w:tc>
          <w:tcPr>
            <w:tcW w:w="0" w:type="dxa"/>
            <w:vAlign w:val="bottom"/>
          </w:tcPr>
          <w:p>
            <w:pPr>
              <w:spacing w:after="0"/>
              <w:rPr>
                <w:sz w:val="1"/>
                <w:szCs w:val="1"/>
                <w:color w:val="auto"/>
              </w:rPr>
            </w:pPr>
          </w:p>
        </w:tc>
      </w:tr>
      <w:tr>
        <w:trPr>
          <w:trHeight w:val="21"/>
        </w:trPr>
        <w:tc>
          <w:tcPr>
            <w:tcW w:w="53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Other indefinite-lived intangible assets consist of the following:</w:t>
            </w: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Medicare and Medicaid licenses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76,157</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66,357</w:t>
            </w:r>
          </w:p>
        </w:tc>
        <w:tc>
          <w:tcPr>
            <w:tcW w:w="0" w:type="dxa"/>
            <w:vAlign w:val="bottom"/>
          </w:tcPr>
          <w:p>
            <w:pPr>
              <w:spacing w:after="0"/>
              <w:rPr>
                <w:sz w:val="1"/>
                <w:szCs w:val="1"/>
                <w:color w:val="auto"/>
              </w:rPr>
            </w:pPr>
          </w:p>
        </w:tc>
      </w:tr>
      <w:tr>
        <w:trPr>
          <w:trHeight w:val="223"/>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77,542</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67,742</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goodwill or intangible asset impairment charges were recorded during the three and six months ended June 30, 2024 and 2023.</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ACCRUED LIABILITIES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accrued liabilities consist of the following:</w:t>
            </w:r>
          </w:p>
        </w:tc>
        <w:tc>
          <w:tcPr>
            <w:tcW w:w="1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9"/>
        </w:trPr>
        <w:tc>
          <w:tcPr>
            <w:tcW w:w="676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Refunds payable</w:t>
            </w:r>
          </w:p>
        </w:tc>
        <w:tc>
          <w:tcPr>
            <w:tcW w:w="162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 deposits</w:t>
            </w:r>
          </w:p>
        </w:tc>
        <w:tc>
          <w:tcPr>
            <w:tcW w:w="1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1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state relief funds</w:t>
            </w:r>
          </w:p>
        </w:tc>
        <w:tc>
          <w:tcPr>
            <w:tcW w:w="1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 liabilities</w:t>
            </w:r>
          </w:p>
        </w:tc>
        <w:tc>
          <w:tcPr>
            <w:tcW w:w="1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r>
      <w:tr>
        <w:trPr>
          <w:trHeight w:val="248"/>
        </w:trPr>
        <w:tc>
          <w:tcPr>
            <w:tcW w:w="6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20" w:type="dxa"/>
            <w:vAlign w:val="bottom"/>
            <w:tcBorders>
              <w:bottom w:val="single" w:sz="8" w:color="auto"/>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19,223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Refunds payable includes payables related to overpayments, duplicate payments and credit balances from various payor sources. Deferred revenue occurs when the Company receives payments in advance of services provided. Resident deposits include refundable deposits to residents.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70"/>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Long-term debt, net consists of the following:</w:t>
            </w:r>
          </w:p>
        </w:tc>
        <w:tc>
          <w:tcPr>
            <w:tcW w:w="1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56"/>
        </w:trPr>
        <w:tc>
          <w:tcPr>
            <w:tcW w:w="664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6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65,000</w:t>
            </w:r>
          </w:p>
        </w:tc>
      </w:tr>
      <w:tr>
        <w:trPr>
          <w:trHeight w:val="230"/>
        </w:trPr>
        <w:tc>
          <w:tcPr>
            <w:tcW w:w="66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Less: unamortized debt issuance costs</w:t>
            </w:r>
            <w:r>
              <w:rPr>
                <w:rFonts w:ascii="Times New Roman" w:cs="Times New Roman" w:eastAsia="Times New Roman" w:hAnsi="Times New Roman"/>
                <w:sz w:val="23"/>
                <w:szCs w:val="23"/>
                <w:color w:val="auto"/>
                <w:vertAlign w:val="superscript"/>
              </w:rPr>
              <w:t>(a)</w:t>
            </w:r>
          </w:p>
        </w:tc>
        <w:tc>
          <w:tcPr>
            <w:tcW w:w="1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(1,086)</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660" w:type="dxa"/>
            <w:vAlign w:val="bottom"/>
            <w:tcBorders>
              <w:bottom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63,914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80" w:right="20" w:hanging="454"/>
        <w:spacing w:after="0" w:line="302" w:lineRule="auto"/>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for debt issuance costs was $130 and $261 for the three and six months ended June 30, 2024, respectively, and $130 and $261 for the three and six months ended June 30, 2023, respectively, and is recorded in interest expense, net on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23, 2021, Pennant entered into an amendment to its existing credit agreement (as amended, the “Credit Agreement”), which provides for an increased revolving credit facility with a syndicate of banks with a borrowing capacity of $150,000 (the “Revolving Credit Facility”). On June 12, 2023, Pennant entered into a second amendment to the Credit Agreement that modified the reference rate from LIBOR to Standard Overnight Financing Rate (“SOFR”). The interest rates applicable to loans under the Revolving Credit Facility are, at the Company’s election, either (i) Adjusted Term SOFR (as defined in the Credit Agreement) plus a margin ranging from 2.25% to 3.25% per annum or (ii) Base Rate plus a margin ranging from 1.25% to 2.25% per annum, in each case, based on the ratio of Consolidated Total Net Debt to Consolidated EBITDA (each, as defined in the Credit Agreement). In addition, Pennant pays a commitment fee on the undrawn portion of the commitments under the Revolving Credit Facility which ranges from 0.35% to 0.50% per annum, depending on the Consolidated Total Net Debt to Consolidated EBITDA ratio of the Company and its subsidiaries. The Company is not required to repay any loans under the Credit Agreement prior to maturity in 2026, other than to the extent the outstanding borrowings exceed the aggregate commitments under the Credit Agreement. As of June 30, 2024, the Company’s weighted average interest rate on its outstanding debt was 8.35%. As of June 30, 2024, the Company had available borrowing on the Revolving Credit Facility of $62,814, which is net of outstanding letters of credit of $4,186.</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Revolving Credit Facility approximates carrying value, due to the short-term nature and variable interest rates. The fair value of this debt is categorized within Level 2 of the fair value hierarchy based on the observable market borrowing rates.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June 30, 2024, the Company was compliant with all such financial covenants.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31, 2024, Pennant entered into an amendment to the Credit Agreement (the “Amended Credit Agreement”), which provides for a revolving credit facility (the “2024 Revolving Credit Facility”) with a syndicate of banks with a borrowing capacity of $250,000. The interest rates applicable to loans under the 2024 Revolving Credit Facility are, at the Company’s election, either (i) Term SOFR (as defined in the Amended Credit Agreement) plus a margin ranging from 1.75% to 2.75% per annum or (ii) Base Rate plus a margin ranging from 0.75% to 1.75% per annum, in each case based on the ratio of Consolidated Total Net Debt to Consolidated EBITDA (each, as defined in the Amended Credit Agreement). In addition, Pennant will pay a commitment fee on the undrawn portion of the commitments under the Revolving Credit Facility that will range from 0.25% to 0.45% per annum, depending on the Consolidated Total Net Debt to Consolidated EBITDA ratio of the Company and its subsidiaries. The Company is not required to repay any loans under the Amended Credit Agreement prior to maturity in July 2029.</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OPTIONS AND AWARDS</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 xml:space="preserve">Outstanding options and restricted stock awards of the Company were granted under the 2019 Omnibus Incentive Plan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OIP</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and Long-Term Incentive Plan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LTIP,</w:t>
      </w:r>
      <w:r>
        <w:rPr>
          <w:rFonts w:ascii="Times New Roman" w:cs="Times New Roman" w:eastAsia="Times New Roman" w:hAnsi="Times New Roman"/>
          <w:sz w:val="18"/>
          <w:szCs w:val="18"/>
          <w:color w:val="000000"/>
        </w:rPr>
        <w:t>” and together with the OIP, the “Pennant Plans”</w:t>
      </w:r>
      <w:r>
        <w:rPr>
          <w:rFonts w:ascii="Times New Roman" w:cs="Times New Roman" w:eastAsia="Times New Roman" w:hAnsi="Times New Roman"/>
          <w:sz w:val="18"/>
          <w:szCs w:val="18"/>
          <w:color w:val="212529"/>
        </w:rPr>
        <w: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Pennant Plans.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share-based compensation expense for all Plans for the three and six months ended June 30, 2024 and 2023 was: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26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0" w:type="dxa"/>
            <w:vAlign w:val="bottom"/>
          </w:tcPr>
          <w:p>
            <w:pPr>
              <w:spacing w:after="0"/>
              <w:rPr>
                <w:sz w:val="20"/>
                <w:szCs w:val="20"/>
                <w:color w:val="auto"/>
              </w:rPr>
            </w:pPr>
          </w:p>
        </w:tc>
        <w:tc>
          <w:tcPr>
            <w:tcW w:w="234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6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related to stock options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related to Restricted Stock</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176"/>
        </w:trPr>
        <w:tc>
          <w:tcPr>
            <w:tcW w:w="6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Share-based compensation expense related to Restricted Stock to non-employee</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23"/>
        </w:trPr>
        <w:tc>
          <w:tcPr>
            <w:tcW w:w="6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w:t>
            </w:r>
          </w:p>
        </w:tc>
      </w:tr>
      <w:tr>
        <w:trPr>
          <w:trHeight w:val="20"/>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future periods, the Company estimates it will recognize the following share-based compensation expense for unvested stock options and unvested Restricted Stock as of June 30,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Unrecognized</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Recognition Period</w:t>
            </w:r>
          </w:p>
        </w:tc>
        <w:tc>
          <w:tcPr>
            <w:tcW w:w="0" w:type="dxa"/>
            <w:vAlign w:val="bottom"/>
          </w:tcPr>
          <w:p>
            <w:pPr>
              <w:spacing w:after="0"/>
              <w:rPr>
                <w:sz w:val="1"/>
                <w:szCs w:val="1"/>
                <w:color w:val="auto"/>
              </w:rPr>
            </w:pPr>
          </w:p>
        </w:tc>
      </w:tr>
      <w:tr>
        <w:trPr>
          <w:trHeight w:val="241"/>
        </w:trPr>
        <w:tc>
          <w:tcPr>
            <w:tcW w:w="66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Compensation Expense</w:t>
            </w:r>
          </w:p>
        </w:tc>
        <w:tc>
          <w:tcPr>
            <w:tcW w:w="10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22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Stock Options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unrecognized share-based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17,218</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Pennant Plans, options granted to employees of the subsidiaries of Pennant generally vest over five years at 20% per year on the anniversary of the grant date. Options expire ten years after the date of grant.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option-pricing model to recognize the value of stock-based compensation expense for share-based payment awards under the Plans. Determining the appropriate fair-value model and calculating the fair value of stock-based awards at the grant date requires considerable judgment, including estimating stock price volatility and expected option life. The Company develops estimates based on historical data and market information, which can change significantly over time.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grant date using a Black-Scholes option-pricing model with the following weighted average assumptions for stock options granted as of June 30: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4"/>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Risk-Free</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w w:val="98"/>
              </w:rPr>
              <w:t>Average Fair</w:t>
            </w:r>
          </w:p>
        </w:tc>
        <w:tc>
          <w:tcPr>
            <w:tcW w:w="0" w:type="dxa"/>
            <w:vAlign w:val="bottom"/>
          </w:tcPr>
          <w:p>
            <w:pPr>
              <w:spacing w:after="0"/>
              <w:rPr>
                <w:sz w:val="1"/>
                <w:szCs w:val="1"/>
                <w:color w:val="auto"/>
              </w:rPr>
            </w:pPr>
          </w:p>
        </w:tc>
      </w:tr>
      <w:tr>
        <w:trPr>
          <w:trHeight w:val="175"/>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Grant Year</w:t>
            </w:r>
          </w:p>
        </w:tc>
        <w:tc>
          <w:tcPr>
            <w:tcW w:w="13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Expected Life</w:t>
            </w:r>
            <w:r>
              <w:rPr>
                <w:rFonts w:ascii="Times New Roman" w:cs="Times New Roman" w:eastAsia="Times New Roman" w:hAnsi="Times New Roman"/>
                <w:sz w:val="23"/>
                <w:szCs w:val="23"/>
                <w:b w:val="1"/>
                <w:bCs w:val="1"/>
                <w:color w:val="auto"/>
                <w:vertAlign w:val="superscript"/>
              </w:rPr>
              <w:t>(a)</w:t>
            </w:r>
          </w:p>
        </w:tc>
        <w:tc>
          <w:tcPr>
            <w:tcW w:w="1540" w:type="dxa"/>
            <w:vAlign w:val="bottom"/>
            <w:gridSpan w:val="2"/>
            <w:vMerge w:val="continue"/>
          </w:tcPr>
          <w:p>
            <w:pPr>
              <w:spacing w:after="0"/>
              <w:rPr>
                <w:sz w:val="15"/>
                <w:szCs w:val="15"/>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Dividend Yield</w:t>
            </w:r>
          </w:p>
        </w:tc>
        <w:tc>
          <w:tcPr>
            <w:tcW w:w="120" w:type="dxa"/>
            <w:vAlign w:val="bottom"/>
          </w:tcPr>
          <w:p>
            <w:pPr>
              <w:spacing w:after="0"/>
              <w:rPr>
                <w:sz w:val="15"/>
                <w:szCs w:val="15"/>
                <w:color w:val="auto"/>
              </w:rPr>
            </w:pPr>
          </w:p>
        </w:tc>
        <w:tc>
          <w:tcPr>
            <w:tcW w:w="11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6"/>
              </w:rPr>
              <w:t>Value of</w:t>
            </w:r>
          </w:p>
        </w:tc>
        <w:tc>
          <w:tcPr>
            <w:tcW w:w="0" w:type="dxa"/>
            <w:vAlign w:val="bottom"/>
          </w:tcPr>
          <w:p>
            <w:pPr>
              <w:spacing w:after="0"/>
              <w:rPr>
                <w:sz w:val="1"/>
                <w:szCs w:val="1"/>
                <w:color w:val="auto"/>
              </w:rPr>
            </w:pPr>
          </w:p>
        </w:tc>
      </w:tr>
      <w:tr>
        <w:trPr>
          <w:trHeight w:val="230"/>
        </w:trPr>
        <w:tc>
          <w:tcPr>
            <w:tcW w:w="2660" w:type="dxa"/>
            <w:vAlign w:val="bottom"/>
            <w:gridSpan w:val="2"/>
            <w:vMerge w:val="continue"/>
          </w:tcPr>
          <w:p>
            <w:pPr>
              <w:spacing w:after="0"/>
              <w:rPr>
                <w:sz w:val="19"/>
                <w:szCs w:val="19"/>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380" w:type="dxa"/>
            <w:vAlign w:val="bottom"/>
            <w:gridSpan w:val="2"/>
            <w:vMerge w:val="continue"/>
          </w:tcPr>
          <w:p>
            <w:pPr>
              <w:spacing w:after="0"/>
              <w:rPr>
                <w:sz w:val="19"/>
                <w:szCs w:val="19"/>
                <w:color w:val="auto"/>
              </w:rPr>
            </w:pPr>
          </w:p>
        </w:tc>
        <w:tc>
          <w:tcPr>
            <w:tcW w:w="154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b w:val="1"/>
                <w:bCs w:val="1"/>
                <w:color w:val="auto"/>
                <w:w w:val="92"/>
              </w:rPr>
              <w:t>Volatility</w:t>
            </w:r>
            <w:r>
              <w:rPr>
                <w:rFonts w:ascii="Times New Roman" w:cs="Times New Roman" w:eastAsia="Times New Roman" w:hAnsi="Times New Roman"/>
                <w:sz w:val="23"/>
                <w:szCs w:val="23"/>
                <w:b w:val="1"/>
                <w:bCs w:val="1"/>
                <w:color w:val="auto"/>
                <w:w w:val="92"/>
                <w:vertAlign w:val="superscript"/>
              </w:rPr>
              <w:t>(b)</w:t>
            </w:r>
          </w:p>
        </w:tc>
        <w:tc>
          <w:tcPr>
            <w:tcW w:w="15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34"/>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tcPr>
          <w:p>
            <w:pPr>
              <w:spacing w:after="0"/>
              <w:rPr>
                <w:sz w:val="20"/>
                <w:szCs w:val="20"/>
                <w:color w:val="auto"/>
              </w:rPr>
            </w:pP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80" w:right="20" w:hanging="454"/>
        <w:spacing w:after="0" w:line="291" w:lineRule="auto"/>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midpoint method, the expected option life is the midpoint between the contractual option life and the average vesting period for the options being granted. This resulted in an expected option life of 6.5 years for the options granted.</w:t>
      </w:r>
    </w:p>
    <w:p>
      <w:pPr>
        <w:spacing w:after="0" w:line="14"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 Company’s equity shares have been traded for a relatively short period of time, expected volatility assumption was based on the volatility of related industry stocks.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the employee stock option activity during the six months ended June 30,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6"/>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14"/>
                <w:szCs w:val="14"/>
                <w:color w:val="auto"/>
              </w:rPr>
            </w:pPr>
          </w:p>
        </w:tc>
        <w:tc>
          <w:tcPr>
            <w:tcW w:w="1220" w:type="dxa"/>
            <w:vAlign w:val="bottom"/>
          </w:tcPr>
          <w:p>
            <w:pPr>
              <w:jc w:val="center"/>
              <w:ind w:right="76"/>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6"/>
              <w:spacing w:after="0" w:line="162" w:lineRule="exact"/>
              <w:rPr>
                <w:sz w:val="20"/>
                <w:szCs w:val="20"/>
                <w:color w:val="auto"/>
              </w:rPr>
            </w:pPr>
            <w:r>
              <w:rPr>
                <w:rFonts w:ascii="Times New Roman" w:cs="Times New Roman" w:eastAsia="Times New Roman" w:hAnsi="Times New Roman"/>
                <w:sz w:val="16"/>
                <w:szCs w:val="16"/>
                <w:b w:val="1"/>
                <w:bCs w:val="1"/>
                <w:color w:val="auto"/>
              </w:rPr>
              <w:t>of Options</w:t>
            </w:r>
          </w:p>
        </w:tc>
        <w:tc>
          <w:tcPr>
            <w:tcW w:w="0" w:type="dxa"/>
            <w:vAlign w:val="bottom"/>
          </w:tcPr>
          <w:p>
            <w:pPr>
              <w:spacing w:after="0"/>
              <w:rPr>
                <w:sz w:val="1"/>
                <w:szCs w:val="1"/>
                <w:color w:val="auto"/>
              </w:rPr>
            </w:pPr>
          </w:p>
        </w:tc>
      </w:tr>
      <w:tr>
        <w:trPr>
          <w:trHeight w:val="214"/>
        </w:trPr>
        <w:tc>
          <w:tcPr>
            <w:tcW w:w="5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Options Vested</w:t>
            </w:r>
          </w:p>
        </w:tc>
        <w:tc>
          <w:tcPr>
            <w:tcW w:w="140" w:type="dxa"/>
            <w:vAlign w:val="bottom"/>
          </w:tcPr>
          <w:p>
            <w:pPr>
              <w:spacing w:after="0"/>
              <w:rPr>
                <w:sz w:val="18"/>
                <w:szCs w:val="18"/>
                <w:color w:val="auto"/>
              </w:rPr>
            </w:pPr>
          </w:p>
        </w:tc>
        <w:tc>
          <w:tcPr>
            <w:tcW w:w="122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0" w:type="dxa"/>
            <w:vAlign w:val="bottom"/>
          </w:tcPr>
          <w:p>
            <w:pPr>
              <w:spacing w:after="0"/>
              <w:rPr>
                <w:sz w:val="1"/>
                <w:szCs w:val="1"/>
                <w:color w:val="auto"/>
              </w:rPr>
            </w:pPr>
          </w:p>
        </w:tc>
      </w:tr>
      <w:tr>
        <w:trPr>
          <w:trHeight w:val="225"/>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status of Pennant’s non-vested Restricted Stock, and changes during the six months ended June 30, 2024, is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Non-Vested Restricted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4"/>
        </w:trPr>
        <w:tc>
          <w:tcPr>
            <w:tcW w:w="786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independent operating subsidiaries lease senior living communities and its administrative offices under non-cancelable operating leases, most of which have initial lease terms ranging from 15 to 25 years. The Company’s independent operating subsidiaries also lease the administrative offices of home health and hospice agencies, which generally have lease terms that range from one to 11 years. Most of these leases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The Company elected the accounting policy practical expedients in ASC 842 to: (i) combine associated lease and non-lease components into a single lease component; and (ii) exclude recording short-term leases as right-of-use assets and liabilities on the condensed consolidated balance sheets. Non-lease components, which are not significant overall, are combined with lease components.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June 30, 2024, the Company’s independent operating subsidiaries leased 29 senior living communities from subsidiaries of Ensign (“Ensign Leases”) under a master lease arrangement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existing leases with subsidiaries of Ensign have initial terms of between 14 to 20 years. The total amount of rent expense included in rent - cost of services paid to subsidiaries of Ensign was $3,488 and $6,976 for the three and six months ended June 30, 2024, respectively, and $3,333 and $6,749 for the three and six months ended June 30, 2023, respectively. In addition to rent, each of the operating companies are required to pay the following: (1) all impositions and taxes levied on or with respect to the leased properties (other than taxes on the income of the lessor);</w:t>
      </w:r>
    </w:p>
    <w:p>
      <w:pPr>
        <w:spacing w:after="0" w:line="3" w:lineRule="exact"/>
        <w:rPr>
          <w:sz w:val="20"/>
          <w:szCs w:val="20"/>
          <w:color w:val="auto"/>
        </w:rPr>
      </w:pPr>
    </w:p>
    <w:p>
      <w:pPr>
        <w:jc w:val="both"/>
        <w:ind w:firstLine="8"/>
        <w:spacing w:after="0" w:line="250" w:lineRule="auto"/>
        <w:tabs>
          <w:tab w:leader="none" w:pos="2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w:t>
      </w:r>
    </w:p>
    <w:p>
      <w:pPr>
        <w:ind w:firstLine="8"/>
        <w:spacing w:after="0" w:line="260" w:lineRule="auto"/>
        <w:tabs>
          <w:tab w:leader="none" w:pos="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in connection with any licenses or authorizations necessary or appropriate for the leased properties and the business conducted on the leased properties.</w:t>
      </w:r>
    </w:p>
    <w:p>
      <w:pPr>
        <w:spacing w:after="0" w:line="2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Fourteen of the Company’s affiliated senior living communities, excluding the communities that are operated under the Ensign Leases (as defined herein), are operated under three separate master lease arrangements. Under these master leases, a breach at a single community could subject one or more of the other communities covered by the same master lease to the same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components of operating lease cost, are as follows: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99"/>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4"/>
                <w:szCs w:val="24"/>
                <w:color w:val="auto"/>
              </w:rPr>
            </w:pPr>
          </w:p>
        </w:tc>
        <w:tc>
          <w:tcPr>
            <w:tcW w:w="242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9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Community Rent—cost of services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16,736</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Rent—cost of services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r>
      <w:tr>
        <w:trPr>
          <w:trHeight w:val="22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Rent—cost of services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19,433</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r>
    </w:tbl>
    <w:p>
      <w:pPr>
        <w:spacing w:after="0" w:line="126" w:lineRule="exact"/>
        <w:rPr>
          <w:sz w:val="20"/>
          <w:szCs w:val="20"/>
          <w:color w:val="auto"/>
        </w:rPr>
      </w:pPr>
    </w:p>
    <w:p>
      <w:pPr>
        <w:ind w:left="480" w:right="40" w:hanging="454"/>
        <w:spacing w:after="0" w:line="282" w:lineRule="auto"/>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variable lease cost for operating leases, which costs include property taxes and insurance, common area maintenance, and consumer price index increases, incurred as part of the Company’s triple net lease, and which is included in cost of services for the three and six months ended June 30, 2024 and 2023.</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shows the lease maturity analysis for all leases as of June 30, 2024, for the years ended December 31:</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9"/>
        </w:trPr>
        <w:tc>
          <w:tcPr>
            <w:tcW w:w="9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19,680</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38,276</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36,728</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35,616</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34,832</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260,683</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425,815</w:t>
            </w:r>
          </w:p>
        </w:tc>
      </w:tr>
      <w:tr>
        <w:trPr>
          <w:trHeight w:val="230"/>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present value adjustments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(155,729)</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total lease liabilities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270,086</w:t>
            </w:r>
          </w:p>
        </w:tc>
      </w:tr>
      <w:tr>
        <w:trPr>
          <w:trHeight w:val="230"/>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(18,473)</w:t>
            </w:r>
          </w:p>
        </w:tc>
      </w:tr>
      <w:tr>
        <w:trPr>
          <w:trHeight w:val="248"/>
        </w:trPr>
        <w:tc>
          <w:tcPr>
            <w:tcW w:w="9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251,613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June 30, 2024, the weighted average remaining lease term is 12.1 years and the weighted average discount rate is 8.1%.</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4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Company recorded income tax expense of $1,844 and $1,921 or 23.2% and 39.7% of earnings before income taxes for the three months ended June 30, 2024 and 2023, respectively. The decrease in the effective tax rate is primarily due to not having the impact of a change in the deductibility of equity compensation of certain executives in the current year.</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income tax expense of $3,603 and $2,828, or 24.4% and 36.5% of earnings before income taxes for the six months ended June 30, 2024 and 2023, respectively. The decrease in the effective tax rate is primarily due to not having the impact of a change in the deductibility of equity compensation of certain executives in the current year.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DEFINED CONTRIBUTION PLAN</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 401(k) defined contribution plan (the “401(k) Plan”), whereby eligible employees may contribute up to 90% of their annual basic earnings, subject to applicable annual Internal Revenue Code limits. Additionally, the 401(k) Plan provides for discretionary matching contributions (as defined in the 401(k) Plan) by the Company. The Company expensed matching contributions to the 401(k) Plan of $281 and $572 for the three and six months ended June 30, 2024, and $205 and $418 for the three and six months ended June 30, 2023.</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a non-qualified deferred compensation plan (the “DCP”) for executives, other highly compensated employees, independent contractors and non-employee directors. The independent contractors and non-employee directors are otherwise ineligible for participation in the Company's 401(k) plan. The DCP allows participants to defer the receipt of a portion of their base compensation, and further allows certain participants to defer up to 80% of their base salary and bonus compensation or director fees. At the participant’s election, payments can be deferred until a specific date at least one year after the year of deferral or until termination of engagement with the Company and can be paid in a lump sum or in up to ten annual installments. Separate deferral elections can be made for each year, and in limited circumstances, existing payment elections may be changed. The amounts deferred are credited with earnings and losses based upon the actual performance of the deemed investments selected by the participant. The rate of return for each participant varies depending on the specific investment elections made by the participant. Additionally, the plan deposits the employee deferrals into a rabbi trust and the funds are generally invested in individual variable life insurance contracts owned by the Company that are specifically designed to informally fund savings plans of this nature. The Company paid for related administrative costs, which were immaterial during the fiscal years presented.</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June 30, 2024 and 2023, the Company’s deferred compensation liabilities were $2,020 and $968, respectively, in other long-term liabilities on the condensed consolidated balance sheets. The cash surrender value of the individual variable life insurance contracts is based on investment funds that shadow the investment allocations specified by participants in the DCP. As of June 30, 2024 and 2023, the cash surrender value of the company owned life insurance (“COLI”) policies were $2,019 and $950, respectively, and were included as a component of restricted and other assets on the condensed consolidated balance sheets. There are no outstanding loan amounts offset against the cash surrender value of the COLI policies. The losses recorded for the change in cash surrender value were immaterial for each period presented.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Regulatory Matters - </w:t>
      </w:r>
      <w:r>
        <w:rPr>
          <w:rFonts w:ascii="Times New Roman" w:cs="Times New Roman" w:eastAsia="Times New Roman" w:hAnsi="Times New Roman"/>
          <w:sz w:val="18"/>
          <w:szCs w:val="18"/>
          <w:color w:val="auto"/>
        </w:rPr>
        <w:t>The Company provides services in complex and highly regulated industries. The Company’s compliance with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and penalties subject to appeal may remain in place during such appeals, which may include suspension, termination, or revocation of participation in governmental programs for the payment of the services the Company provides. The Department of Justice, HHS, CMS, or other federal and state enforcement and regulatory agencies may conduct additional investigations related to the Company's businesses. The Company believes it is presently in compliance in all material respects with all applicable laws and regulations.</w:t>
      </w:r>
    </w:p>
    <w:p>
      <w:pPr>
        <w:spacing w:after="0" w:line="21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Cost-Containment Measures - </w:t>
      </w:r>
      <w:r>
        <w:rPr>
          <w:rFonts w:ascii="Times New Roman" w:cs="Times New Roman" w:eastAsia="Times New Roman" w:hAnsi="Times New Roman"/>
          <w:sz w:val="18"/>
          <w:szCs w:val="18"/>
          <w:color w:val="auto"/>
        </w:rPr>
        <w:t>Government and third-party payors have instituted cost-containment measures designed to limit payments made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of healthcare services, may propose future cost-containment measures, and there can be no assurance that future measures designed to limit payments made to providers will not adversely affect the Company.</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Indemnities - </w:t>
      </w:r>
      <w:r>
        <w:rPr>
          <w:rFonts w:ascii="Times New Roman" w:cs="Times New Roman" w:eastAsia="Times New Roman" w:hAnsi="Times New Roman"/>
          <w:sz w:val="18"/>
          <w:szCs w:val="18"/>
          <w:color w:val="auto"/>
        </w:rPr>
        <w:t>From time to time, the Company enters into certain types of contracts that contingently require the Company to indemnify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w:t>
      </w:r>
    </w:p>
    <w:p>
      <w:pPr>
        <w:spacing w:after="0" w:line="1" w:lineRule="exact"/>
        <w:rPr>
          <w:sz w:val="20"/>
          <w:szCs w:val="20"/>
          <w:color w:val="auto"/>
        </w:rPr>
      </w:pPr>
    </w:p>
    <w:p>
      <w:pPr>
        <w:jc w:val="both"/>
        <w:ind w:firstLine="8"/>
        <w:spacing w:after="0" w:line="250" w:lineRule="auto"/>
        <w:tabs>
          <w:tab w:leader="none" w:pos="2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w:t>
      </w:r>
    </w:p>
    <w:p>
      <w:pPr>
        <w:jc w:val="both"/>
        <w:ind w:firstLine="8"/>
        <w:spacing w:after="0" w:line="255" w:lineRule="auto"/>
        <w:tabs>
          <w:tab w:leader="none" w:pos="33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Generally, amounts under these contracts cannot be reasonably estimated until a specific claim is asserted. Consequently, because no claims have been asserted, no liabilities have been recorded for these obligations on the Company’s Condensed Consolidated Balance Sheets for any of the periods presented.</w:t>
      </w:r>
    </w:p>
    <w:p>
      <w:pPr>
        <w:spacing w:after="0" w:line="1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The Company’s businesses involve a significant risk of liability given the age and health of the patients and residents served by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operating subsidiaries. The Company, its operating subsidiaries, and others in the industry may be subject to a number of claims and lawsuits, including negligence and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as well as employment-related claims. Certain of the states where we conduct business, including California and Nevada, recently adopted laws that increase the maximum amount of non-economic damages that may be awarded to a successful plaintiff in a claim for professional negligence or malpractice arising from care provided by our independent operating subsidiaries. These changes in applicable law may also increase the cost of obtaining and maintaining professional liability insurance to pay for the defense of, and any liability arising under, such claims.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potential lawsuits and claims described above, the Company also is subject to potential lawsuits under the False Claims Act (the “FCA”) and comparable state laws alleging submission of fraudulent claims for services to any governmental healthcare program (such as Medicare) or commercial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for which 18 states have qualified, including California and Texas, where we conduct business. As such, the Company could face scrutiny, potential liability and legal expenses and costs based on claims under state false claims acts in markets in which it conducts business.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Fraud Enforcement and Recovery Act (“FERA”) and its associated rules, healthcare providers face significant penalties for the knowing retention of government overpayments, even if no false claim was involved. Providers have an obligation to proactively exercise “reasonable diligence” to identify overpayments and return those overpayments to CMS within 60 days of “identification” or the date any corresponding cost report is due, whichever is later. Retention of overpayments beyond this period may create liability under the FCA. In addition, FERA protects whistleblowers (including employees, contractors, and agents) from retaliation.</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Medicare Revenue Recoupments - </w:t>
      </w:r>
      <w:r>
        <w:rPr>
          <w:rFonts w:ascii="Times New Roman" w:cs="Times New Roman" w:eastAsia="Times New Roman" w:hAnsi="Times New Roman"/>
          <w:sz w:val="18"/>
          <w:szCs w:val="18"/>
          <w:color w:val="auto"/>
        </w:rPr>
        <w:t>The Company is subject to probe reviews relating to Medicare services, billings and potential overpayments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June 30, 2024, 13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The Company, from time to time, receives record requests in Reviews which have resulted in claim denials on previously paid claims. The Company has appealed substantially all denials arising from these Reviews using the applicable appeals process. As of June 30, 2024, and through the filing of this Quarterly Report on Form 10-Q, the Company’s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independent operating subsidiaries have responded to the Reviews that are currently ongoing, on appeal or in dispute resolution process. The Company cannot predict the ultimate outcome of any regulatory and other governmental Reviews. While such Reviews are the subject of administrative appeals, the appeals process, even if successful, may take several years to resolve. The costs to respond to and defend such Reviews may be significant and an adverse determination in such Reviews may subject the Company to sanctions, damages, extrapolation of damage findings, additional recoupments, fines, other penalties (some of which may not be covered by insurance), and termination from Medicare programs which may, either individually or in the aggregate, have a material adverse effect on the Company's business and financial condition.</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June 2021 to May 2022, one hospice provider number was subject to a Medicare payment suspension imposed by a UPIC. The total amounts suspended was $5,105, which represents all Medicare payments due to the provider number during the suspension. As of June 30, 2024, the remaining amount due from the government payor impacted by the suspension was $246 and was recorded in long-term other assets.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Medicare payment suspension concluded in May 2022, and the UPIC reviewed 107 patient records covering a 10-month period to determine whether, in its view, a Medicare overpayment was made. Based on the results of the review, the UPIC initially alleged sampled and extrapolated overpayments of $5,105, and withheld that amount through continued recoupment of Medicare payments. The Company is pursuing its appeal rights through the administrative appeals process, including contesting the methodology used by the UPIC to perform statistical extrapolation. To date the Company has been successful in appealing most of the previously denied claims. The Company received the refund of previously withheld amounts totaling $4,859 as of June 30, 2024. The Company continues to work through the appeals process for the remaining denied claims and expects to be successful in those appeals. Based on the information currently available to the Company, the Company cannot predict the timing or the ultimate outcome of this review including refunds to be received.</w:t>
      </w:r>
    </w:p>
    <w:p>
      <w:pPr>
        <w:spacing w:after="0" w:line="2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 The Company retains risk for a substantial portion of potential claims for general and professional liability, workers’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automobile liability. Based on changes in law that increase the maximum damages that may be recovered for professional negligence or malpractice claims in states where we operate, including California and Nevada, the costs of maintaining some of these insurance policies may increase in the future. 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$150 per claim with a $500 corridor as an additional out-of-pocket retention we must satisfy for claims within the policy year before the carrier will reimburse losses. The workers’ compensation insurance has a retention limit of $250 per claim, except for policies held in Texas, Washington and Wyoming which are subject to state insurance and possess their own limits.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self-insured for claims related to employee health, dental, and vision care. To protect itself against loss exposure, the Company has purchased individual stop-loss insurance coverage that insures individual health claims that exceed $350 for each covered person for fiscal year 2024 and fiscal year 2023.</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the Interim Financial Statements and the related notes thereto contained in Part I, Item 1 of this Quarterly Report on Form 10-Q (this “Quarterly Report”). 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Securities and Exchange Commission (“SEC”), including our Annual Report on Form 10-K for the year ended December 31, 2023 (the “2023 Annual Report”), which discusses our business and related risks in greater detail, as well as subsequent reports we may file from time to time on Form 10-K, Form 10-Q and Form 8-K, for additional information. The section entitled “Risk Factors” filed within our 2023 Annual Report describes some of the important risk factors that may affect our business, financial condition, results of operations and/or liquidity. You should carefully consider those risks, in addition to the other information in this Quarterly Report and in our other filings with the SEC, before deciding to purchase, hold or sell our common stock.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About Forward-Looking Statements</w:t>
      </w:r>
    </w:p>
    <w:p>
      <w:pPr>
        <w:spacing w:after="0" w:line="229" w:lineRule="exact"/>
        <w:rPr>
          <w:sz w:val="20"/>
          <w:szCs w:val="20"/>
          <w:color w:val="auto"/>
        </w:rPr>
      </w:pPr>
    </w:p>
    <w:p>
      <w:pPr>
        <w:jc w:val="both"/>
        <w:ind w:firstLine="212"/>
        <w:spacing w:after="0" w:line="255"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the safe harbor provisions of the U.S. Private Securities Litigation Reform Act of 1995, that are based on our management’s beliefs and assumptions and on information currently available to our management. Forward-looking statements include all statements that are not historical facts and can be identified by the use of forward-looking terminology such as the words “outlook,” “believes,” “expects,” “potential,” “continues,” “may,” “might,” “will,” “should,” “could,” “seeks,” “approximately,” “goals,” “future,” “projects,” “predicts,” “guidance,” “target,” “intends,” “plans,” “estimates,” “anticipates”, the negative version of these words or other comparable words. Forward-looking statements include, but are not limited to, statements related to our expectations regarding the performance of our business, our financial results, our liquidity and capital resources, the effects of competition and the effects of future legislation or regulations and other non-historical statements.</w:t>
      </w:r>
    </w:p>
    <w:p>
      <w:pPr>
        <w:spacing w:after="0" w:line="216" w:lineRule="exact"/>
        <w:rPr>
          <w:sz w:val="20"/>
          <w:szCs w:val="20"/>
          <w:color w:val="auto"/>
        </w:rPr>
      </w:pPr>
    </w:p>
    <w:p>
      <w:pPr>
        <w:jc w:val="both"/>
        <w:ind w:firstLine="257"/>
        <w:spacing w:after="0" w:line="266" w:lineRule="auto"/>
        <w:rPr>
          <w:sz w:val="20"/>
          <w:szCs w:val="20"/>
          <w:color w:val="auto"/>
        </w:rPr>
      </w:pPr>
      <w:r>
        <w:rPr>
          <w:rFonts w:ascii="Times New Roman" w:cs="Times New Roman" w:eastAsia="Times New Roman" w:hAnsi="Times New Roman"/>
          <w:sz w:val="18"/>
          <w:szCs w:val="18"/>
          <w:color w:val="auto"/>
        </w:rPr>
        <w:t>The risk factors discussed in this Quarterly Report and the 2023 Annual Report under the heading “Risk Factors,” could cause our results to differ materially from those expressed in forward-looking statements. Factors that could cause actual results to differ materially from those in the forward-looking statements include, but are not limited to:</w:t>
      </w:r>
    </w:p>
    <w:p>
      <w:pPr>
        <w:spacing w:after="0" w:line="20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changes to, or delays receiving, reimbursement and other aspects of Medicaid and Medicare;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the laws and regulations affecting the U.S. healthcare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changes to payment models and reimbursement amounts within the Medicare and Medicaid fee schedules for future calendar years;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cost containment measures undertaken by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reviews, audits and investigations of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regulation affecting the transparency, ownership, operating standards, and staffing of businesses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increased cost of acquisition or retention for, or a shortage of, skilled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and maintenance of competitive quality of care ratings and referrals from referral 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state and federal employment, fair housing, safety, licensing and other laws;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healthcare providers, federal and state efforts to regulate or deregulate the healthcare services industry, including through staffing levels and requirements, or the construction or expansion of the number of home health, hospice or senior living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labor unions, including strikes, work stoppages, unfair labor practices claims, or related labor activity;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or any future litigation settlements;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leases of our affiliated senior living communities;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complete future acquisitions at attractive prices or at all, and failure to successfully or efficiently integrate new acquisitions into our existing operations and operating subsidiaries;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a housing downturn, which could affect seniors’ ability to afford resident fees, or inflation and increasing interest rates, which raise the costs of goods and borrowing capital, which may affect the delivery and affordability of our services;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other cyber security incidents;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financial and credit markets and uncertainties related to our ability to obtain financing or the terms of such financing;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the lingering effect of the COVID-19 pandemic, including new regulatory risks impacting our operations, the effects of Medicaid disenrollment, potential litigation, and vaccination mandates</w:t>
      </w:r>
    </w:p>
    <w:p>
      <w:pPr>
        <w:spacing w:after="0" w:line="189" w:lineRule="exact"/>
        <w:rPr>
          <w:sz w:val="20"/>
          <w:szCs w:val="20"/>
          <w:color w:val="auto"/>
        </w:rPr>
      </w:pPr>
    </w:p>
    <w:p>
      <w:pPr>
        <w:jc w:val="both"/>
        <w:ind w:firstLine="237"/>
        <w:spacing w:after="0" w:line="266"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Actual results may differ materially from those expressed in these forward-looking statements. You should not place undue reliance on any forward-looking statements in this Quarterly Report. Although we may from time to time voluntarily update our prior forward-looking statements, we disclaim any commitment to do so except as required by applicable securities laws.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leading provider of high-quality healthcare services to patients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Montana, Nevada, Oklahoma, Oregon, Texas, Utah, Washington, Wisconsin and Wyoming. As of June 30, 2024, our home health and hospice business provided home health, hospice and home care services from 117 agencies operating across these 13 states, and our senior living business operated 54 senior living communities throughout six states.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affiliated home health and hospice agencies and senior living communities as of:</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23"/>
        </w:trPr>
        <w:tc>
          <w:tcPr>
            <w:tcW w:w="33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and hospice agencies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living communities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living units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number of home health, hospice, and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living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Activities</w:t>
      </w:r>
    </w:p>
    <w:p>
      <w:pPr>
        <w:spacing w:after="0" w:line="24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six months ended June 30, 2024, we expanded our operations with the addition of four home health agencies, two hospice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agencies, and three senior living communities. A subsidiary of the Company entered into a separate operations transfer agreement with the prior operator of each acquired operation as part of each transaction.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experienced modest senior living occupancy improvement for the six months ended June 30, 2024, compared to the same period in 2023. Though we have seen improvements in occupancy year over year, the highly competitive environment for senior living residents and inflationary factors will continue to impact the rate at which increase our occupancy levels in our senior living communities.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disclosed under the heading “Government Regulation” in the 2023 Annual Report a summary of regulations that we believe materially affect our business, financial condition or results of operations. Since the time of the filing of the 2023 Annual Report, the following regulations have been updated.</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31, 2024, CMS issued the 2025 Hospice Payment Rate Update final rule (the “Hospice Payment Final Rule”). The Hospice Payment Final Rule’s payment update percentage is 2.9%, which is an estimated increase of $790 million in payments from fiscal year 2024. The payment update percentage is based on a 3.4% market basket percentage increase, which is reduced by a 0.5% productivity adjustment. Hospices that fail to meet quality reporting requirements under the Hospice Quality Reporting Program (HQRP) will receive a 4% reduction to the annual hospice payment update percentage increase for that year. Such a reduction would more than negate the payment update percentage for fiscal year 2025 contained in the Hospice Payment Final Rule for hospices that fail to submit required quality reporting data to CMS. The Hospice Payment Final Rule also adds two new process measures to HQRP, timely reassessment of pain impact, and timely reassessment of non-pain symptom impact, which are both expected to begin in fiscal year 2028. In addition, the Hospice Payment Final Rule updates the statutory aggregate cap that limits the overall payments per patient that may be made to a hospice annually. The hospice cap amount for the 2025 fiscal year is $34,465.34. The Hospice Payment Final Rule also includes clarifying revisions to the hospice conditions of participation; updates statistical area delineations; and makes changes to the Consumer Assessment of Healthcare Providers and Systems (CAHPS) Hospice Survey.</w:t>
      </w: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26, 2024, CMS issued the 2025 Home Health Prospective Payment System Proposed Rule (the “Home Health Payment Proposed Rule”). The Home Health Payment Proposed Rule’s payment update percentage is 2.5%, which is an estimated increase of $415 million from fiscal year 2024, which is offset by an estimated -3.6% behavioral adjustment, along with a -0.6% estimated adjustment for fixed dollar losses, resulting in a an aggregate net decrease of 1.7% or $280 million compared to fiscal year 2024. The Home Health Payment Proposed Rule also recalibrates PDGM case-mix weights, updates low utilization payment adjustment (LUPA) thresholds, and establishes or updates certain LUPA add-ons.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2024, CMS announced a Period of Enhanced Oversight for newly enrolled hospices in Arizona, California, Nevada, and Texas. The program includes hospices that are newly enrolled, or that undergo a change of ownership, after July 13, 2023. Such hospices are subject to enhanced oversight for up to one year and may undergo medical review by CMS contractors to deter fraud, waste and abuse of Medicare funds.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22, 2024, CMS published the Ensuring Access to Medicaid Services (the “Access Rule”) which creates and, over the course of five years, implements new obligations for providers of home- and community-based services (“HCBS”), including non-skilled personal care services in the home. The Access Rule requires that, beginning in 2030, states must implement data collection and monitoring systems to ensure that, subject to exceptions, Medicaid-funded HCBS providers spend at least 80% of their Medicaid HCBS reimbursement on compensation for direct care workers, as opposed to administrative overhead or profits. The Access Rule further requires states to establish a grievance system for addressing services provided in the fee-for-service context, publish fee-for-service payment rates paid by Medicaid, publish the average hourly rate paid to HCBS care providers, and develop hardship exemptions and separate requirements for small providers. The Company anticipates potential changes to the Access Rule, or offsetting Medicaid rate increases, before its ultimate implementation in six years.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6, 2024, the SEC issued its final climate disclosure rule (the “Climate Rule”), intended to regulate how public companies report on the risks and impacts of climate-related matters. The Climate Rule requires companies to report on how they manage and assess climate-related risks, as well as how the board and management oversee these risks. The Climate Rule also mandates companies to disclose the financial consequences of extreme weather events and other natural conditions in their audited financial statements. Additionally, larger companies will have to report on their greenhouse gas emissions, which will be subject to a gradual assurance requirement. The Company anticipates that it will be required to disclose information about its management and oversight of climate risks beginning in 2027, and its greenhouse gas emissions beginning in 2029, assuming no further changes to the Climate Rule, or to the Company’s status as an Accelerated Filer under SEC rules. The Climate Rule is the subject of litigation in various courts and on April 4, 2024, the SEC stayed the Climate Rule pending the outcome of these cases.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two reportable segments: (1) home health and hospice services, which includes our home health, home care and hospice businesses; and</w:t>
      </w:r>
    </w:p>
    <w:p>
      <w:pPr>
        <w:spacing w:after="0" w:line="27" w:lineRule="exact"/>
        <w:rPr>
          <w:sz w:val="20"/>
          <w:szCs w:val="20"/>
          <w:color w:val="auto"/>
        </w:rPr>
      </w:pPr>
    </w:p>
    <w:p>
      <w:pPr>
        <w:ind w:left="5540" w:right="4280" w:hanging="5532"/>
        <w:spacing w:after="0" w:line="902" w:lineRule="auto"/>
        <w:tabs>
          <w:tab w:leader="none" w:pos="26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living services, which includes the operation of assisted living, independent living and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memory care communities. Our Chief Executive Officer, who is our CODM, reviews financial information at the operating segment level. We also report an “all other” category that includes general and administrative expense from our Service Center.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manage the fiscal aspects of our business by monitoring key performance indicators that affect our financial performance. These indicators and their definitions include the following: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Health and Hospice Services</w:t>
      </w:r>
    </w:p>
    <w:p>
      <w:pPr>
        <w:spacing w:after="0" w:line="25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Total home health admissions</w:t>
      </w:r>
      <w:r>
        <w:rPr>
          <w:rFonts w:ascii="Times New Roman" w:cs="Times New Roman" w:eastAsia="Times New Roman" w:hAnsi="Times New Roman"/>
          <w:sz w:val="18"/>
          <w:szCs w:val="18"/>
          <w:color w:val="auto"/>
        </w:rPr>
        <w:t>. Total admissions of home health patients, including new acquisitions, new admissions and readmissions.</w:t>
      </w:r>
    </w:p>
    <w:p>
      <w:pPr>
        <w:spacing w:after="0" w:line="117" w:lineRule="exact"/>
        <w:rPr>
          <w:rFonts w:ascii="Times New Roman" w:cs="Times New Roman" w:eastAsia="Times New Roman" w:hAnsi="Times New Roman"/>
          <w:sz w:val="18"/>
          <w:szCs w:val="18"/>
          <w:i w:val="1"/>
          <w:iCs w:val="1"/>
          <w:color w:val="auto"/>
        </w:rPr>
      </w:pPr>
    </w:p>
    <w:p>
      <w:pPr>
        <w:ind w:left="660" w:right="20" w:hanging="328"/>
        <w:spacing w:after="0" w:line="286"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Total Medicare home health admissions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admissions of home health patients, who are receiving care under Medicare reimbursement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programs, including new acquisitions, new admissions and readmissions.</w:t>
      </w:r>
    </w:p>
    <w:p>
      <w:pPr>
        <w:spacing w:after="0" w:line="46" w:lineRule="exact"/>
        <w:rPr>
          <w:rFonts w:ascii="Times New Roman" w:cs="Times New Roman" w:eastAsia="Times New Roman" w:hAnsi="Times New Roman"/>
          <w:sz w:val="18"/>
          <w:szCs w:val="18"/>
          <w:i w:val="1"/>
          <w:iCs w:val="1"/>
          <w:color w:val="auto"/>
        </w:rPr>
      </w:pPr>
    </w:p>
    <w:p>
      <w:pPr>
        <w:ind w:left="660" w:right="20" w:hanging="328"/>
        <w:spacing w:after="0" w:line="286"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Average Medicare revenue per completed 60-day home health episode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average amount of revenue for each completed 60-day home health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episode generated from patients who are receiving care under Medicare reimbursement programs.</w:t>
      </w:r>
    </w:p>
    <w:p>
      <w:pPr>
        <w:spacing w:after="0" w:line="4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Total hospice admissions</w:t>
      </w:r>
      <w:r>
        <w:rPr>
          <w:rFonts w:ascii="Times New Roman" w:cs="Times New Roman" w:eastAsia="Times New Roman" w:hAnsi="Times New Roman"/>
          <w:sz w:val="18"/>
          <w:szCs w:val="18"/>
          <w:color w:val="auto"/>
        </w:rPr>
        <w:t>. Total admissions of hospice patients, including new acquisitions, new admissions and recertifications.</w:t>
      </w:r>
    </w:p>
    <w:p>
      <w:pPr>
        <w:spacing w:after="0" w:line="117"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Average hospice daily census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average number of patients who are receiving hospice care during any measurement period divided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days during such measurement period.</w:t>
      </w:r>
    </w:p>
    <w:p>
      <w:pPr>
        <w:spacing w:after="0" w:line="46" w:lineRule="exact"/>
        <w:rPr>
          <w:rFonts w:ascii="Times New Roman" w:cs="Times New Roman" w:eastAsia="Times New Roman" w:hAnsi="Times New Roman"/>
          <w:sz w:val="18"/>
          <w:szCs w:val="18"/>
          <w:b w:val="1"/>
          <w:bCs w:val="1"/>
          <w:i w:val="1"/>
          <w:iCs w:val="1"/>
          <w:color w:val="auto"/>
        </w:rPr>
      </w:pPr>
    </w:p>
    <w:p>
      <w:pPr>
        <w:ind w:left="660" w:right="20" w:hanging="328"/>
        <w:spacing w:after="0" w:line="28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Hospice Medicare revenue per day</w:t>
      </w:r>
      <w:r>
        <w:rPr>
          <w:rFonts w:ascii="Times New Roman" w:cs="Times New Roman" w:eastAsia="Times New Roman" w:hAnsi="Times New Roman"/>
          <w:sz w:val="18"/>
          <w:szCs w:val="18"/>
          <w:color w:val="auto"/>
        </w:rPr>
        <w:t>. The average daily Medicare revenue recorded during any measurement period for services provided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hospice patients.</w:t>
      </w:r>
    </w:p>
    <w:p>
      <w:pPr>
        <w:spacing w:after="0" w:line="18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our overall home health and hospice statistics for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00" w:type="dxa"/>
            <w:vAlign w:val="bottom"/>
          </w:tcPr>
          <w:p>
            <w:pPr>
              <w:spacing w:after="0"/>
              <w:rPr>
                <w:sz w:val="17"/>
                <w:szCs w:val="17"/>
                <w:color w:val="auto"/>
              </w:rPr>
            </w:pPr>
          </w:p>
        </w:tc>
        <w:tc>
          <w:tcPr>
            <w:tcW w:w="22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41"/>
        </w:trPr>
        <w:tc>
          <w:tcPr>
            <w:tcW w:w="6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25"/>
        </w:trPr>
        <w:tc>
          <w:tcPr>
            <w:tcW w:w="6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services: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home health admissions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21,351</w:t>
            </w:r>
          </w:p>
        </w:tc>
      </w:tr>
      <w:tr>
        <w:trPr>
          <w:trHeight w:val="230"/>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Medicare home health admissions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9,797</w:t>
            </w:r>
          </w:p>
        </w:tc>
      </w:tr>
      <w:tr>
        <w:trPr>
          <w:trHeight w:val="230"/>
        </w:trPr>
        <w:tc>
          <w:tcPr>
            <w:tcW w:w="64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Average Medicare revenue per 60-day completed episode</w:t>
            </w:r>
            <w:r>
              <w:rPr>
                <w:rFonts w:ascii="Times New Roman" w:cs="Times New Roman" w:eastAsia="Times New Roman" w:hAnsi="Times New Roman"/>
                <w:sz w:val="23"/>
                <w:szCs w:val="23"/>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Hospice services: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hospice admissions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r>
      <w:tr>
        <w:trPr>
          <w:trHeight w:val="230"/>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hospice daily census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r>
      <w:tr>
        <w:trPr>
          <w:trHeight w:val="234"/>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Hospice Medicare revenue per day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bl>
    <w:p>
      <w:pPr>
        <w:spacing w:after="0" w:line="121" w:lineRule="exact"/>
        <w:rPr>
          <w:sz w:val="20"/>
          <w:szCs w:val="20"/>
          <w:color w:val="auto"/>
        </w:rPr>
      </w:pPr>
    </w:p>
    <w:p>
      <w:pPr>
        <w:ind w:left="480" w:hanging="454"/>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year-to-date average Medicare revenue per 60-day completed episode includes post period claim adjustments for prior quarters.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Living Services</w:t>
      </w:r>
    </w:p>
    <w:p>
      <w:pPr>
        <w:spacing w:after="0" w:line="252" w:lineRule="exact"/>
        <w:rPr>
          <w:sz w:val="20"/>
          <w:szCs w:val="20"/>
          <w:color w:val="auto"/>
        </w:rPr>
      </w:pPr>
    </w:p>
    <w:p>
      <w:pPr>
        <w:ind w:left="660" w:hanging="328"/>
        <w:spacing w:after="0" w:line="28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Occupancy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ratio of actual number of days our units are occupied during any measurement period to the number of days units are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occupancy during such measurement period.</w:t>
      </w:r>
    </w:p>
    <w:p>
      <w:pPr>
        <w:spacing w:after="0" w:line="4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Average monthly revenue per occupied unit</w:t>
      </w:r>
      <w:r>
        <w:rPr>
          <w:rFonts w:ascii="Times New Roman" w:cs="Times New Roman" w:eastAsia="Times New Roman" w:hAnsi="Times New Roman"/>
          <w:sz w:val="18"/>
          <w:szCs w:val="18"/>
          <w:color w:val="auto"/>
        </w:rPr>
        <w:t>. The revenue for senior living services during any measurement period divided by actual occupied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living units for such measurement period divided by the number of months for such measurement period.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senior living statistics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250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7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78.1 %</w:t>
            </w:r>
          </w:p>
        </w:tc>
      </w:tr>
      <w:tr>
        <w:trPr>
          <w:trHeight w:val="23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revenue per occupied unit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4,412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4,730</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4,357</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Health and Hospice Services</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Home Health. </w:t>
      </w:r>
      <w:r>
        <w:rPr>
          <w:rFonts w:ascii="Times New Roman" w:cs="Times New Roman" w:eastAsia="Times New Roman" w:hAnsi="Times New Roman"/>
          <w:sz w:val="18"/>
          <w:szCs w:val="18"/>
          <w:color w:val="auto"/>
        </w:rPr>
        <w:t>We derive the majority of our home health revenue from Medicare and managed care. The Medicare payment is adjusted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differences between estimated and actual payment amounts, an inability to obtain appropriate billing documentation or authorizations acceptable to the payor and other reasons unrelated to credit risk. Net service revenue is recognized in accordance with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PDGM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 (h) recoveries of overpayments. For further detail regarding PDGM see the </w:t>
      </w:r>
      <w:r>
        <w:rPr>
          <w:rFonts w:ascii="Times New Roman" w:cs="Times New Roman" w:eastAsia="Times New Roman" w:hAnsi="Times New Roman"/>
          <w:sz w:val="18"/>
          <w:szCs w:val="18"/>
          <w:i w:val="1"/>
          <w:iCs w:val="1"/>
          <w:color w:val="auto"/>
        </w:rPr>
        <w:t>Government Regulation</w:t>
      </w:r>
      <w:r>
        <w:rPr>
          <w:rFonts w:ascii="Times New Roman" w:cs="Times New Roman" w:eastAsia="Times New Roman" w:hAnsi="Times New Roman"/>
          <w:sz w:val="18"/>
          <w:szCs w:val="18"/>
          <w:color w:val="auto"/>
        </w:rPr>
        <w:t xml:space="preserve"> section of our 2023 Annual Report.</w:t>
      </w:r>
    </w:p>
    <w:p>
      <w:pPr>
        <w:spacing w:after="0" w:line="21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Hospice. </w:t>
      </w:r>
      <w:r>
        <w:rPr>
          <w:rFonts w:ascii="Times New Roman" w:cs="Times New Roman" w:eastAsia="Times New Roman" w:hAnsi="Times New Roman"/>
          <w:sz w:val="18"/>
          <w:szCs w:val="18"/>
          <w:color w:val="auto"/>
        </w:rPr>
        <w:t>We derive the majority of our hospice business revenue from Medicare reimbursement. The estimated payment rates are calculated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spacing w:after="0" w:line="203" w:lineRule="exact"/>
        <w:rPr>
          <w:sz w:val="20"/>
          <w:szCs w:val="20"/>
          <w:color w:val="auto"/>
        </w:rPr>
      </w:pPr>
    </w:p>
    <w:p>
      <w:pPr>
        <w:ind w:left="660" w:hanging="328"/>
        <w:spacing w:after="0" w:line="28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Routine Home Care (“RHC”). </w:t>
      </w:r>
      <w:r>
        <w:rPr>
          <w:rFonts w:ascii="Times New Roman" w:cs="Times New Roman" w:eastAsia="Times New Roman" w:hAnsi="Times New Roman"/>
          <w:sz w:val="18"/>
          <w:szCs w:val="18"/>
          <w:color w:val="auto"/>
        </w:rPr>
        <w:t>Care that is not classified under any of the other levels of care, such as the work of nurses, social workers or home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 aides.</w:t>
      </w:r>
    </w:p>
    <w:p>
      <w:pPr>
        <w:spacing w:after="0" w:line="4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General Inpatient Care. </w:t>
      </w:r>
      <w:r>
        <w:rPr>
          <w:rFonts w:ascii="Times New Roman" w:cs="Times New Roman" w:eastAsia="Times New Roman" w:hAnsi="Times New Roman"/>
          <w:sz w:val="18"/>
          <w:szCs w:val="18"/>
          <w:color w:val="auto"/>
        </w:rPr>
        <w:t>Pain control or acute or chronic symptom management that cannot be managed in a setting other than an inpatient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Medicare-certified facility, such as a hospital, skilled nursing facility or hospice inpatient facility.</w:t>
      </w:r>
    </w:p>
    <w:p>
      <w:pPr>
        <w:spacing w:after="0" w:line="4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Continuous Home Care. </w:t>
      </w:r>
      <w:r>
        <w:rPr>
          <w:rFonts w:ascii="Times New Roman" w:cs="Times New Roman" w:eastAsia="Times New Roman" w:hAnsi="Times New Roman"/>
          <w:sz w:val="18"/>
          <w:szCs w:val="18"/>
          <w:color w:val="auto"/>
        </w:rPr>
        <w:t>Care for patients experiencing a medical crisis that requires nursing services to achieve palliation and symptom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the agency provides a minimum of eight hours of care within a 24-hour period.</w:t>
      </w:r>
    </w:p>
    <w:p>
      <w:pPr>
        <w:spacing w:after="0" w:line="4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Inpatient Respite Care. </w:t>
      </w:r>
      <w:r>
        <w:rPr>
          <w:rFonts w:ascii="Times New Roman" w:cs="Times New Roman" w:eastAsia="Times New Roman" w:hAnsi="Times New Roman"/>
          <w:sz w:val="18"/>
          <w:szCs w:val="18"/>
          <w:color w:val="auto"/>
        </w:rPr>
        <w:t>Short-term, inpatient care to give temporary relief to the caregiver who regularly provides care to the patient.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CMS has established a two-tiered payment system for RHC services. Hospices are reimbursed at a higher rate for RHC services provided from days of service one through 60 and a lower rate for all subsequent days of service. CMS also provides for a Service Intensity Add-On, which increases payments for certain RHC services provided by registered nurses and social workers to hospice patients during the final seven days of life.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estimate amounts due back to Medicare to the extent that the cap has been exceeded.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Senior Living Services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June 30, 2024, we provided assisted living, independent living and memory care services in 54 communities. Within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senior living operations, we generate revenue primarily from private pay sources, with a portion earned from Medicaid or other state-specific programs.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Components of Expense</w:t>
      </w:r>
    </w:p>
    <w:p>
      <w:pPr>
        <w:spacing w:after="0" w:line="25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Cost of Services (excluding rent, general and administrative expense and depreciation and amortization)</w:t>
      </w:r>
      <w:r>
        <w:rPr>
          <w:rFonts w:ascii="Times New Roman" w:cs="Times New Roman" w:eastAsia="Times New Roman" w:hAnsi="Times New Roman"/>
          <w:sz w:val="18"/>
          <w:szCs w:val="18"/>
          <w:color w:val="auto"/>
        </w:rPr>
        <w:t>. Our cost of services represents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 operating our independent operating subsidiaries, which primarily consists of payroll and related benefits, supplies, purchased services, and ancillary expenses such as the cost of pharmacy and therapy services provided to patients. Cost of services also includes the cost of general and professional liability insurance and other general cost of services specifically attributable to our operations.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Rent—Cost of Services</w:t>
      </w:r>
      <w:r>
        <w:rPr>
          <w:rFonts w:ascii="Times New Roman" w:cs="Times New Roman" w:eastAsia="Times New Roman" w:hAnsi="Times New Roman"/>
          <w:sz w:val="18"/>
          <w:szCs w:val="18"/>
          <w:color w:val="auto"/>
        </w:rPr>
        <w:t>. Rent—cost of services consists solely of base minimum rent amounts payable under lease agreements to our landlords.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subsidiaries lease and operate but do not own the underlying real estate at our operations, and these amounts do not include taxes, insurance, impounds, capital reserves or other charges payable under the applicable lease agreements.</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r>
        <w:rPr>
          <w:rFonts w:ascii="Times New Roman" w:cs="Times New Roman" w:eastAsia="Times New Roman" w:hAnsi="Times New Roman"/>
          <w:sz w:val="18"/>
          <w:szCs w:val="18"/>
          <w:color w:val="auto"/>
        </w:rPr>
        <w:t>. General and administrative expense consists primarily of payroll and related benefits and travel expenses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our Service Center personnel, including training and other operational support. General and administrative expense also includes professional fees (including accounting and legal fees), costs relating to information systems, stock-based compensation and rent for our Service Center offices.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r>
        <w:rPr>
          <w:rFonts w:ascii="Times New Roman" w:cs="Times New Roman" w:eastAsia="Times New Roman" w:hAnsi="Times New Roman"/>
          <w:sz w:val="18"/>
          <w:szCs w:val="18"/>
          <w:color w:val="auto"/>
        </w:rPr>
        <w:t>. Property and equipment are recorded at their original historical cost. Depreciation is computed using the straight-line method over the estimated useful lives of the depreciable assets (ranging from one to 40 years). Leasehold improvements are amortized on a straight-line basis over the shorter of their estimated useful lives or the remaining lease term.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discussion and analysis of our financial condition and results of operations are based on Interim Financial Statements, which have been prepared in accordance with U.S. generally accepted accounting principles (“GAAP”). The preparation of the Interim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 On an ongoing basis we review our judgments and estimates, including but not limited to those related to self-insurance reserves, revenue, intangible assets, and goodwill.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Times New Roman" w:cs="Times New Roman" w:eastAsia="Times New Roman" w:hAnsi="Times New Roman"/>
          <w:sz w:val="18"/>
          <w:szCs w:val="18"/>
          <w:i w:val="1"/>
          <w:iCs w:val="1"/>
          <w:color w:val="auto"/>
        </w:rPr>
        <w:t>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Presentation and Summary of Significant Accounting Policies</w:t>
      </w:r>
      <w:r>
        <w:rPr>
          <w:rFonts w:ascii="Times New Roman" w:cs="Times New Roman" w:eastAsia="Times New Roman" w:hAnsi="Times New Roman"/>
          <w:sz w:val="18"/>
          <w:szCs w:val="18"/>
          <w:color w:val="auto"/>
        </w:rPr>
        <w:t>, within the 2023 Annual Report for further information on our critical accounting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policies, which are as follows:</w:t>
      </w:r>
    </w:p>
    <w:p>
      <w:pPr>
        <w:spacing w:after="0" w:line="215" w:lineRule="exact"/>
        <w:rPr>
          <w:sz w:val="20"/>
          <w:szCs w:val="20"/>
          <w:color w:val="auto"/>
        </w:rPr>
      </w:pPr>
    </w:p>
    <w:p>
      <w:pPr>
        <w:ind w:left="66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Self-insurance reserves </w:t>
      </w:r>
      <w:r>
        <w:rPr>
          <w:rFonts w:ascii="Times New Roman" w:cs="Times New Roman" w:eastAsia="Times New Roman" w:hAnsi="Times New Roman"/>
          <w:sz w:val="18"/>
          <w:szCs w:val="18"/>
          <w:color w:val="auto"/>
        </w:rPr>
        <w:t>- The valuation methods and assumptions used in estimating costs up to retention amounts to settle open claims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insureds and an estimate of the cost of insured claims up to retention amounts that have been incurred but not reported;</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The amounts owed by private pay individuals for services and estimate of variable considerations to arrive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price, including methods and assumptions, used to determine settlements with Medicare and Medicaid adjustments due to audits and reviews; and</w:t>
      </w:r>
    </w:p>
    <w:p>
      <w:pPr>
        <w:spacing w:after="0" w:line="62"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Acquisition accounting and goodwill </w:t>
      </w:r>
      <w:r>
        <w:rPr>
          <w:rFonts w:ascii="Times New Roman" w:cs="Times New Roman" w:eastAsia="Times New Roman" w:hAnsi="Times New Roman"/>
          <w:sz w:val="18"/>
          <w:szCs w:val="18"/>
          <w:color w:val="auto"/>
        </w:rPr>
        <w:t>- The assumptions used to allocate the purchase price paid for assets acquired and liabilities assumed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our acquisitions, and the review of goodwill for impairment at the Company’s annual impairment test date or upon the occurrence of a triggering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color w:val="auto"/>
        </w:rPr>
        <w:t xml:space="preserve">Information concerning recently issued accounting pronouncements, if applicable, are included in Note 2, </w:t>
      </w:r>
      <w:r>
        <w:rPr>
          <w:rFonts w:ascii="Times New Roman" w:cs="Times New Roman" w:eastAsia="Times New Roman" w:hAnsi="Times New Roman"/>
          <w:sz w:val="18"/>
          <w:szCs w:val="18"/>
          <w:i w:val="1"/>
          <w:iCs w:val="1"/>
          <w:color w:val="auto"/>
        </w:rPr>
        <w:t>Basis of Presentation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in the Interim Financial Statements.</w:t>
      </w: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details of our revenue, expenses and earnings as a percentage of total revenue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28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7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7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services</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80.7</w:t>
            </w:r>
          </w:p>
        </w:tc>
      </w:tr>
      <w:tr>
        <w:trPr>
          <w:trHeight w:val="229"/>
        </w:trPr>
        <w:tc>
          <w:tcPr>
            <w:tcW w:w="5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Rent—cost of services</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(gain) on disposition of property and equipment, net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expenses</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96.0</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income</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7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 expense, net</w:t>
            </w: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5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Pennant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consolidated GAAP Financial measures for the three and six months ended June 30, 2024 and 2023:</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6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0"/>
                <w:szCs w:val="20"/>
                <w:color w:val="auto"/>
              </w:rPr>
            </w:pPr>
          </w:p>
        </w:tc>
        <w:tc>
          <w:tcPr>
            <w:tcW w:w="23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60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GAAP Financial Measures: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168,745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132,281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325,660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258,745</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248,204</w:t>
            </w:r>
          </w:p>
        </w:tc>
      </w:tr>
      <w:tr>
        <w:trPr>
          <w:trHeight w:val="228"/>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certain financial information regarding our reportable segments for the periods presented. General and administrative expenses are not allocated to the reportable segments and are included in “All Other”: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Home Health and</w:t>
            </w:r>
          </w:p>
        </w:tc>
        <w:tc>
          <w:tcPr>
            <w:tcW w:w="26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Senior Living</w:t>
            </w:r>
          </w:p>
        </w:tc>
        <w:tc>
          <w:tcPr>
            <w:tcW w:w="320" w:type="dxa"/>
            <w:vAlign w:val="bottom"/>
          </w:tcPr>
          <w:p>
            <w:pPr>
              <w:spacing w:after="0"/>
              <w:rPr>
                <w:sz w:val="17"/>
                <w:szCs w:val="17"/>
                <w:color w:val="auto"/>
              </w:rPr>
            </w:pPr>
          </w:p>
        </w:tc>
        <w:tc>
          <w:tcPr>
            <w:tcW w:w="13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40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Hospice Services</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GAAP Financial Measures: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125,301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43,444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168,745</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21,214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12,804</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(10,546)</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23,472</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95,020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37,261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132,281</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15,681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11,680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Home Health and</w:t>
            </w:r>
          </w:p>
        </w:tc>
        <w:tc>
          <w:tcPr>
            <w:tcW w:w="26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Senior Living</w:t>
            </w:r>
          </w:p>
        </w:tc>
        <w:tc>
          <w:tcPr>
            <w:tcW w:w="340" w:type="dxa"/>
            <w:vAlign w:val="bottom"/>
          </w:tcPr>
          <w:p>
            <w:pPr>
              <w:spacing w:after="0"/>
              <w:rPr>
                <w:sz w:val="17"/>
                <w:szCs w:val="17"/>
                <w:color w:val="auto"/>
              </w:rPr>
            </w:pPr>
          </w:p>
        </w:tc>
        <w:tc>
          <w:tcPr>
            <w:tcW w:w="13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40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Hospice Services</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2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GAAP Financial Measures: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241,791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83,869</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325,660</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40,764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24,815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(20,707)</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44,872</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186,099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72,646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258,745</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30,093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21,921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(15,399)</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36,615</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provides a reconciliation of Segment Adjusted EBITDAR from Operations to Condensed Consolidated Income from Operations: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0"/>
                <w:szCs w:val="20"/>
                <w:color w:val="auto"/>
              </w:rPr>
            </w:pPr>
          </w:p>
        </w:tc>
        <w:tc>
          <w:tcPr>
            <w:tcW w:w="23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Segment Adjusted EBITDAR from Operations</w:t>
            </w:r>
            <w:r>
              <w:rPr>
                <w:rFonts w:ascii="Times New Roman" w:cs="Times New Roman" w:eastAsia="Times New Roman" w:hAnsi="Times New Roman"/>
                <w:sz w:val="23"/>
                <w:szCs w:val="23"/>
                <w:color w:val="auto"/>
                <w:vertAlign w:val="superscript"/>
              </w:rPr>
              <w:t>(a)</w:t>
            </w:r>
          </w:p>
        </w:tc>
        <w:tc>
          <w:tcPr>
            <w:tcW w:w="16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36,615</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Rent—cost of services</w:t>
            </w: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0" w:type="dxa"/>
            <w:vAlign w:val="bottom"/>
          </w:tcPr>
          <w:p>
            <w:pPr>
              <w:spacing w:after="0"/>
              <w:rPr>
                <w:sz w:val="1"/>
                <w:szCs w:val="1"/>
                <w:color w:val="auto"/>
              </w:rPr>
            </w:pPr>
          </w:p>
        </w:tc>
      </w:tr>
      <w:tr>
        <w:trPr>
          <w:trHeight w:val="230"/>
        </w:trPr>
        <w:tc>
          <w:tcPr>
            <w:tcW w:w="4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(expense) income</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Segment EBITDAR from Operations:</w:t>
            </w: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Costs at start-up operations</w:t>
            </w:r>
            <w:r>
              <w:rPr>
                <w:rFonts w:ascii="Times New Roman" w:cs="Times New Roman" w:eastAsia="Times New Roman" w:hAnsi="Times New Roman"/>
                <w:sz w:val="23"/>
                <w:szCs w:val="23"/>
                <w:color w:val="auto"/>
                <w:vertAlign w:val="superscript"/>
              </w:rPr>
              <w:t>(b)</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23"/>
                <w:szCs w:val="23"/>
                <w:color w:val="auto"/>
                <w:vertAlign w:val="superscript"/>
              </w:rPr>
              <w:t>(c)</w:t>
            </w: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0" w:type="dxa"/>
            <w:vAlign w:val="bottom"/>
          </w:tcPr>
          <w:p>
            <w:pPr>
              <w:spacing w:after="0"/>
              <w:rPr>
                <w:sz w:val="1"/>
                <w:szCs w:val="1"/>
                <w:color w:val="auto"/>
              </w:rPr>
            </w:pPr>
          </w:p>
        </w:tc>
      </w:tr>
      <w:tr>
        <w:trPr>
          <w:trHeight w:val="230"/>
        </w:trPr>
        <w:tc>
          <w:tcPr>
            <w:tcW w:w="476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Acquisition related costs and credit allowances</w:t>
            </w:r>
            <w:r>
              <w:rPr>
                <w:rFonts w:ascii="Times New Roman" w:cs="Times New Roman" w:eastAsia="Times New Roman" w:hAnsi="Times New Roman"/>
                <w:sz w:val="23"/>
                <w:szCs w:val="23"/>
                <w:color w:val="auto"/>
                <w:vertAlign w:val="superscript"/>
              </w:rPr>
              <w:t>(d)</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Costs associated with transitioning operations</w:t>
            </w:r>
            <w:r>
              <w:rPr>
                <w:rFonts w:ascii="Times New Roman" w:cs="Times New Roman" w:eastAsia="Times New Roman" w:hAnsi="Times New Roman"/>
                <w:sz w:val="23"/>
                <w:szCs w:val="23"/>
                <w:color w:val="auto"/>
                <w:vertAlign w:val="superscript"/>
              </w:rPr>
              <w:t>(e)</w:t>
            </w: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29"/>
        </w:trPr>
        <w:tc>
          <w:tcPr>
            <w:tcW w:w="476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Unusual, non-recurring or redundant charges</w:t>
            </w:r>
            <w:r>
              <w:rPr>
                <w:rFonts w:ascii="Times New Roman" w:cs="Times New Roman" w:eastAsia="Times New Roman" w:hAnsi="Times New Roman"/>
                <w:sz w:val="23"/>
                <w:szCs w:val="23"/>
                <w:color w:val="auto"/>
                <w:vertAlign w:val="superscript"/>
              </w:rPr>
              <w:t>(f)</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13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Condensed Consolidated Income from Operations</w:t>
            </w:r>
          </w:p>
        </w:tc>
        <w:tc>
          <w:tcPr>
            <w:tcW w:w="13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3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76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80" w:right="20" w:hanging="454"/>
        <w:spacing w:after="0" w:line="265" w:lineRule="auto"/>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and credit allowances, (4) the costs associated with transitioning operations, (5) unusual, non-recurring or redundant charges, and (6) net income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26"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results related to start-up operations. This amount excludes rent and depreciation and amortization expense related to such operations.</w:t>
      </w:r>
    </w:p>
    <w:p>
      <w:pPr>
        <w:spacing w:after="0" w:line="68" w:lineRule="exact"/>
        <w:rPr>
          <w:rFonts w:ascii="Times New Roman" w:cs="Times New Roman" w:eastAsia="Times New Roman" w:hAnsi="Times New Roman"/>
          <w:sz w:val="14"/>
          <w:szCs w:val="14"/>
          <w:color w:val="auto"/>
        </w:rPr>
      </w:pPr>
    </w:p>
    <w:p>
      <w:pPr>
        <w:ind w:left="480" w:right="20" w:hanging="454"/>
        <w:spacing w:after="0" w:line="291" w:lineRule="auto"/>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 and related payroll taxes incurred. Share-based compensation expense and related payroll taxes are included in cost of services and general and administrative expense.</w:t>
      </w:r>
    </w:p>
    <w:p>
      <w:pPr>
        <w:spacing w:after="0" w:line="14"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Non-capitalizable costs associated with acquisitions, credit allowances, and write offs for amounts in dispute with the prior owners of certain acquired operations.</w:t>
      </w:r>
    </w:p>
    <w:p>
      <w:pPr>
        <w:spacing w:after="0" w:line="68" w:lineRule="exact"/>
        <w:rPr>
          <w:rFonts w:ascii="Times New Roman" w:cs="Times New Roman" w:eastAsia="Times New Roman" w:hAnsi="Times New Roman"/>
          <w:sz w:val="14"/>
          <w:szCs w:val="14"/>
          <w:color w:val="auto"/>
        </w:rPr>
      </w:pPr>
    </w:p>
    <w:p>
      <w:pPr>
        <w:jc w:val="both"/>
        <w:ind w:left="480" w:right="20" w:hanging="454"/>
        <w:spacing w:after="0" w:line="275" w:lineRule="auto"/>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2023, an affiliate of the Company placed its memory care units into transition and began seeking to sublease the units to an unrelated third party. The amount above represents the net operating impact attributable to the units in transition. The amounts reported exclude rent and depreciation and amortization expense related to such operations and include legal settlement costs associated with one of the entities transitioned to Ensign.</w:t>
      </w:r>
    </w:p>
    <w:p>
      <w:pPr>
        <w:spacing w:after="0" w:line="13"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unusual or non-recurring charges for legal services, implementation costs, integration costs, and consulting fees in general and administrative and cost of services expenses.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Performance and Valuation Measures: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0"/>
                <w:szCs w:val="20"/>
                <w:color w:val="auto"/>
              </w:rPr>
            </w:pPr>
          </w:p>
        </w:tc>
        <w:tc>
          <w:tcPr>
            <w:tcW w:w="23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6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Non-GAAP Financial Measures: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Metrics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EBITDA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10,624</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20,412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12,828</w:t>
            </w:r>
          </w:p>
        </w:tc>
      </w:tr>
      <w:tr>
        <w:trPr>
          <w:trHeight w:val="229"/>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Adjusted EBITDA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13,150</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24,374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17,984</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Metric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4"/>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Adjusted EBITDAR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23,472</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44,872</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0"/>
                <w:szCs w:val="20"/>
                <w:color w:val="auto"/>
              </w:rPr>
            </w:pPr>
          </w:p>
        </w:tc>
        <w:tc>
          <w:tcPr>
            <w:tcW w:w="23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60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Segment Non-GAAP Measures:</w:t>
            </w:r>
            <w:r>
              <w:rPr>
                <w:rFonts w:ascii="Times New Roman" w:cs="Times New Roman" w:eastAsia="Times New Roman" w:hAnsi="Times New Roman"/>
                <w:sz w:val="23"/>
                <w:szCs w:val="23"/>
                <w:b w:val="1"/>
                <w:bCs w:val="1"/>
                <w:color w:val="auto"/>
                <w:vertAlign w:val="superscript"/>
              </w:rPr>
              <w:t>(a)</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 from Operations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Home health and hospice services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19,607</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37,493</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27,572</w:t>
            </w:r>
          </w:p>
        </w:tc>
      </w:tr>
      <w:tr>
        <w:trPr>
          <w:trHeight w:val="234"/>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living services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7,588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r>
    </w:tbl>
    <w:p>
      <w:pPr>
        <w:spacing w:after="0" w:line="107" w:lineRule="exact"/>
        <w:rPr>
          <w:sz w:val="20"/>
          <w:szCs w:val="20"/>
          <w:color w:val="auto"/>
        </w:rPr>
      </w:pPr>
    </w:p>
    <w:p>
      <w:pPr>
        <w:ind w:left="480" w:hanging="454"/>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administrative expenses are not allocated to any segment for purposes of determining segment profit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8"/>
          <w:szCs w:val="18"/>
          <w:color w:val="auto"/>
        </w:rPr>
        <w:t>The tables below reconcile Consolidated Net Income to the consolidated Non-GAAP financial measures, Consolidated EBITDA and Consolidated Adjusted EBITDA, and to the Non-GAAP valuation measure, Consolidated Adjusted EBITDAR,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6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0"/>
                <w:szCs w:val="20"/>
                <w:color w:val="auto"/>
              </w:rPr>
            </w:pPr>
          </w:p>
        </w:tc>
        <w:tc>
          <w:tcPr>
            <w:tcW w:w="23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6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Provision for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r>
      <w:tr>
        <w:trPr>
          <w:trHeight w:val="229"/>
        </w:trPr>
        <w:tc>
          <w:tcPr>
            <w:tcW w:w="6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230"/>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r>
      <w:tr>
        <w:trPr>
          <w:trHeight w:val="223"/>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EBITDA</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12,828</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Consolidated EBITDA</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Add: Costs at start-up operations</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612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r>
      <w:tr>
        <w:trPr>
          <w:trHeight w:val="230"/>
        </w:trPr>
        <w:tc>
          <w:tcPr>
            <w:tcW w:w="612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Acquisition related costs and credit allowances</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612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Costs associated with transitioning operations</w:t>
            </w:r>
            <w:r>
              <w:rPr>
                <w:rFonts w:ascii="Times New Roman" w:cs="Times New Roman" w:eastAsia="Times New Roman" w:hAnsi="Times New Roman"/>
                <w:sz w:val="23"/>
                <w:szCs w:val="23"/>
                <w:color w:val="auto"/>
                <w:vertAlign w:val="superscript"/>
              </w:rPr>
              <w:t>(d)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612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Unusual, non-recurring or redundant charges</w:t>
            </w:r>
            <w:r>
              <w:rPr>
                <w:rFonts w:ascii="Times New Roman" w:cs="Times New Roman" w:eastAsia="Times New Roman" w:hAnsi="Times New Roman"/>
                <w:sz w:val="23"/>
                <w:szCs w:val="23"/>
                <w:color w:val="auto"/>
                <w:vertAlign w:val="superscript"/>
              </w:rPr>
              <w: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29"/>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Rent related to items (a) and (d) above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23"/>
        </w:trPr>
        <w:tc>
          <w:tcPr>
            <w:tcW w:w="6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Consolidated Adjusted EBITDA</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17,984</w:t>
            </w:r>
          </w:p>
        </w:tc>
      </w:tr>
      <w:tr>
        <w:trPr>
          <w:trHeight w:val="223"/>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Rent—cost of services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r>
      <w:tr>
        <w:trPr>
          <w:trHeight w:val="229"/>
        </w:trPr>
        <w:tc>
          <w:tcPr>
            <w:tcW w:w="6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Rent related to items (a) and (d) above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2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rent—cost of services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18,631</w:t>
            </w:r>
          </w:p>
        </w:tc>
      </w:tr>
      <w:tr>
        <w:trPr>
          <w:trHeight w:val="223"/>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Adjusted EBITDAR</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26" w:lineRule="exact"/>
        <w:rPr>
          <w:sz w:val="20"/>
          <w:szCs w:val="20"/>
          <w:color w:val="auto"/>
        </w:rPr>
      </w:pPr>
    </w:p>
    <w:p>
      <w:pPr>
        <w:ind w:left="480" w:hanging="454"/>
        <w:spacing w:after="0"/>
        <w:tabs>
          <w:tab w:leader="none" w:pos="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results related to start-up operations. This amount excludes rent and depreciation and amortization expense related to such operations.</w:t>
      </w:r>
    </w:p>
    <w:p>
      <w:pPr>
        <w:spacing w:after="0" w:line="68" w:lineRule="exact"/>
        <w:rPr>
          <w:rFonts w:ascii="Times New Roman" w:cs="Times New Roman" w:eastAsia="Times New Roman" w:hAnsi="Times New Roman"/>
          <w:sz w:val="14"/>
          <w:szCs w:val="14"/>
          <w:color w:val="auto"/>
        </w:rPr>
      </w:pPr>
    </w:p>
    <w:p>
      <w:pPr>
        <w:ind w:left="480" w:right="20" w:hanging="454"/>
        <w:spacing w:after="0" w:line="282" w:lineRule="auto"/>
        <w:tabs>
          <w:tab w:leader="none" w:pos="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 and related payroll taxes incurred. Share-based compensation expense and related payroll taxes are included in cost of services and general and administrative expense.</w:t>
      </w:r>
    </w:p>
    <w:p>
      <w:pPr>
        <w:spacing w:after="0" w:line="26"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Non-capitalizable costs associated with acquisitions, credit allowances, and write offs for amounts in dispute with the prior owners of certain acquired operations.</w:t>
      </w:r>
    </w:p>
    <w:p>
      <w:pPr>
        <w:spacing w:after="0" w:line="68" w:lineRule="exact"/>
        <w:rPr>
          <w:rFonts w:ascii="Times New Roman" w:cs="Times New Roman" w:eastAsia="Times New Roman" w:hAnsi="Times New Roman"/>
          <w:sz w:val="14"/>
          <w:szCs w:val="14"/>
          <w:color w:val="auto"/>
        </w:rPr>
      </w:pPr>
    </w:p>
    <w:p>
      <w:pPr>
        <w:jc w:val="both"/>
        <w:ind w:left="480" w:right="20" w:hanging="454"/>
        <w:spacing w:after="0" w:line="271" w:lineRule="auto"/>
        <w:tabs>
          <w:tab w:leader="none" w:pos="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2023, an affiliate of the Company placed its memory care units into transition and began seeking to sublease the units to an unrelated third party. The amount above represents the net operating impact attributable to the units in transition. The amounts reported exclude rent and depreciation and amortization expense related to such operations and include legal settlement costs associated with one of the entities transitioned to Ensign.</w:t>
      </w:r>
    </w:p>
    <w:p>
      <w:pPr>
        <w:spacing w:after="0" w:line="21"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unusual or non-recurring charges for legal services, implementation costs, integration costs, and consulting fees in general and administrative and cost of services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below reconciles Segment Adjusted EBITDAR from Operations to Segment Adjusted EBITDA from Operations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Home Health and Hospice</w:t>
            </w:r>
          </w:p>
        </w:tc>
        <w:tc>
          <w:tcPr>
            <w:tcW w:w="280" w:type="dxa"/>
            <w:vAlign w:val="bottom"/>
          </w:tcPr>
          <w:p>
            <w:pPr>
              <w:spacing w:after="0"/>
              <w:rPr>
                <w:sz w:val="19"/>
                <w:szCs w:val="19"/>
                <w:color w:val="auto"/>
              </w:rPr>
            </w:pPr>
          </w:p>
        </w:tc>
        <w:tc>
          <w:tcPr>
            <w:tcW w:w="230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Senior Living</w:t>
            </w:r>
          </w:p>
        </w:tc>
      </w:tr>
      <w:tr>
        <w:trPr>
          <w:trHeight w:val="223"/>
        </w:trPr>
        <w:tc>
          <w:tcPr>
            <w:tcW w:w="60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Rent—cost of services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r>
      <w:tr>
        <w:trPr>
          <w:trHeight w:val="229"/>
        </w:trPr>
        <w:tc>
          <w:tcPr>
            <w:tcW w:w="6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Rent related to start-up and transitioning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 from Operations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w:t>
            </w:r>
          </w:p>
        </w:tc>
      </w:tr>
      <w:tr>
        <w:trPr>
          <w:trHeight w:val="20"/>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88"/>
        </w:trPr>
        <w:tc>
          <w:tcPr>
            <w:tcW w:w="6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Home Health and Hospice</w:t>
            </w:r>
          </w:p>
        </w:tc>
        <w:tc>
          <w:tcPr>
            <w:tcW w:w="280" w:type="dxa"/>
            <w:vAlign w:val="bottom"/>
          </w:tcPr>
          <w:p>
            <w:pPr>
              <w:spacing w:after="0"/>
              <w:rPr>
                <w:sz w:val="19"/>
                <w:szCs w:val="19"/>
                <w:color w:val="auto"/>
              </w:rPr>
            </w:pPr>
          </w:p>
        </w:tc>
        <w:tc>
          <w:tcPr>
            <w:tcW w:w="230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Senior Living</w:t>
            </w:r>
          </w:p>
        </w:tc>
      </w:tr>
      <w:tr>
        <w:trPr>
          <w:trHeight w:val="223"/>
        </w:trPr>
        <w:tc>
          <w:tcPr>
            <w:tcW w:w="60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EBITDAR from Operations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21,921</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Rent—cost of services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16,736</w:t>
            </w:r>
          </w:p>
        </w:tc>
      </w:tr>
      <w:tr>
        <w:trPr>
          <w:trHeight w:val="229"/>
        </w:trPr>
        <w:tc>
          <w:tcPr>
            <w:tcW w:w="6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Rent related to start-up and transitioning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 from Operations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37,493</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r>
      <w:tr>
        <w:trPr>
          <w:trHeight w:val="20"/>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 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these Non-GAAP Financial Measures are useful to investors and other external users of our financial statements regarding our results of operations because:</w:t>
      </w:r>
    </w:p>
    <w:p>
      <w:pPr>
        <w:spacing w:after="0" w:line="189" w:lineRule="exact"/>
        <w:rPr>
          <w:sz w:val="20"/>
          <w:szCs w:val="20"/>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method by which assets were acquired, and differences in capital structures;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help investors evaluate and compare the results of our operations from period to period by removing the impact of our asset base and capital structure from our operating results;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EBITDAR is used by investors and analysts in our industry to value the companies in our industry without regard to capital structures.</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Non-GAAP Financial Measures: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measurements of our operating performance to assist us in comparing our operating performance on a consistent basis from period to period;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allocate resources to enhance the financial performance of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the value of a potential acquisition;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the value of a transformed operation’s performance;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effectiveness of our operational strategies;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compare our operating performance to that of our competitors.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establish compensation programs and bonuses for our leaders that are partially based upon the achievement of Consolidated Adjusted EBITDAR targets.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spacing w:after="0" w:line="203"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our current or future cash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net interest expense, or the cash requirements necessary to service interest or principal payments, on our debt;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Consolidated Adjusted EBITDAR, it does not reflect rent expenses, which are normal and recurring operating expenses that are necessary to operate our leased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any income tax payments we may be required to make;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do not reflect any cash requirements for such replacements;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 same Non-GAAP Financial Measures differently than we do, which may limit their usefulness as comparative measures.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using Non-GAAP Financial Measures only to supplement net income on a basis prepared in accordance with GAAP in order to provide a more complete understanding of the factors and trends affecting our business. Our use of Non-GAAP Financial Measures should not be construed as an inference that our future results will be unaffected by unusual or unexpected items.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strongly encourage investors to review the Interim Financial Statements, included in this Quarterly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Consolidated Net Income to the Non-GAAP Financial Measures in the table presented above, along with the Interim Financial Statements and related notes included elsewhere in this Quarterly Report.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following Non-GAAP Financial Measures are useful to investors as key operating performance measures and valuation measures: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Measures: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EBITDA</w:t>
      </w:r>
    </w:p>
    <w:p>
      <w:pPr>
        <w:spacing w:after="0" w:line="25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calculate Consolidated EBITDA as net income, before (a) interest expense (b) provision for income taxes and (c) depreciation and amortization.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Adjusted EBITDA</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adjust Consolidated EBITDA when evaluating our performance because we believe that the exclusion of the additional items described below provides useful supplemental information to investors regarding our ongoing operating performance. We believe that the presentation of Consolidated Adjusted EBITDA, when considered with Consolidated EBITDA and GAAP Consolidated Net Income is beneficial to an investor’s complete understanding of our operating performance.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calculate Consolidated Adjusted EBITDA by adjusting Consolidated EBITDA to exclude the effects of non-core business items, which for the reported periods includes, to the extent applicable:</w:t>
      </w:r>
    </w:p>
    <w:p>
      <w:pPr>
        <w:spacing w:after="0" w:line="189"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at start-up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related costs and credit allowances;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transitioning operations;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non-recurring, or redundant charges.</w:t>
      </w:r>
    </w:p>
    <w:p>
      <w:pPr>
        <w:spacing w:after="0" w:line="3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Segment Adjusted EBITDA from Operations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Measure</w:t>
      </w:r>
      <w:r>
        <w:rPr>
          <w:rFonts w:ascii="Times New Roman" w:cs="Times New Roman" w:eastAsia="Times New Roman" w:hAnsi="Times New Roman"/>
          <w:sz w:val="18"/>
          <w:szCs w:val="18"/>
          <w:b w:val="1"/>
          <w:bCs w:val="1"/>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Adjusted EBITDAR</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use Consolidated Adjusted EBITDAR as one measure in determining the value of prospective acquisitions. It is also a measure commonly used by us,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 operating and finance leases. A significant portion of finance lease expenditures are recorded in interest, whereas operating lease expenditures are recorded in rent expense.</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adjustments made and previously described in the computation of Consolidated Adjusted EBITDA are also made when computing Consolidated Adjusted EBITDAR. We calculate Consolidated Adjusted EBITDAR by excluding rent-cost of services and rent related to start up operations from Consolidated Adjusted EBITDA.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Compared to the Three Months Ended June 30,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500"/>
        </w:trPr>
        <w:tc>
          <w:tcPr>
            <w:tcW w:w="47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3"/>
        </w:trPr>
        <w:tc>
          <w:tcPr>
            <w:tcW w:w="47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470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Percentage</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Percentage</w:t>
            </w:r>
          </w:p>
        </w:tc>
      </w:tr>
      <w:tr>
        <w:trPr>
          <w:trHeight w:val="223"/>
        </w:trPr>
        <w:tc>
          <w:tcPr>
            <w:tcW w:w="4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and hospice services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health</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61,637</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42,411</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32.1 %</w:t>
            </w:r>
          </w:p>
        </w:tc>
      </w:tr>
      <w:tr>
        <w:trPr>
          <w:trHeight w:val="229"/>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Hospice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59,347</w:t>
            </w:r>
          </w:p>
        </w:tc>
        <w:tc>
          <w:tcPr>
            <w:tcW w:w="18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46,562</w:t>
            </w:r>
          </w:p>
        </w:tc>
        <w:tc>
          <w:tcPr>
            <w:tcW w:w="18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35.2</w:t>
            </w:r>
          </w:p>
        </w:tc>
      </w:tr>
      <w:tr>
        <w:trPr>
          <w:trHeight w:val="230"/>
        </w:trPr>
        <w:tc>
          <w:tcPr>
            <w:tcW w:w="47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Home care and other</w:t>
            </w:r>
            <w:r>
              <w:rPr>
                <w:rFonts w:ascii="Times New Roman" w:cs="Times New Roman" w:eastAsia="Times New Roman" w:hAnsi="Times New Roman"/>
                <w:sz w:val="23"/>
                <w:szCs w:val="23"/>
                <w:color w:val="auto"/>
                <w:vertAlign w:val="superscript"/>
              </w:rPr>
              <w:t>(a)</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4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home health and hospice services</w:t>
            </w:r>
          </w:p>
        </w:tc>
        <w:tc>
          <w:tcPr>
            <w:tcW w:w="4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125,301</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71.9</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living services</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43,444</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37,261</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28.1</w:t>
            </w:r>
          </w:p>
        </w:tc>
      </w:tr>
      <w:tr>
        <w:trPr>
          <w:trHeight w:val="248"/>
        </w:trPr>
        <w:tc>
          <w:tcPr>
            <w:tcW w:w="4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168,745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132,281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80" w:hanging="454"/>
        <w:spacing w:after="0"/>
        <w:tabs>
          <w:tab w:leader="none" w:pos="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 care and other revenue is included with home health revenue in other disclosures in this Quarterly Report.</w:t>
      </w:r>
    </w:p>
    <w:p>
      <w:pPr>
        <w:spacing w:after="0" w:line="37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total revenue increased $36.5 million, or 27.6% during the three months ended June 30, 2024. We experienced growth of $30.3 million from increased operational performance in our Home Health and Hospice segment from increased admissions and rates when compared to the three months ended June 30, 2023. The growth in our Senior Living segment resulted in an increase in revenue of $6.2 million driven primarily by the combination of increased occupancy and improved average rate per occupied room.</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Health and Hospice Services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and hospice revenue</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Home health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19,226</w:t>
            </w:r>
          </w:p>
        </w:tc>
        <w:tc>
          <w:tcPr>
            <w:tcW w:w="14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45.3 %</w:t>
            </w: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Hospice services</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12,785</w:t>
            </w: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Home care and other</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(1,730)</w:t>
            </w:r>
          </w:p>
        </w:tc>
        <w:tc>
          <w:tcPr>
            <w:tcW w:w="144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(28.6)</w:t>
            </w:r>
          </w:p>
        </w:tc>
      </w:tr>
      <w:tr>
        <w:trPr>
          <w:trHeight w:val="248"/>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home health and hospice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30,281</w:t>
            </w:r>
          </w:p>
        </w:tc>
        <w:tc>
          <w:tcPr>
            <w:tcW w:w="144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31.9 %</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services:</w:t>
            </w: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home health admissions</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35.4 %</w:t>
            </w:r>
          </w:p>
        </w:tc>
      </w:tr>
      <w:tr>
        <w:trPr>
          <w:trHeight w:val="230"/>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Medicare home health admissions</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Medicare revenue per 60-day completed episode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Hospice services:</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hospice admissions</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31.4</w:t>
            </w:r>
          </w:p>
        </w:tc>
      </w:tr>
      <w:tr>
        <w:trPr>
          <w:trHeight w:val="230"/>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daily hospice census</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Hospice Medicare revenue per day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home health and hospice agencies at period end</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w:t>
            </w: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Home health and hospice revenue increased $30.3 million, or 31.9%, for the three months ended June 30, 2024 compared to the prior year quarter. Revenue grew due to an increase in certain key performance indicators including, 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increase of 35.4% in total home health admissions, an increase in total hospice admissions of 31.4%, and an increase in average daily hospice census of 29.1% during the three months ended June 30, 2024 compared to the prior year quarter. Growth was also driven by the addition of sixteen home health and hospice operations between June 30, 2023 and June 30, 2024, resulting in an increase of $16.2 million, or 17.0%.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Living Services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7"/>
        </w:trPr>
        <w:tc>
          <w:tcPr>
            <w:tcW w:w="5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5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55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 thousands)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43,444</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6,183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communities at period end</w:t>
            </w:r>
          </w:p>
        </w:tc>
        <w:tc>
          <w:tcPr>
            <w:tcW w:w="160" w:type="dxa"/>
            <w:vAlign w:val="bottom"/>
          </w:tcPr>
          <w:p>
            <w:pPr>
              <w:spacing w:after="0"/>
              <w:rPr>
                <w:sz w:val="19"/>
                <w:szCs w:val="19"/>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revenue per occupied unit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4,790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4,412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r>
    </w:tbl>
    <w:p>
      <w:pPr>
        <w:spacing w:after="0" w:line="3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Senior living revenue increased $6.2 million, or 16.6%, for the three months ended June 30, 2024 compared to the prior year quarter. Revenue grew primarily due to a 8.6% increase in average monthly revenue per occupied unit and an increase of 80 basis points in occupancy between June 30, 2023 and June 30, 2024. Growth was also driven by the addition of three senior living communities between June 30, 2023 and June 30, 2024, resulting in an increase of $3.3 million, or 8.8%, overall.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total cost of services by each of our reportable segments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9"/>
                <w:szCs w:val="19"/>
                <w:color w:val="auto"/>
              </w:rPr>
            </w:pPr>
          </w:p>
        </w:tc>
        <w:tc>
          <w:tcPr>
            <w:tcW w:w="13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and Hospice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24,470</w:t>
            </w:r>
          </w:p>
        </w:tc>
        <w:tc>
          <w:tcPr>
            <w:tcW w:w="14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30.6 %</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Living</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48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17.9</w:t>
            </w:r>
          </w:p>
        </w:tc>
      </w:tr>
      <w:tr>
        <w:trPr>
          <w:trHeight w:val="248"/>
        </w:trPr>
        <w:tc>
          <w:tcPr>
            <w:tcW w:w="5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services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29,137</w:t>
            </w:r>
          </w:p>
        </w:tc>
        <w:tc>
          <w:tcPr>
            <w:tcW w:w="14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27.4 %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consolidated cost of services increased $29.1 million, or 27.4%, for the three months ended June 30, 2024 when compared to the three months ended June 30, 2023. Cost of services as a percentage of revenue decreased by 20 basis points from 80.4% to 80.2% for the three months ended June 30, 2024 when compared to the three months ended June 30,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Home Health and Hospice Services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99"/>
        </w:trPr>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3"/>
        </w:trPr>
        <w:tc>
          <w:tcPr>
            <w:tcW w:w="5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104,546</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80,076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24,470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r>
      <w:tr>
        <w:trPr>
          <w:trHeight w:val="23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as a percentage of revenue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83.4 %</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services related to our Home Health and Hospice Services segment increased $24.5 million, or 30.6%, primarily due to increased volume of services provided. Cost of services as a percentage of revenue for the three months ended June 30, 2024 decreased 90 basis points when compared to the three months ended June 30, 2023.</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Senior Living Services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99"/>
        </w:trPr>
        <w:tc>
          <w:tcPr>
            <w:tcW w:w="12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30,767</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4,667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34"/>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 as a percentage of revenue</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70.8 %</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3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services related to our Senior Living Services segment increased $4.7 million, or 17.9%, primarily due to increased wages and benefits. As a percentage of revenue, costs of service increased by 80 basis points for the three months ended June 30, 2024 when compared to the three months ended June 30, 2023.</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Rent—Cost of Services</w:t>
      </w:r>
      <w:r>
        <w:rPr>
          <w:rFonts w:ascii="Times New Roman" w:cs="Times New Roman" w:eastAsia="Times New Roman" w:hAnsi="Times New Roman"/>
          <w:sz w:val="18"/>
          <w:szCs w:val="18"/>
          <w:color w:val="auto"/>
        </w:rPr>
        <w:t>. Rent expense increased 7.0% from $9.8 million to $10.5 million in the three months ended June 30, 2024 when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three months ended June 30, 2023, primarily as a result of the new leases on the acquired home health and hospice operations and senior living community. Rent as a percentage of total revenue decreased 120 basis points from 7.4% for the the three months ended June 30, 2023, compared to 6.2% for the three months ended June 30, 2024.</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Our general and administrative expense increased $3.1 million, or 35.1%, from $8.8 million to $11.9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June 30, 2024 when compared to the three months ended June 30, 2023. General and administrative expense as a percentage of revenue increased 40 basis points from 6.6% to 7.0% during the period. The primary driver of the increase in general and administrative expense was due to an increase of $2.7 million in payroll and related benefits, for the three months ended June 30, 2024 when compared to the three months ended June 30, 2023.</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remained consistent with the comparable period.</w:t>
      </w:r>
    </w:p>
    <w:p>
      <w:pPr>
        <w:spacing w:after="0" w:line="25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We recorded income tax expense of $1.8 million and $1.9 million or 23.2% and 39.7% of earnings before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for the three months ended June 30, 2024 and 2023, respectively. The decrease in the effective tax rate is primarily due to the non-deductibility of equity compensation of certain executives in the prior year.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the Six Months Ended June 30,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99"/>
        </w:trPr>
        <w:tc>
          <w:tcPr>
            <w:tcW w:w="47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3"/>
        </w:trPr>
        <w:tc>
          <w:tcPr>
            <w:tcW w:w="47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470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Percentage</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Revenue Percentage</w:t>
            </w:r>
          </w:p>
        </w:tc>
      </w:tr>
      <w:tr>
        <w:trPr>
          <w:trHeight w:val="223"/>
        </w:trPr>
        <w:tc>
          <w:tcPr>
            <w:tcW w:w="4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and hospice services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health</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118,849</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84,191</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32.5 %</w:t>
            </w:r>
          </w:p>
        </w:tc>
      </w:tr>
      <w:tr>
        <w:trPr>
          <w:trHeight w:val="23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Hospice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113,954</w:t>
            </w:r>
          </w:p>
        </w:tc>
        <w:tc>
          <w:tcPr>
            <w:tcW w:w="18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89,851</w:t>
            </w:r>
          </w:p>
        </w:tc>
        <w:tc>
          <w:tcPr>
            <w:tcW w:w="18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34.7</w:t>
            </w:r>
          </w:p>
        </w:tc>
      </w:tr>
      <w:tr>
        <w:trPr>
          <w:trHeight w:val="230"/>
        </w:trPr>
        <w:tc>
          <w:tcPr>
            <w:tcW w:w="47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Home care and other</w:t>
            </w:r>
            <w:r>
              <w:rPr>
                <w:rFonts w:ascii="Times New Roman" w:cs="Times New Roman" w:eastAsia="Times New Roman" w:hAnsi="Times New Roman"/>
                <w:sz w:val="23"/>
                <w:szCs w:val="23"/>
                <w:color w:val="auto"/>
                <w:vertAlign w:val="superscript"/>
              </w:rPr>
              <w:t>(a)</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4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home health and hospice services</w:t>
            </w:r>
          </w:p>
        </w:tc>
        <w:tc>
          <w:tcPr>
            <w:tcW w:w="4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241,791</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186,099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71.9</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living services</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83,869</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72,646</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28.1</w:t>
            </w:r>
          </w:p>
        </w:tc>
      </w:tr>
      <w:tr>
        <w:trPr>
          <w:trHeight w:val="248"/>
        </w:trPr>
        <w:tc>
          <w:tcPr>
            <w:tcW w:w="4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325,660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258,745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480" w:hanging="454"/>
        <w:spacing w:after="0"/>
        <w:tabs>
          <w:tab w:leader="none" w:pos="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 care and other revenue is included with home health revenue in other disclosures in this Quarterly Report.</w:t>
      </w:r>
    </w:p>
    <w:p>
      <w:pPr>
        <w:spacing w:after="0" w:line="37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total revenue increased $66.9 million, or 25.9%, during the six months ended June 30, 2024. The increase in revenue was driven by increases in key metrics for home health and hospice and senior living, including hospice admissions, hospice revenue per day, hospice average daily census, senior living occupancy, and senior living revenue per occupied room.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79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Home Health and Hospice Services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7"/>
        </w:trPr>
        <w:tc>
          <w:tcPr>
            <w:tcW w:w="128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3"/>
        </w:trPr>
        <w:tc>
          <w:tcPr>
            <w:tcW w:w="1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and hospice revenue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Home health services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118,849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41.2 %</w:t>
            </w:r>
          </w:p>
        </w:tc>
      </w:tr>
      <w:tr>
        <w:trPr>
          <w:trHeight w:val="229"/>
        </w:trPr>
        <w:tc>
          <w:tcPr>
            <w:tcW w:w="5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Hospice services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58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Home care and other</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(25.5)</w:t>
            </w:r>
          </w:p>
        </w:tc>
      </w:tr>
      <w:tr>
        <w:trPr>
          <w:trHeight w:val="248"/>
        </w:trPr>
        <w:tc>
          <w:tcPr>
            <w:tcW w:w="58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home health and hospice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447"/>
        </w:trPr>
        <w:tc>
          <w:tcPr>
            <w:tcW w:w="12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5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services:</w:t>
            </w: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9"/>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home health admissions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34.8 %</w:t>
            </w:r>
          </w:p>
        </w:tc>
      </w:tr>
      <w:tr>
        <w:trPr>
          <w:trHeight w:val="229"/>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Medicare home health admissions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23.3</w:t>
            </w:r>
          </w:p>
        </w:tc>
      </w:tr>
      <w:tr>
        <w:trPr>
          <w:trHeight w:val="230"/>
        </w:trPr>
        <w:tc>
          <w:tcPr>
            <w:tcW w:w="582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Average Medicare revenue per 60-day completed episode</w:t>
            </w:r>
            <w:r>
              <w:rPr>
                <w:rFonts w:ascii="Times New Roman" w:cs="Times New Roman" w:eastAsia="Times New Roman" w:hAnsi="Times New Roman"/>
                <w:sz w:val="23"/>
                <w:szCs w:val="23"/>
                <w:color w:val="auto"/>
                <w:vertAlign w:val="superscript"/>
              </w:rPr>
              <w:t>(a)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Hospice services: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hospice admissions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daily census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w:t>
            </w:r>
          </w:p>
        </w:tc>
      </w:tr>
      <w:tr>
        <w:trPr>
          <w:trHeight w:val="229"/>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Hospice Medicare revenue per day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5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home health and hospice agencies at period end</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w:t>
            </w:r>
          </w:p>
        </w:tc>
      </w:tr>
    </w:tbl>
    <w:p>
      <w:pPr>
        <w:spacing w:after="0" w:line="112" w:lineRule="exact"/>
        <w:rPr>
          <w:sz w:val="20"/>
          <w:szCs w:val="20"/>
          <w:color w:val="auto"/>
        </w:rPr>
      </w:pPr>
    </w:p>
    <w:p>
      <w:pPr>
        <w:ind w:left="480" w:hanging="454"/>
        <w:spacing w:after="0"/>
        <w:tabs>
          <w:tab w:leader="none" w:pos="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year-to-date average for Medicare revenue per 60-day completed episode includes post period claim adjustments for prior periods.</w:t>
      </w:r>
    </w:p>
    <w:p>
      <w:pPr>
        <w:spacing w:after="0" w:line="3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Home health and hospice revenue increased $55.7 million, or 29.9% during the six months ended June 30, 2024 compared to the same period in the prior year primarily due to an increase in hospice average daily census of 25.3%, an increase of 34.8% in home health admissions, inclusive of an increase in total Medicare home health admissions of 23.3%, and an increase of 28.5% in hospice admissions. The addition of sixteen home health and hospice operations between June 30, 2023 and June 30, 2024, added revenue of $29.0 million, or 15.6%.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Living Services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99"/>
        </w:trPr>
        <w:tc>
          <w:tcPr>
            <w:tcW w:w="5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54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54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 thousands)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83,869</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72,646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11,223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communities at period end</w:t>
            </w:r>
          </w:p>
        </w:tc>
        <w:tc>
          <w:tcPr>
            <w:tcW w:w="26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78.7 %</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revenue per occupied unit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4,730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r>
    </w:tbl>
    <w:p>
      <w:pPr>
        <w:spacing w:after="0" w:line="3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Senior living revenue increased $11.2 million, or 15.4%, for the six months ended June 30, 2024 compared to the same period in the prior year primarily due to an increase of 8.6% in average monthly revenue per occupied unit and an increase of 60 basis points in the occupancy rate between June 30, 2023 and June 30, 2024. The acquisition of three senior living communities between June 30, 2023 and June 30, 2024, added $4.7 million, or 6.5%, in revenue.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tc>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7"/>
        </w:trPr>
        <w:tc>
          <w:tcPr>
            <w:tcW w:w="128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3"/>
        </w:trPr>
        <w:tc>
          <w:tcPr>
            <w:tcW w:w="12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9"/>
                <w:szCs w:val="19"/>
                <w:color w:val="auto"/>
              </w:rPr>
            </w:pPr>
          </w:p>
        </w:tc>
        <w:tc>
          <w:tcPr>
            <w:tcW w:w="13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Health and Hospice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44,382</w:t>
            </w:r>
          </w:p>
        </w:tc>
        <w:tc>
          <w:tcPr>
            <w:tcW w:w="14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28.2 %</w:t>
            </w:r>
          </w:p>
        </w:tc>
      </w:tr>
      <w:tr>
        <w:trPr>
          <w:trHeight w:val="230"/>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Senior Living</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48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15.9</w:t>
            </w:r>
          </w:p>
        </w:tc>
      </w:tr>
      <w:tr>
        <w:trPr>
          <w:trHeight w:val="248"/>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services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52,530</w:t>
            </w:r>
          </w:p>
        </w:tc>
        <w:tc>
          <w:tcPr>
            <w:tcW w:w="14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25.2 %</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Consolidated cost of services increased $52.5 million, or 25.2%, during the six months ended June 30, 2024 compared to the same period in the prior year. Cost of services as a percentage of revenue for the six months ended June 30, 2024 decreased by 50 basis points to 80.2% from 80.7% compared to the six months ended June 30,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Home Health and Hospice Services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5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3"/>
        </w:trPr>
        <w:tc>
          <w:tcPr>
            <w:tcW w:w="5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 (in thousands)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201,866</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157,484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44,382</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as a percentage of revenue</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services related to our Home Health and Hospice services segment increased $44.4 million, or 28.2%, compared to the same period in the prior year primarily due to the increased volume of services from the growth in admissions and average daily census. Cost of services as a percentage of revenue for the six months ended June 30, 2024 decreased by 110 basis points compared to the six months ended June 30, 2023 primarily due to decreased wages and benefits as a percent of revenue.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Living Services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5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54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 (in thousands)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59,442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51,294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8,148</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as a percentage of revenue</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3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services related to our Senior Living services segment increased $8.1 million, or 15.9%, during the six months ended June 30, 2024 compared to the same period in the prior year primarily due to higher occupancy and wage rate increases. As a percentage of revenue, costs of service increased by 30 basis points during the six months ended June 30, 2024 when compared to the six months ended June 30, 2023.</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Rent—Cost of Services</w:t>
      </w:r>
      <w:r>
        <w:rPr>
          <w:rFonts w:ascii="Times New Roman" w:cs="Times New Roman" w:eastAsia="Times New Roman" w:hAnsi="Times New Roman"/>
          <w:sz w:val="18"/>
          <w:szCs w:val="18"/>
          <w:color w:val="auto"/>
        </w:rPr>
        <w:t>. Rent increased 7.6% from $19.4 million to $20.9 million during the six months ended June 30, 2024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the prior year, primarily as a result of the new leases on the acquired home health and hospice operations and senior living community. As a percentage of revenue, rent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cost of services decreased 110 basis points when compared to the six months ended June 30, 2023 due to improved senior living performance.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Our general and administrative expense increased $5.8 million, or 33.3%, from $17.5 million to $23.3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2024 when compared to the six months ended June 30, 2023. The increase in general and administrative expense was due to an increase of $2.2 million in payroll and related benefits, for the six months ended June 30, 2024 when compared to the six months ended June 30, 2023.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remained consistent with the comparable period.</w:t>
      </w:r>
    </w:p>
    <w:p>
      <w:pPr>
        <w:spacing w:after="0" w:line="25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disposition of property and equipment, net. </w:t>
      </w:r>
      <w:r>
        <w:rPr>
          <w:rFonts w:ascii="Times New Roman" w:cs="Times New Roman" w:eastAsia="Times New Roman" w:hAnsi="Times New Roman"/>
          <w:sz w:val="18"/>
          <w:szCs w:val="18"/>
          <w:color w:val="auto"/>
        </w:rPr>
        <w:t>We recorded a gain of $0.8 million for insurance proceeds received in excess of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of related assets during the six months ended June 30, 2024. No gain on disposition of property and equipment was recorded during the six months ended June 30, 2023.</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We recorded income tax expense of $3.6 million and $2.8 million, or 24.4% and 36.5% of earnings before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for the six months ended June 30, 2024 and 2023, respectively. The decrease in the effective tax rate is primarily due to the non-deductibility of equity compensation of certain executives in the prior year.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primary sources of liquidity are net cash provided by operating activities and borrowings under our revolving credit facility.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23, 2021, Pennant entered into an amendment to its existing credit agreement (as amended, the “Credit Agreement”), which provides for an increased revolving credit facility with a syndicate of banks with a borrowing capacity of $150.0 million (the “Revolving Credit Facility”). The Revolving Credit Facility is not subject to interim amortization and the Company will not be required to repay any loans under the Revolving Credit Facility prior to maturity in 2026. On June 12, 2023, Pennant entered into a second amendment to the Credit Agreement that modified the reference rate from LIBOR to Standard Overnight Financing Rate (“SOFR”). The Company is permitted to prepay all or any portion of the loans under the Revolving Credit Facility prior to maturity without premium or penalty, subject to reimbursement of any SOFR breakage costs of the lenders.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June 30, 2024, the Company was compliant with all such financial covenants.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52525"/>
        </w:rPr>
        <w:t xml:space="preserve">As of </w:t>
      </w:r>
      <w:r>
        <w:rPr>
          <w:rFonts w:ascii="Times New Roman" w:cs="Times New Roman" w:eastAsia="Times New Roman" w:hAnsi="Times New Roman"/>
          <w:sz w:val="18"/>
          <w:szCs w:val="18"/>
          <w:color w:val="000000"/>
        </w:rPr>
        <w:t>June 30, 2024, we had $3.0 million of cash and $62.8 million of available borrowing capacity on our Revolving Credit Facility. As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described in Note 11, </w:t>
      </w:r>
      <w:r>
        <w:rPr>
          <w:rFonts w:ascii="Times New Roman" w:cs="Times New Roman" w:eastAsia="Times New Roman" w:hAnsi="Times New Roman"/>
          <w:sz w:val="18"/>
          <w:szCs w:val="18"/>
          <w:i w:val="1"/>
          <w:iCs w:val="1"/>
          <w:color w:val="000000"/>
        </w:rPr>
        <w:t>Debt</w:t>
      </w:r>
      <w:r>
        <w:rPr>
          <w:rFonts w:ascii="Times New Roman" w:cs="Times New Roman" w:eastAsia="Times New Roman" w:hAnsi="Times New Roman"/>
          <w:sz w:val="18"/>
          <w:szCs w:val="18"/>
          <w:color w:val="000000"/>
        </w:rPr>
        <w:t>, to the Interim Financial Statements in Part I of this Quarterly Report, on July 31, 2024, Pennant entered into an amendment to the Credit Agreement which provides for a revolving credit facility with a borrowing capacity of $250,000.</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generated through operations, and access to available borrowing capacity under our Amended Credit Agreement, will be sufficient to provide adequate liquidity for the next twelve months for our operating activities and for opportunities of acquisition growth.</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selected data from our Condensed Consolidated Statement of Cash Flows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60" w:type="dxa"/>
            <w:vAlign w:val="bottom"/>
            <w:tcBorders>
              <w:bottom w:val="single" w:sz="8" w:color="auto"/>
            </w:tcBorders>
          </w:tcPr>
          <w:p>
            <w:pPr>
              <w:spacing w:after="0"/>
              <w:rPr>
                <w:sz w:val="20"/>
                <w:szCs w:val="20"/>
                <w:color w:val="auto"/>
              </w:rPr>
            </w:pPr>
          </w:p>
        </w:tc>
      </w:tr>
      <w:tr>
        <w:trPr>
          <w:trHeight w:val="223"/>
        </w:trPr>
        <w:tc>
          <w:tcPr>
            <w:tcW w:w="76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r>
      <w:tr>
        <w:trPr>
          <w:trHeight w:val="223"/>
        </w:trPr>
        <w:tc>
          <w:tcPr>
            <w:tcW w:w="7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60" w:type="dxa"/>
            <w:vAlign w:val="bottom"/>
          </w:tcPr>
          <w:p>
            <w:pPr>
              <w:spacing w:after="0"/>
              <w:rPr>
                <w:sz w:val="19"/>
                <w:szCs w:val="19"/>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15,533</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(11,226)</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19,228</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r>
      <w:tr>
        <w:trPr>
          <w:trHeight w:val="223"/>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r>
      <w:tr>
        <w:trPr>
          <w:trHeight w:val="223"/>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at end of period</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w:t>
            </w:r>
          </w:p>
        </w:tc>
      </w:tr>
      <w:tr>
        <w:trPr>
          <w:trHeight w:val="21"/>
        </w:trPr>
        <w:tc>
          <w:tcPr>
            <w:tcW w:w="7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the Six Months Ended June 30, 2023</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net cash flow from operating activities for the six months ended June 30, 2024 decreased by $4.5 million when compared to the six months ended June 30, 2023. The primary driver of this difference was a decrease in cash flows from the change in operating assets and liabilities of $8.0 million, net, and a decrease of $2.7 million in non-cash expenses, partially offset by an increase in net income of $6.2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net cash used in investing activities for the six months ended June 30, 2024 increased by $22.1 million compared to the six months ended June 30, 2023, primarily driven by an increase in business and asset acquisitions.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net cash used in financing activities increased by approximately $22.8 million for the six months ended June 30, 2024 compared to the six months ended June 30, 2023. The increase was primarily due to a net increase in the balance on our line of credit during the six months ended June 30, 2024 compared to the six months ended June 30,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Commitments and Contingencies</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continue to make draws and payments on our Revolving Credit Facility, as described in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the Interim Financial Statements in Part I of this Quarterly Report. Additionally, we have right-of-use assets obtained in exchange for new operating lease obligations, as described in the supplemental disclosures of cash flow information in the Condensed Consolidated Statement of Cash Flows and in Note 13,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the Interim Financial Statements in Part I of this Quarterly Report.</w:t>
      </w:r>
    </w:p>
    <w:p>
      <w:pPr>
        <w:spacing w:after="0" w:line="20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those transactions there have been no other material changes to our total obligations during the period covered by this Quarterly Report outside of the normal course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We are exposed to risks associated with market changes in interest rates. On June 12, 2023, Pennant entered into a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to the Credit Agreement that modified the reference rate from LIBOR to SOFR. A 1.0% interest rate change would cause interest expense to change by approximately $0.8 million annually based upon our outstanding long-term debt as of June 30, 2024. We manage our exposure to this market risk by monitoring available financing alternatives.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Quarterly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material changes in our internal control over financial reporting (as such term is defined in Rules 13a-15(f) and 15d-15(f) under the Exchange Act) that occurred during our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Interim Financial Statements for a description of claims and legal actions arising in the ordinary course of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disclosed under the heading “Risk Factors” in the 2023 Annual Report risk factors that materially affect our business, financial condition or results of operations, and disclosed more recent events relevant to our business under Item 2,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You should carefully consider the risk factors set forth in the 2023 Annual Report and the other information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elsewhere in this Quarterly Report.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Plan Election</w:t>
      </w:r>
    </w:p>
    <w:p>
      <w:pPr>
        <w:spacing w:after="0" w:line="2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Brent J. Guerisoli, Chief Executive Officer, entered into a Rule 10b5-1 trading arrangement on May 28, 2024 (the "Rule 10b5-1 Plan"). Mr. Guerisoli’s 10b5-1 Plan provides for the potential sale of up to 2,500 shares of the Company's common stock between August 27, 2024 and May 23, 2025. Additionally, Mr. Guerisoli entered into another Rule 10b5-1 trading arrangement on May 31, 2024 (the "Rule 10b5-1 Plan"). Mr. Guerisoli’s 10b5-1 Plan provides for the potential sale of up to 24,000 shares of the Company's common stock between July 25, 2025 and July 25, 2027.</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Rule 10b5-1 trading arrangement was entered into during open trading windows and is intended to satisfy the affirmative defense conditions of Rule 10b5-1 (c) under the Securities Exchange Act of 1934, as amended, and the Company's policies regarding transactions in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57"/>
        </w:trPr>
        <w:tc>
          <w:tcPr>
            <w:tcW w:w="20" w:type="dxa"/>
            <w:vAlign w:val="bottom"/>
          </w:tcPr>
          <w:p>
            <w:pPr>
              <w:spacing w:after="0"/>
              <w:rPr>
                <w:sz w:val="22"/>
                <w:szCs w:val="22"/>
                <w:color w:val="auto"/>
              </w:rPr>
            </w:pPr>
          </w:p>
        </w:tc>
        <w:tc>
          <w:tcPr>
            <w:tcW w:w="10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Exhibit</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23"/>
        </w:trPr>
        <w:tc>
          <w:tcPr>
            <w:tcW w:w="340" w:type="dxa"/>
            <w:vAlign w:val="bottom"/>
            <w:tcBorders>
              <w:top w:val="single" w:sz="8" w:color="auto"/>
            </w:tcBorders>
            <w:gridSpan w:val="3"/>
          </w:tcPr>
          <w:p>
            <w:pPr>
              <w:ind w:left="20"/>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 Pennant Group, Inc., effective as of September 27, 2019 (incorporated by</w:t>
            </w:r>
          </w:p>
        </w:tc>
      </w:tr>
      <w:tr>
        <w:trPr>
          <w:trHeight w:val="151"/>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0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reference to Exhibit 3.1 to The Pennant Group, Inc.’s Current Report on Form 8-K (File No. 001-38900) filed with the SEC on October 3,</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r>
      <w:tr>
        <w:trPr>
          <w:trHeight w:val="243"/>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Second Amended and Restated Bylaws of The Pennant Group, Inc., effective as of February 21, 2022 (incorporated by reference to Exhibit</w:t>
            </w:r>
          </w:p>
        </w:tc>
      </w:tr>
      <w:tr>
        <w:trPr>
          <w:trHeight w:val="214"/>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3.1 to The Pennant Group, Inc.’s Current Report on Form 8-K (File No. 001-38900) filed with the SEC February 22, 2022).</w:t>
            </w:r>
          </w:p>
        </w:tc>
      </w:tr>
      <w:tr>
        <w:trPr>
          <w:trHeight w:val="238"/>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1</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263"/>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31.</w:t>
            </w:r>
            <w:r>
              <w:rPr>
                <w:rFonts w:ascii="Times New Roman" w:cs="Times New Roman" w:eastAsia="Times New Roman" w:hAnsi="Times New Roman"/>
                <w:sz w:val="18"/>
                <w:szCs w:val="18"/>
                <w:u w:val="single" w:color="auto"/>
                <w:color w:val="0000FF"/>
                <w:w w:val="88"/>
              </w:rPr>
              <w:t>2</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263"/>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32.</w:t>
            </w:r>
            <w:r>
              <w:rPr>
                <w:rFonts w:ascii="Times New Roman" w:cs="Times New Roman" w:eastAsia="Times New Roman" w:hAnsi="Times New Roman"/>
                <w:sz w:val="18"/>
                <w:szCs w:val="18"/>
                <w:u w:val="single" w:color="auto"/>
                <w:color w:val="0000FF"/>
                <w:w w:val="88"/>
              </w:rPr>
              <w:t>1</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263"/>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32.</w:t>
            </w:r>
            <w:r>
              <w:rPr>
                <w:rFonts w:ascii="Times New Roman" w:cs="Times New Roman" w:eastAsia="Times New Roman" w:hAnsi="Times New Roman"/>
                <w:sz w:val="18"/>
                <w:szCs w:val="18"/>
                <w:u w:val="single" w:color="auto"/>
                <w:color w:val="0000FF"/>
                <w:w w:val="88"/>
              </w:rPr>
              <w:t>2</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92"/>
        </w:trPr>
        <w:tc>
          <w:tcPr>
            <w:tcW w:w="2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2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2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2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2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120" w:hanging="1060"/>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The Pennant Group, Inc.</w:t>
            </w:r>
          </w:p>
        </w:tc>
      </w:tr>
      <w:tr>
        <w:trPr>
          <w:trHeight w:val="28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6, 2024</w:t>
            </w:r>
          </w:p>
        </w:tc>
        <w:tc>
          <w:tcPr>
            <w:tcW w:w="27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LYNETTE B. WALBOM</w:t>
            </w:r>
          </w:p>
        </w:tc>
      </w:tr>
      <w:tr>
        <w:trPr>
          <w:trHeight w:val="228"/>
        </w:trPr>
        <w:tc>
          <w:tcPr>
            <w:tcW w:w="36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Lynette B. Walbom</w:t>
            </w:r>
          </w:p>
        </w:tc>
      </w:tr>
    </w:tbl>
    <w:p>
      <w:pPr>
        <w:ind w:left="6380"/>
        <w:spacing w:after="0" w:line="215" w:lineRule="auto"/>
        <w:rPr>
          <w:sz w:val="20"/>
          <w:szCs w:val="20"/>
          <w:color w:val="auto"/>
        </w:rPr>
      </w:pPr>
      <w:r>
        <w:rPr>
          <w:rFonts w:ascii="Times New Roman" w:cs="Times New Roman" w:eastAsia="Times New Roman" w:hAnsi="Times New Roman"/>
          <w:sz w:val="18"/>
          <w:szCs w:val="18"/>
          <w:color w:val="auto"/>
        </w:rPr>
        <w:t>Chief Financial Officer (Principal Financial Officer and Duly</w:t>
      </w:r>
    </w:p>
    <w:p>
      <w:pPr>
        <w:ind w:left="63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J. Guerisoli, certify that:</w:t>
      </w: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Pennant Group,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0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2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BRENT J. GUERISOLI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2691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16" w:lineRule="exact"/>
        <w:rPr>
          <w:sz w:val="20"/>
          <w:szCs w:val="20"/>
          <w:color w:val="auto"/>
        </w:rPr>
      </w:pPr>
    </w:p>
    <w:p>
      <w:pPr>
        <w:ind w:left="5700"/>
        <w:spacing w:after="0"/>
        <w:tabs>
          <w:tab w:leader="none" w:pos="6360" w:val="left"/>
        </w:tabs>
        <w:rPr>
          <w:sz w:val="20"/>
          <w:szCs w:val="20"/>
          <w:color w:val="auto"/>
        </w:rPr>
      </w:pPr>
      <w:r>
        <w:rPr>
          <w:rFonts w:ascii="Times New Roman" w:cs="Times New Roman" w:eastAsia="Times New Roman" w:hAnsi="Times New Roman"/>
          <w:sz w:val="18"/>
          <w:szCs w:val="18"/>
          <w:color w:val="auto"/>
        </w:rPr>
        <w:t>Name:</w:t>
        <w:tab/>
        <w:t>Brent J. Guerisoli</w:t>
      </w:r>
    </w:p>
    <w:tbl>
      <w:tblPr>
        <w:tblLayout w:type="fixed"/>
        <w:tblInd w:w="5580" w:type="dxa"/>
        <w:tblCellMar>
          <w:top w:w="0" w:type="dxa"/>
          <w:left w:w="0" w:type="dxa"/>
          <w:bottom w:w="0" w:type="dxa"/>
          <w:right w:w="0" w:type="dxa"/>
        </w:tblCellMar>
      </w:tblPr>
      <w:tr>
        <w:trPr>
          <w:trHeight w:val="203"/>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w w:val="99"/>
              </w:rPr>
              <w:t>Chief Executive Officer (Principal Executive</w:t>
            </w: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86"/>
        </w:trPr>
        <w:tc>
          <w:tcPr>
            <w:tcW w:w="600" w:type="dxa"/>
            <w:vAlign w:val="bottom"/>
          </w:tcPr>
          <w:p>
            <w:pPr>
              <w:spacing w:after="0"/>
              <w:rPr>
                <w:sz w:val="7"/>
                <w:szCs w:val="7"/>
                <w:color w:val="auto"/>
              </w:rPr>
            </w:pPr>
          </w:p>
        </w:tc>
        <w:tc>
          <w:tcPr>
            <w:tcW w:w="3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Lynette B. Walbom, certify that:</w:t>
      </w:r>
    </w:p>
    <w:p>
      <w:pPr>
        <w:spacing w:after="0" w:line="396"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Pennant Group,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0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2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LYNETTE B. WALBOM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6746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5660"/>
        <w:spacing w:after="0"/>
        <w:tabs>
          <w:tab w:leader="none" w:pos="64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Lynette B. Walbom</w:t>
      </w:r>
    </w:p>
    <w:p>
      <w:pPr>
        <w:spacing w:after="0" w:line="1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w:t>
      </w:r>
    </w:p>
    <w:p>
      <w:pPr>
        <w:ind w:left="5660"/>
        <w:spacing w:after="0" w:line="219" w:lineRule="auto"/>
        <w:tabs>
          <w:tab w:leader="none" w:pos="6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Officer, Principal Accounting Officer and Duly</w:t>
      </w:r>
    </w:p>
    <w:p>
      <w:pPr>
        <w:ind w:left="6440"/>
        <w:spacing w:after="0"/>
        <w:rPr>
          <w:sz w:val="20"/>
          <w:szCs w:val="20"/>
          <w:color w:val="auto"/>
        </w:rPr>
      </w:pPr>
      <w:r>
        <w:rPr>
          <w:rFonts w:ascii="Times New Roman" w:cs="Times New Roman" w:eastAsia="Times New Roman" w:hAnsi="Times New Roman"/>
          <w:sz w:val="18"/>
          <w:szCs w:val="18"/>
          <w:i w:val="1"/>
          <w:iCs w:val="1"/>
          <w:color w:val="auto"/>
        </w:rPr>
        <w:t>Authorized Officer)</w:t>
      </w:r>
    </w:p>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of The Pennant Group, Inc. (the Company) on Form 10-Q for the period ended June 30, 2024, as filed with the Securities and Exchange Commission on the date hereof (the Report), I, Brent J. Guerisoli, Chief Executive Officer of the Company, certify, pursuant to 18 U.S.C. § 1350, as adopted pursuant to Section 906 of the Sarbanes-Oxley Act of 2002, that to my knowledge:</w:t>
      </w:r>
    </w:p>
    <w:p>
      <w:pPr>
        <w:spacing w:after="0" w:line="253" w:lineRule="exact"/>
        <w:rPr>
          <w:sz w:val="20"/>
          <w:szCs w:val="20"/>
          <w:color w:val="auto"/>
        </w:rPr>
      </w:pPr>
    </w:p>
    <w:p>
      <w:pPr>
        <w:ind w:left="700" w:hanging="350"/>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left="700" w:hanging="350"/>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BRENT J. GUERISOLI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17145</wp:posOffset>
            </wp:positionV>
            <wp:extent cx="27857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580"/>
        <w:spacing w:after="0"/>
        <w:tabs>
          <w:tab w:leader="none" w:pos="6220" w:val="left"/>
        </w:tabs>
        <w:rPr>
          <w:sz w:val="20"/>
          <w:szCs w:val="20"/>
          <w:color w:val="auto"/>
        </w:rPr>
      </w:pPr>
      <w:r>
        <w:rPr>
          <w:rFonts w:ascii="Times New Roman" w:cs="Times New Roman" w:eastAsia="Times New Roman" w:hAnsi="Times New Roman"/>
          <w:sz w:val="18"/>
          <w:szCs w:val="18"/>
          <w:color w:val="auto"/>
        </w:rPr>
        <w:t>Name:</w:t>
        <w:tab/>
        <w:t>Brent J. Guerisoli</w:t>
      </w:r>
    </w:p>
    <w:tbl>
      <w:tblPr>
        <w:tblLayout w:type="fixed"/>
        <w:tblInd w:w="5420" w:type="dxa"/>
        <w:tblCellMar>
          <w:top w:w="0" w:type="dxa"/>
          <w:left w:w="0" w:type="dxa"/>
          <w:bottom w:w="0" w:type="dxa"/>
          <w:right w:w="0" w:type="dxa"/>
        </w:tblCellMar>
      </w:tblPr>
      <w:tr>
        <w:trPr>
          <w:trHeight w:val="203"/>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w w:val="99"/>
              </w:rPr>
              <w:t>Chief Executive Officer (Principal Executive</w:t>
            </w: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34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86"/>
        </w:trPr>
        <w:tc>
          <w:tcPr>
            <w:tcW w:w="60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8"/>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6, 2024</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Pennant Group, Inc. (the Company) on Form 10-Q for the period ended June 30, 2024, as filed with the Securities and Exchange Commission on the date hereof (the Report), I, Lynette B. Walbom, Chief Financial Officer of the Company, certify, pursuant to 18 U.S.C. § 1350, as adopted pursuant to Section 906 of the Sarbanes-Oxley Act of 2002, that to my knowledge:</w:t>
      </w:r>
    </w:p>
    <w:p>
      <w:pPr>
        <w:spacing w:after="0" w:line="243" w:lineRule="exact"/>
        <w:rPr>
          <w:sz w:val="20"/>
          <w:szCs w:val="20"/>
          <w:color w:val="auto"/>
        </w:rPr>
      </w:pPr>
    </w:p>
    <w:p>
      <w:pPr>
        <w:ind w:left="700" w:hanging="350"/>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left="700" w:hanging="350"/>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/s/ LYNETTE B. WALBOM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17145</wp:posOffset>
            </wp:positionV>
            <wp:extent cx="27686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5440"/>
        <w:spacing w:after="0"/>
        <w:tabs>
          <w:tab w:leader="none" w:pos="62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Lynette B. Walbom</w:t>
      </w:r>
    </w:p>
    <w:p>
      <w:pPr>
        <w:spacing w:after="0" w:line="1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w:t>
      </w:r>
    </w:p>
    <w:p>
      <w:pPr>
        <w:ind w:left="5440"/>
        <w:spacing w:after="0" w:line="219" w:lineRule="auto"/>
        <w:tabs>
          <w:tab w:leader="none" w:pos="6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Officer, Principal Accounting Officer and Duly</w:t>
      </w:r>
    </w:p>
    <w:p>
      <w:pPr>
        <w:ind w:left="6240"/>
        <w:spacing w:after="0"/>
        <w:rPr>
          <w:sz w:val="20"/>
          <w:szCs w:val="20"/>
          <w:color w:val="auto"/>
        </w:rPr>
      </w:pPr>
      <w:r>
        <w:rPr>
          <w:rFonts w:ascii="Times New Roman" w:cs="Times New Roman" w:eastAsia="Times New Roman" w:hAnsi="Times New Roman"/>
          <w:sz w:val="18"/>
          <w:szCs w:val="18"/>
          <w:i w:val="1"/>
          <w:iCs w:val="1"/>
          <w:color w:val="auto"/>
        </w:rPr>
        <w:t>Authorized Officer)</w:t>
      </w:r>
    </w:p>
    <w:p>
      <w:pPr>
        <w:spacing w:after="0" w:line="2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August 6, 2024</w:t>
      </w:r>
    </w:p>
    <w:p>
      <w:pPr>
        <w:spacing w:after="0" w:line="345"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1"/>
    </w:lvl>
    <w:lvl w:ilvl="1">
      <w:lvlJc w:val="left"/>
      <w:lvlText w:val="(%2)"/>
      <w:numFmt w:val="lowerLetter"/>
      <w:start w:val="1"/>
    </w:lvl>
  </w:abstractNum>
  <w:abstractNum w:abstractNumId="4">
    <w:nsid w:val="8EDBDAB"/>
    <w:multiLevelType w:val="hybridMultilevel"/>
    <w:lvl w:ilvl="0">
      <w:lvlJc w:val="left"/>
      <w:lvlText w:val="%1."/>
      <w:numFmt w:val="decimal"/>
      <w:start w:val="5"/>
    </w:lvl>
    <w:lvl w:ilvl="1">
      <w:lvlJc w:val="left"/>
      <w:lvlText w:val="%2"/>
      <w:numFmt w:val="lowerLetter"/>
      <w:start w:val="1"/>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Letter"/>
      <w:start w:val="1"/>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decimal"/>
      <w:start w:val="1"/>
    </w:lvl>
    <w:lvl w:ilvl="1">
      <w:lvlJc w:val="left"/>
      <w:lvlText w:val="(%2)"/>
      <w:numFmt w:val="lowerLetter"/>
      <w:start w:val="4"/>
    </w:lvl>
  </w:abstractNum>
  <w:abstractNum w:abstractNumId="11">
    <w:nsid w:val="2CA88611"/>
    <w:multiLevelType w:val="hybridMultilevel"/>
    <w:lvl w:ilvl="0">
      <w:lvlJc w:val="left"/>
      <w:lvlText w:val="%1."/>
      <w:numFmt w:val="decimal"/>
      <w:start w:val="7"/>
    </w:lvl>
    <w:lvl w:ilvl="1">
      <w:lvlJc w:val="left"/>
      <w:lvlText w:val="%2"/>
      <w:numFmt w:val="lowerLetter"/>
      <w:start w:val="1"/>
    </w:lvl>
  </w:abstractNum>
  <w:abstractNum w:abstractNumId="12">
    <w:nsid w:val="836C40E"/>
    <w:multiLevelType w:val="hybridMultilevel"/>
    <w:lvl w:ilvl="0">
      <w:lvlJc w:val="left"/>
      <w:lvlText w:val="(%1)"/>
      <w:numFmt w:val="lowerLetter"/>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decimal"/>
      <w:start w:val="2"/>
    </w:lvl>
  </w:abstractNum>
  <w:abstractNum w:abstractNumId="15">
    <w:nsid w:val="8138641"/>
    <w:multiLevelType w:val="hybridMultilevel"/>
    <w:lvl w:ilvl="0">
      <w:lvlJc w:val="left"/>
      <w:lvlText w:val="(%1)"/>
      <w:numFmt w:val="decimal"/>
      <w:start w:val="5"/>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1)"/>
      <w:numFmt w:val="lowerRoman"/>
      <w:start w:val="2"/>
    </w:lvl>
  </w:abstractNum>
  <w:abstractNum w:abstractNumId="18">
    <w:nsid w:val="737B8DDC"/>
    <w:multiLevelType w:val="hybridMultilevel"/>
    <w:lvl w:ilvl="0">
      <w:lvlJc w:val="left"/>
      <w:lvlText w:val="(%1)"/>
      <w:numFmt w:val="lowerRoman"/>
      <w:start w:val="4"/>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2"/>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decimal"/>
      <w:start w:val="104"/>
    </w:lvl>
  </w:abstractNum>
  <w:abstractNum w:abstractNumId="38">
    <w:nsid w:val="3855585C"/>
    <w:multiLevelType w:val="hybridMultilevel"/>
    <w:lvl w:ilvl="0">
      <w:lvlJc w:val="left"/>
      <w:lvlText w:val="%1."/>
      <w:numFmt w:val="decimal"/>
      <w:start w:val="1"/>
    </w:lvl>
    <w:lvl w:ilvl="1">
      <w:lvlJc w:val="left"/>
      <w:lvlText w:val="(%2)"/>
      <w:numFmt w:val="lowerLetter"/>
      <w:start w:val="1"/>
    </w:lvl>
  </w:abstractNum>
  <w:abstractNum w:abstractNumId="39">
    <w:nsid w:val="70A64E2A"/>
    <w:multiLevelType w:val="hybridMultilevel"/>
    <w:lvl w:ilvl="0">
      <w:lvlJc w:val="left"/>
      <w:lvlText w:val="%1."/>
      <w:numFmt w:val="decimal"/>
      <w:start w:val="1"/>
    </w:lvl>
    <w:lvl w:ilvl="1">
      <w:lvlJc w:val="left"/>
      <w:lvlText w:val="(%2)"/>
      <w:numFmt w:val="lowerLetter"/>
      <w:start w:val="1"/>
    </w:lvl>
  </w:abstractNum>
  <w:abstractNum w:abstractNumId="40">
    <w:nsid w:val="6A2342EC"/>
    <w:multiLevelType w:val="hybridMultilevel"/>
    <w:lvl w:ilvl="0">
      <w:lvlJc w:val="left"/>
      <w:lvlText w:val="1"/>
      <w:numFmt w:val="bullet"/>
      <w:start w:val="1"/>
    </w:lvl>
  </w:abstractNum>
  <w:abstractNum w:abstractNumId="41">
    <w:nsid w:val="2A487CB0"/>
    <w:multiLevelType w:val="hybridMultilevel"/>
    <w:lvl w:ilvl="0">
      <w:lvlJc w:val="left"/>
      <w:lvlText w:val="2"/>
      <w:numFmt w:val="bullet"/>
      <w:start w:val="1"/>
    </w:lvl>
  </w:abstractNum>
  <w:abstractNum w:abstractNumId="42">
    <w:nsid w:val="1D4ED43B"/>
    <w:multiLevelType w:val="hybridMultilevel"/>
    <w:lvl w:ilvl="0">
      <w:lvlJc w:val="left"/>
      <w:lvlText w:val="1"/>
      <w:numFmt w:val="bullet"/>
      <w:start w:val="1"/>
    </w:lvl>
  </w:abstractNum>
  <w:abstractNum w:abstractNumId="43">
    <w:nsid w:val="725A06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59" Type="http://schemas.openxmlformats.org/officeDocument/2006/relationships/hyperlink" Target="https://www.sec.gov/Archives/edgar/data/1766400/000119312519260914/d812063dex31.htm" TargetMode="External"/><Relationship Id="rId60" Type="http://schemas.openxmlformats.org/officeDocument/2006/relationships/hyperlink" Target="https://www.sec.gov/Archives/edgar/data/1766400/000176640022000027/pntg2ndar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2024-08-06T15:41:20Z</dcterms:created>
  <dcterms:modified xsi:type="dcterms:W3CDTF">2024-08-06T15:41:20Z</dcterms:modified>
</cp:coreProperties>
</file>