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205105</wp:posOffset>
            </wp:positionH>
            <wp:positionV relativeFrom="page">
              <wp:posOffset>596265</wp:posOffset>
            </wp:positionV>
            <wp:extent cx="71386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page">
              <wp:posOffset>205105</wp:posOffset>
            </wp:positionH>
            <wp:positionV relativeFrom="page">
              <wp:posOffset>563880</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4"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_________________________________________________________________________________________________________________________________</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10-K</w:t>
      </w:r>
    </w:p>
    <w:p>
      <w:pPr>
        <w:spacing w:after="0" w:line="57" w:lineRule="exact"/>
        <w:rPr>
          <w:sz w:val="24"/>
          <w:szCs w:val="24"/>
          <w:color w:val="auto"/>
        </w:rPr>
      </w:pPr>
    </w:p>
    <w:p>
      <w:pPr>
        <w:ind w:left="760" w:hanging="454"/>
        <w:spacing w:after="0"/>
        <w:tabs>
          <w:tab w:leader="none" w:pos="76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ANNUAL REPORT PURSUANT TO SECTION 13 OR 15(d) OF THE SECURITIES EXCHANGE ACT OF 1934.</w:t>
      </w:r>
    </w:p>
    <w:p>
      <w:pPr>
        <w:spacing w:after="0" w:line="11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5"/>
          <w:szCs w:val="15"/>
          <w:b w:val="1"/>
          <w:bCs w:val="1"/>
          <w:color w:val="auto"/>
        </w:rPr>
        <w:t>For the fiscal year ended December 31, 2025.</w:t>
      </w:r>
    </w:p>
    <w:p>
      <w:pPr>
        <w:spacing w:after="0" w:line="47" w:lineRule="exact"/>
        <w:rPr>
          <w:sz w:val="24"/>
          <w:szCs w:val="24"/>
          <w:color w:val="auto"/>
        </w:rPr>
      </w:pPr>
    </w:p>
    <w:p>
      <w:pPr>
        <w:ind w:left="760" w:hanging="454"/>
        <w:spacing w:after="0"/>
        <w:tabs>
          <w:tab w:leader="none" w:pos="76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09" w:lineRule="exact"/>
        <w:rPr>
          <w:sz w:val="24"/>
          <w:szCs w:val="24"/>
          <w:color w:val="auto"/>
        </w:rPr>
      </w:pPr>
    </w:p>
    <w:tbl>
      <w:tblPr>
        <w:tblLayout w:type="fixed"/>
        <w:tblInd w:w="620" w:type="dxa"/>
        <w:tblCellMar>
          <w:top w:w="0" w:type="dxa"/>
          <w:left w:w="0" w:type="dxa"/>
          <w:bottom w:w="0" w:type="dxa"/>
          <w:right w:w="0" w:type="dxa"/>
        </w:tblCellMar>
      </w:tblPr>
      <w:tr>
        <w:trPr>
          <w:trHeight w:val="172"/>
        </w:trPr>
        <w:tc>
          <w:tcPr>
            <w:tcW w:w="20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For the transition period from</w:t>
            </w: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to</w:t>
            </w:r>
          </w:p>
        </w:tc>
        <w:tc>
          <w:tcPr>
            <w:tcW w:w="180" w:type="dxa"/>
            <w:vAlign w:val="bottom"/>
          </w:tcPr>
          <w:p>
            <w:pPr>
              <w:spacing w:after="0"/>
              <w:rPr>
                <w:sz w:val="15"/>
                <w:szCs w:val="15"/>
                <w:color w:val="auto"/>
              </w:rPr>
            </w:pPr>
          </w:p>
        </w:tc>
        <w:tc>
          <w:tcPr>
            <w:tcW w:w="5200" w:type="dxa"/>
            <w:vAlign w:val="bottom"/>
            <w:gridSpan w:val="2"/>
          </w:tcPr>
          <w:p>
            <w:pPr>
              <w:jc w:val="right"/>
              <w:ind w:right="4483"/>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20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303"/>
        </w:trPr>
        <w:tc>
          <w:tcPr>
            <w:tcW w:w="2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0" w:type="dxa"/>
            <w:vAlign w:val="bottom"/>
            <w:gridSpan w:val="2"/>
          </w:tcPr>
          <w:p>
            <w:pPr>
              <w:jc w:val="center"/>
              <w:ind w:right="1503"/>
              <w:spacing w:after="0"/>
              <w:rPr>
                <w:sz w:val="20"/>
                <w:szCs w:val="20"/>
                <w:color w:val="auto"/>
              </w:rPr>
            </w:pPr>
            <w:r>
              <w:rPr>
                <w:rFonts w:ascii="Times New Roman" w:cs="Times New Roman" w:eastAsia="Times New Roman" w:hAnsi="Times New Roman"/>
                <w:sz w:val="15"/>
                <w:szCs w:val="15"/>
                <w:b w:val="1"/>
                <w:bCs w:val="1"/>
                <w:color w:val="auto"/>
              </w:rPr>
              <w:t xml:space="preserve">Commission file number: </w:t>
            </w:r>
            <w:r>
              <w:rPr>
                <w:rFonts w:ascii="Times New Roman" w:cs="Times New Roman" w:eastAsia="Times New Roman" w:hAnsi="Times New Roman"/>
                <w:sz w:val="17"/>
                <w:szCs w:val="17"/>
                <w:color w:val="auto"/>
              </w:rPr>
              <w:t>001-38900</w:t>
            </w:r>
          </w:p>
        </w:tc>
      </w:tr>
      <w:tr>
        <w:trPr>
          <w:trHeight w:val="104"/>
        </w:trPr>
        <w:tc>
          <w:tcPr>
            <w:tcW w:w="2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0" w:type="dxa"/>
            <w:vAlign w:val="bottom"/>
            <w:gridSpan w:val="2"/>
          </w:tcPr>
          <w:p>
            <w:pPr>
              <w:jc w:val="center"/>
              <w:ind w:right="1523"/>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_______________________________________________________________________________________________________________________________________</w:t>
            </w:r>
          </w:p>
        </w:tc>
      </w:tr>
      <w:tr>
        <w:trPr>
          <w:trHeight w:val="464"/>
        </w:trPr>
        <w:tc>
          <w:tcPr>
            <w:tcW w:w="2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0" w:type="dxa"/>
            <w:vAlign w:val="bottom"/>
            <w:gridSpan w:val="5"/>
          </w:tcPr>
          <w:p>
            <w:pPr>
              <w:jc w:val="center"/>
              <w:ind w:right="903"/>
              <w:spacing w:after="0"/>
              <w:rPr>
                <w:sz w:val="20"/>
                <w:szCs w:val="20"/>
                <w:color w:val="auto"/>
              </w:rPr>
            </w:pPr>
            <w:r>
              <w:rPr>
                <w:rFonts w:ascii="Times New Roman" w:cs="Times New Roman" w:eastAsia="Times New Roman" w:hAnsi="Times New Roman"/>
                <w:sz w:val="34"/>
                <w:szCs w:val="34"/>
                <w:b w:val="1"/>
                <w:bCs w:val="1"/>
                <w:color w:val="auto"/>
              </w:rPr>
              <w:t>THE PENNANT GROUP, INC.</w:t>
            </w:r>
          </w:p>
        </w:tc>
      </w:tr>
      <w:tr>
        <w:trPr>
          <w:trHeight w:val="200"/>
        </w:trPr>
        <w:tc>
          <w:tcPr>
            <w:tcW w:w="2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0" w:type="dxa"/>
            <w:vAlign w:val="bottom"/>
            <w:gridSpan w:val="2"/>
          </w:tcPr>
          <w:p>
            <w:pPr>
              <w:jc w:val="center"/>
              <w:ind w:right="1523"/>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tc>
      </w:tr>
      <w:tr>
        <w:trPr>
          <w:trHeight w:val="238"/>
        </w:trPr>
        <w:tc>
          <w:tcPr>
            <w:tcW w:w="2600" w:type="dxa"/>
            <w:vAlign w:val="bottom"/>
            <w:gridSpan w:val="2"/>
          </w:tcPr>
          <w:p>
            <w:pPr>
              <w:jc w:val="center"/>
              <w:ind w:left="1703"/>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0" w:type="dxa"/>
            <w:vAlign w:val="bottom"/>
            <w:gridSpan w:val="2"/>
          </w:tcPr>
          <w:p>
            <w:pPr>
              <w:jc w:val="center"/>
              <w:ind w:left="3951"/>
              <w:spacing w:after="0"/>
              <w:rPr>
                <w:sz w:val="20"/>
                <w:szCs w:val="20"/>
                <w:color w:val="auto"/>
              </w:rPr>
            </w:pPr>
            <w:r>
              <w:rPr>
                <w:rFonts w:ascii="Times New Roman" w:cs="Times New Roman" w:eastAsia="Times New Roman" w:hAnsi="Times New Roman"/>
                <w:sz w:val="17"/>
                <w:szCs w:val="17"/>
                <w:b w:val="1"/>
                <w:bCs w:val="1"/>
                <w:color w:val="auto"/>
                <w:w w:val="99"/>
              </w:rPr>
              <w:t>83-3349931</w:t>
            </w:r>
          </w:p>
        </w:tc>
      </w:tr>
      <w:tr>
        <w:trPr>
          <w:trHeight w:val="200"/>
        </w:trPr>
        <w:tc>
          <w:tcPr>
            <w:tcW w:w="3200" w:type="dxa"/>
            <w:vAlign w:val="bottom"/>
            <w:gridSpan w:val="5"/>
          </w:tcPr>
          <w:p>
            <w:pPr>
              <w:jc w:val="center"/>
              <w:ind w:left="1103"/>
              <w:spacing w:after="0"/>
              <w:rPr>
                <w:sz w:val="20"/>
                <w:szCs w:val="20"/>
                <w:color w:val="auto"/>
              </w:rPr>
            </w:pPr>
            <w:r>
              <w:rPr>
                <w:rFonts w:ascii="Times New Roman" w:cs="Times New Roman" w:eastAsia="Times New Roman" w:hAnsi="Times New Roman"/>
                <w:sz w:val="15"/>
                <w:szCs w:val="15"/>
                <w:color w:val="auto"/>
              </w:rPr>
              <w:t>(State or Other Jurisdiction of</w:t>
            </w:r>
          </w:p>
        </w:tc>
        <w:tc>
          <w:tcPr>
            <w:tcW w:w="600" w:type="dxa"/>
            <w:vAlign w:val="bottom"/>
          </w:tcPr>
          <w:p>
            <w:pPr>
              <w:spacing w:after="0"/>
              <w:rPr>
                <w:sz w:val="17"/>
                <w:szCs w:val="17"/>
                <w:color w:val="auto"/>
              </w:rPr>
            </w:pPr>
          </w:p>
        </w:tc>
        <w:tc>
          <w:tcPr>
            <w:tcW w:w="4600" w:type="dxa"/>
            <w:vAlign w:val="bottom"/>
          </w:tcPr>
          <w:p>
            <w:pPr>
              <w:jc w:val="center"/>
              <w:ind w:left="3343"/>
              <w:spacing w:after="0"/>
              <w:rPr>
                <w:sz w:val="20"/>
                <w:szCs w:val="20"/>
                <w:color w:val="auto"/>
              </w:rPr>
            </w:pPr>
            <w:r>
              <w:rPr>
                <w:rFonts w:ascii="Times New Roman" w:cs="Times New Roman" w:eastAsia="Times New Roman" w:hAnsi="Times New Roman"/>
                <w:sz w:val="15"/>
                <w:szCs w:val="15"/>
                <w:color w:val="auto"/>
              </w:rPr>
              <w:t>(I.R.S. Employer</w:t>
            </w:r>
          </w:p>
        </w:tc>
      </w:tr>
      <w:tr>
        <w:trPr>
          <w:trHeight w:val="206"/>
        </w:trPr>
        <w:tc>
          <w:tcPr>
            <w:tcW w:w="3200" w:type="dxa"/>
            <w:vAlign w:val="bottom"/>
            <w:gridSpan w:val="5"/>
          </w:tcPr>
          <w:p>
            <w:pPr>
              <w:jc w:val="center"/>
              <w:ind w:left="1103"/>
              <w:spacing w:after="0"/>
              <w:rPr>
                <w:sz w:val="20"/>
                <w:szCs w:val="20"/>
                <w:color w:val="auto"/>
              </w:rPr>
            </w:pPr>
            <w:r>
              <w:rPr>
                <w:rFonts w:ascii="Times New Roman" w:cs="Times New Roman" w:eastAsia="Times New Roman" w:hAnsi="Times New Roman"/>
                <w:sz w:val="15"/>
                <w:szCs w:val="15"/>
                <w:color w:val="auto"/>
              </w:rPr>
              <w:t>Incorporation or Organization)</w:t>
            </w:r>
          </w:p>
        </w:tc>
        <w:tc>
          <w:tcPr>
            <w:tcW w:w="600" w:type="dxa"/>
            <w:vAlign w:val="bottom"/>
          </w:tcPr>
          <w:p>
            <w:pPr>
              <w:spacing w:after="0"/>
              <w:rPr>
                <w:sz w:val="17"/>
                <w:szCs w:val="17"/>
                <w:color w:val="auto"/>
              </w:rPr>
            </w:pPr>
          </w:p>
        </w:tc>
        <w:tc>
          <w:tcPr>
            <w:tcW w:w="4600" w:type="dxa"/>
            <w:vAlign w:val="bottom"/>
          </w:tcPr>
          <w:p>
            <w:pPr>
              <w:jc w:val="center"/>
              <w:ind w:left="3363"/>
              <w:spacing w:after="0"/>
              <w:rPr>
                <w:sz w:val="20"/>
                <w:szCs w:val="20"/>
                <w:color w:val="auto"/>
              </w:rPr>
            </w:pPr>
            <w:r>
              <w:rPr>
                <w:rFonts w:ascii="Times New Roman" w:cs="Times New Roman" w:eastAsia="Times New Roman" w:hAnsi="Times New Roman"/>
                <w:sz w:val="15"/>
                <w:szCs w:val="15"/>
                <w:color w:val="auto"/>
              </w:rPr>
              <w:t>Identification No.)</w:t>
            </w:r>
          </w:p>
        </w:tc>
      </w:tr>
    </w:tbl>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1675 East Riverside Drive</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7"/>
          <w:szCs w:val="17"/>
          <w:b w:val="1"/>
          <w:bCs w:val="1"/>
          <w:color w:val="auto"/>
        </w:rPr>
        <w:t xml:space="preserve"> Suite 150</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7"/>
          <w:szCs w:val="17"/>
          <w:b w:val="1"/>
          <w:bCs w:val="1"/>
          <w:color w:val="auto"/>
        </w:rPr>
        <w:t xml:space="preserve"> Eagle</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7"/>
          <w:szCs w:val="17"/>
          <w:b w:val="1"/>
          <w:bCs w:val="1"/>
          <w:color w:val="auto"/>
        </w:rPr>
        <w:t xml:space="preserve"> ID </w:t>
      </w:r>
      <w:r>
        <w:rPr>
          <w:rFonts w:ascii="Times New Roman" w:cs="Times New Roman" w:eastAsia="Times New Roman" w:hAnsi="Times New Roman"/>
          <w:sz w:val="15"/>
          <w:szCs w:val="15"/>
          <w:b w:val="1"/>
          <w:bCs w:val="1"/>
          <w:color w:val="auto"/>
        </w:rPr>
        <w:t>83616</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(Address of Principal Executive Offices and Zip Code)</w:t>
      </w:r>
    </w:p>
    <w:p>
      <w:pPr>
        <w:spacing w:after="0" w:line="9" w:lineRule="exact"/>
        <w:rPr>
          <w:sz w:val="24"/>
          <w:szCs w:val="24"/>
          <w:color w:val="auto"/>
        </w:rPr>
      </w:pPr>
    </w:p>
    <w:p>
      <w:pPr>
        <w:ind w:left="5540" w:hanging="418"/>
        <w:spacing w:after="0"/>
        <w:tabs>
          <w:tab w:leader="none" w:pos="554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5"/>
          <w:szCs w:val="15"/>
          <w:b w:val="1"/>
          <w:bCs w:val="1"/>
          <w:color w:val="auto"/>
        </w:rPr>
        <w:t>401-1400</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p>
      <w:pPr>
        <w:ind w:left="374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__________________________________________________________________________________________________________________________________________________</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12(b) of the Exchange Act:</w:t>
      </w:r>
    </w:p>
    <w:p>
      <w:pPr>
        <w:sectPr>
          <w:pgSz w:w="11900" w:h="16838" w:orient="portrait"/>
          <w:cols w:equalWidth="0" w:num="1">
            <w:col w:w="11240"/>
          </w:cols>
          <w:pgMar w:left="320" w:top="1058" w:right="339" w:bottom="1440" w:gutter="0" w:footer="0" w:header="0"/>
        </w:sectPr>
      </w:pPr>
    </w:p>
    <w:p>
      <w:pPr>
        <w:spacing w:after="0" w:line="45"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Trading Symbol(s)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p>
      <w:pPr>
        <w:spacing w:after="0" w:line="38" w:lineRule="exact"/>
        <w:rPr>
          <w:sz w:val="24"/>
          <w:szCs w:val="24"/>
          <w:color w:val="auto"/>
        </w:rPr>
      </w:pPr>
    </w:p>
    <w:p>
      <w:pPr>
        <w:sectPr>
          <w:pgSz w:w="11900" w:h="16838" w:orient="portrait"/>
          <w:cols w:equalWidth="0" w:num="3">
            <w:col w:w="4180" w:space="720"/>
            <w:col w:w="2280" w:space="720"/>
            <w:col w:w="3340"/>
          </w:cols>
          <w:pgMar w:left="320" w:top="1058" w:right="3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5"/>
          <w:szCs w:val="15"/>
          <w:color w:val="auto"/>
        </w:rPr>
        <w:t>Common Stock, par value $0.001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PNTG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Nasdaq Global Select Market</w:t>
      </w:r>
    </w:p>
    <w:p>
      <w:pPr>
        <w:spacing w:after="0" w:line="111" w:lineRule="exact"/>
        <w:rPr>
          <w:sz w:val="24"/>
          <w:szCs w:val="24"/>
          <w:color w:val="auto"/>
        </w:rPr>
      </w:pPr>
    </w:p>
    <w:p>
      <w:pPr>
        <w:sectPr>
          <w:pgSz w:w="11900" w:h="16838" w:orient="portrait"/>
          <w:cols w:equalWidth="0" w:num="3">
            <w:col w:w="4600" w:space="720"/>
            <w:col w:w="2380" w:space="720"/>
            <w:col w:w="2820"/>
          </w:cols>
          <w:pgMar w:left="320" w:top="1058" w:right="339" w:bottom="1440" w:gutter="0" w:footer="0" w:header="0"/>
          <w:type w:val="continuous"/>
        </w:sectPr>
      </w:pPr>
    </w:p>
    <w:p>
      <w:pPr>
        <w:ind w:left="3540"/>
        <w:spacing w:after="0"/>
        <w:rPr>
          <w:sz w:val="20"/>
          <w:szCs w:val="20"/>
          <w:color w:val="auto"/>
        </w:rPr>
      </w:pPr>
      <w:r>
        <w:rPr>
          <w:rFonts w:ascii="Times New Roman" w:cs="Times New Roman" w:eastAsia="Times New Roman" w:hAnsi="Times New Roman"/>
          <w:sz w:val="15"/>
          <w:szCs w:val="15"/>
          <w:color w:val="auto"/>
        </w:rPr>
        <w:t>Securities registered pursuant to Section 12(g) of the Exchange Act: None</w:t>
      </w:r>
    </w:p>
    <w:p>
      <w:pPr>
        <w:spacing w:after="0" w:line="191"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No</w:t>
      </w:r>
    </w:p>
    <w:p>
      <w:pPr>
        <w:spacing w:after="0" w:line="240"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Section 15(d) of the Act.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76" w:lineRule="exact"/>
        <w:rPr>
          <w:sz w:val="24"/>
          <w:szCs w:val="24"/>
          <w:color w:val="auto"/>
        </w:rPr>
      </w:pPr>
    </w:p>
    <w:p>
      <w:pPr>
        <w:jc w:val="both"/>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76" w:lineRule="exact"/>
        <w:rPr>
          <w:sz w:val="24"/>
          <w:szCs w:val="24"/>
          <w:color w:val="auto"/>
        </w:rPr>
      </w:pPr>
    </w:p>
    <w:p>
      <w:pPr>
        <w:jc w:val="both"/>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11" w:lineRule="exact"/>
        <w:rPr>
          <w:sz w:val="24"/>
          <w:szCs w:val="24"/>
          <w:color w:val="auto"/>
        </w:rPr>
      </w:pPr>
    </w:p>
    <w:p>
      <w:pPr>
        <w:ind w:left="260"/>
        <w:spacing w:after="0" w:line="173" w:lineRule="exact"/>
        <w:tabs>
          <w:tab w:leader="none" w:pos="1980" w:val="left"/>
          <w:tab w:leader="none" w:pos="2660" w:val="left"/>
          <w:tab w:leader="none" w:pos="4220" w:val="left"/>
          <w:tab w:leader="none" w:pos="4760" w:val="left"/>
          <w:tab w:leader="none" w:pos="6460" w:val="left"/>
          <w:tab w:leader="none" w:pos="6820" w:val="left"/>
          <w:tab w:leader="none" w:pos="8720" w:val="left"/>
          <w:tab w:leader="none" w:pos="9060" w:val="left"/>
          <w:tab w:leader="none" w:pos="10960" w:val="left"/>
        </w:tabs>
        <w:rPr>
          <w:sz w:val="20"/>
          <w:szCs w:val="20"/>
          <w:color w:val="auto"/>
        </w:rPr>
      </w:pPr>
      <w:r>
        <w:rPr>
          <w:rFonts w:ascii="Times New Roman" w:cs="Times New Roman" w:eastAsia="Times New Roman" w:hAnsi="Times New Roman"/>
          <w:sz w:val="15"/>
          <w:szCs w:val="15"/>
          <w:color w:val="auto"/>
        </w:rPr>
        <w:t>Large 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Non-accelerated filer</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Smaller reporting company</w:t>
      </w:r>
      <w:r>
        <w:rPr>
          <w:sz w:val="20"/>
          <w:szCs w:val="20"/>
          <w:color w:val="auto"/>
        </w:rPr>
        <w:tab/>
      </w: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15"/>
          <w:szCs w:val="15"/>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18" w:lineRule="exact"/>
        <w:rPr>
          <w:sz w:val="24"/>
          <w:szCs w:val="24"/>
          <w:color w:val="auto"/>
        </w:rPr>
      </w:pPr>
    </w:p>
    <w:p>
      <w:pPr>
        <w:ind w:right="480"/>
        <w:spacing w:after="0" w:line="196"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76" w:lineRule="exact"/>
        <w:rPr>
          <w:sz w:val="24"/>
          <w:szCs w:val="24"/>
          <w:color w:val="auto"/>
        </w:rPr>
      </w:pPr>
    </w:p>
    <w:p>
      <w:pPr>
        <w:jc w:val="both"/>
        <w:spacing w:after="0" w:line="206"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82" w:lineRule="exact"/>
        <w:rPr>
          <w:sz w:val="24"/>
          <w:szCs w:val="24"/>
          <w:color w:val="auto"/>
        </w:rPr>
      </w:pPr>
    </w:p>
    <w:p>
      <w:pPr>
        <w:ind w:right="160"/>
        <w:spacing w:after="0" w:line="196"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Exchange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76" w:lineRule="exact"/>
        <w:rPr>
          <w:sz w:val="24"/>
          <w:szCs w:val="24"/>
          <w:color w:val="auto"/>
        </w:rPr>
      </w:pPr>
    </w:p>
    <w:p>
      <w:pPr>
        <w:ind w:right="80"/>
        <w:spacing w:after="0" w:line="196"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53"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a check mark whether the registrant is a shell company (as defined in Rule 12b-2 of the Exchange Act).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63" w:lineRule="exact"/>
        <w:rPr>
          <w:sz w:val="24"/>
          <w:szCs w:val="24"/>
          <w:color w:val="auto"/>
        </w:rPr>
      </w:pPr>
    </w:p>
    <w:p>
      <w:pPr>
        <w:jc w:val="both"/>
        <w:spacing w:after="0" w:line="245" w:lineRule="auto"/>
        <w:rPr>
          <w:sz w:val="20"/>
          <w:szCs w:val="20"/>
          <w:color w:val="auto"/>
        </w:rPr>
      </w:pPr>
      <w:r>
        <w:rPr>
          <w:rFonts w:ascii="Times New Roman" w:cs="Times New Roman" w:eastAsia="Times New Roman" w:hAnsi="Times New Roman"/>
          <w:sz w:val="15"/>
          <w:szCs w:val="15"/>
          <w:color w:val="auto"/>
        </w:rPr>
        <w:t>As of February 23, 2026, 34,663,118 shares of the registrant’s common stock were outstanding. The aggregate market value of the shares of common stock held by non-affiliates of the registrant on the last business day of the registrant's most recently completed second fiscal quarter (June 30, 2025) was approximately $989,438,000 based upon the closing price of the common stock on such date. For purposes of this calculation, the registrant has excluded the market value of all common stock beneficially owned by all executive officers and directors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701675</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198755</wp:posOffset>
            </wp:positionV>
            <wp:extent cx="71386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166370</wp:posOffset>
            </wp:positionV>
            <wp:extent cx="71386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ectPr>
          <w:pgSz w:w="11900" w:h="16838" w:orient="portrait"/>
          <w:cols w:equalWidth="0" w:num="1">
            <w:col w:w="11240"/>
          </w:cols>
          <w:pgMar w:left="320" w:top="1058"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 on Incorporation by Reference</w:t>
      </w:r>
    </w:p>
    <w:p>
      <w:pPr>
        <w:spacing w:after="0" w:line="24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Part III of this Form 10-K incorporates information by reference from the Registrant's definitive proxy statement on Schedule 14A for the Registrant's 2026 Annual Meeting of Stockholders to be filed within 120 days after the close of the fiscal year covered by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641985</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 w:name="page3"/>
    <w:bookmarkEnd w:id="2"/>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40" w:type="dxa"/>
            <w:vAlign w:val="bottom"/>
            <w:gridSpan w:val="9"/>
          </w:tcPr>
          <w:p>
            <w:pPr>
              <w:jc w:val="center"/>
              <w:ind w:right="2540"/>
              <w:spacing w:after="0"/>
              <w:rPr>
                <w:sz w:val="20"/>
                <w:szCs w:val="20"/>
                <w:color w:val="auto"/>
              </w:rPr>
            </w:pPr>
            <w:r>
              <w:rPr>
                <w:rFonts w:ascii="Times New Roman" w:cs="Times New Roman" w:eastAsia="Times New Roman" w:hAnsi="Times New Roman"/>
                <w:sz w:val="17"/>
                <w:szCs w:val="17"/>
                <w:b w:val="1"/>
                <w:bCs w:val="1"/>
                <w:color w:val="auto"/>
              </w:rPr>
              <w:t>THE PENNANT GROUP, INC.</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4"/>
        </w:trPr>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40" w:type="dxa"/>
            <w:vAlign w:val="bottom"/>
            <w:gridSpan w:val="9"/>
          </w:tcPr>
          <w:p>
            <w:pPr>
              <w:jc w:val="center"/>
              <w:ind w:right="2540"/>
              <w:spacing w:after="0"/>
              <w:rPr>
                <w:sz w:val="20"/>
                <w:szCs w:val="20"/>
                <w:color w:val="auto"/>
              </w:rPr>
            </w:pPr>
            <w:r>
              <w:rPr>
                <w:rFonts w:ascii="Times New Roman" w:cs="Times New Roman" w:eastAsia="Times New Roman" w:hAnsi="Times New Roman"/>
                <w:sz w:val="17"/>
                <w:szCs w:val="17"/>
                <w:b w:val="1"/>
                <w:bCs w:val="1"/>
                <w:color w:val="auto"/>
              </w:rPr>
              <w:t>ANNUAL REPORT ON FORM 10-K</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06"/>
        </w:trPr>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40" w:type="dxa"/>
            <w:vAlign w:val="bottom"/>
            <w:gridSpan w:val="13"/>
          </w:tcPr>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FOR THE FISCAL YEAR ENDED DECEMBER 31, 2025</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27"/>
        </w:trPr>
        <w:tc>
          <w:tcPr>
            <w:tcW w:w="1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40" w:type="dxa"/>
            <w:vAlign w:val="bottom"/>
            <w:gridSpan w:val="9"/>
          </w:tcPr>
          <w:p>
            <w:pPr>
              <w:jc w:val="center"/>
              <w:ind w:right="254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41"/>
        </w:trPr>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60" w:type="dxa"/>
            <w:vAlign w:val="bottom"/>
            <w:gridSpan w:val="7"/>
          </w:tcPr>
          <w:p>
            <w:pPr>
              <w:jc w:val="center"/>
              <w:ind w:right="2800"/>
              <w:spacing w:after="0"/>
              <w:rPr>
                <w:sz w:val="20"/>
                <w:szCs w:val="20"/>
                <w:color w:val="auto"/>
              </w:rPr>
            </w:pPr>
            <w:r>
              <w:rPr>
                <w:rFonts w:ascii="Times New Roman" w:cs="Times New Roman" w:eastAsia="Times New Roman" w:hAnsi="Times New Roman"/>
                <w:sz w:val="17"/>
                <w:szCs w:val="17"/>
                <w:b w:val="1"/>
                <w:bCs w:val="1"/>
                <w:color w:val="auto"/>
              </w:rPr>
              <w:t>Part I.</w:t>
            </w: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184"/>
        </w:trPr>
        <w:tc>
          <w:tcPr>
            <w:tcW w:w="1020" w:type="dxa"/>
            <w:vAlign w:val="bottom"/>
          </w:tcPr>
          <w:p>
            <w:pPr>
              <w:spacing w:after="0"/>
              <w:rPr>
                <w:sz w:val="16"/>
                <w:szCs w:val="16"/>
                <w:color w:val="auto"/>
              </w:rPr>
            </w:pPr>
          </w:p>
        </w:tc>
        <w:tc>
          <w:tcPr>
            <w:tcW w:w="480" w:type="dxa"/>
            <w:vAlign w:val="bottom"/>
          </w:tcPr>
          <w:p>
            <w:pPr>
              <w:spacing w:after="0" w:line="184" w:lineRule="exact"/>
              <w:rPr>
                <w:sz w:val="20"/>
                <w:szCs w:val="20"/>
                <w:color w:val="auto"/>
              </w:rPr>
            </w:pPr>
            <w:r>
              <w:rPr>
                <w:rFonts w:ascii="Times New Roman" w:cs="Times New Roman" w:eastAsia="Times New Roman" w:hAnsi="Times New Roman"/>
                <w:sz w:val="17"/>
                <w:szCs w:val="17"/>
                <w:color w:val="0000FF"/>
                <w:w w:val="95"/>
              </w:rPr>
              <w:t>Item 1.</w:t>
            </w:r>
          </w:p>
        </w:tc>
        <w:tc>
          <w:tcPr>
            <w:tcW w:w="580" w:type="dxa"/>
            <w:vAlign w:val="bottom"/>
            <w:gridSpan w:val="4"/>
          </w:tcPr>
          <w:p>
            <w:pPr>
              <w:spacing w:after="0"/>
              <w:rPr>
                <w:sz w:val="16"/>
                <w:szCs w:val="16"/>
                <w:color w:val="auto"/>
              </w:rPr>
            </w:pPr>
          </w:p>
        </w:tc>
        <w:tc>
          <w:tcPr>
            <w:tcW w:w="7680" w:type="dxa"/>
            <w:vAlign w:val="bottom"/>
            <w:gridSpan w:val="18"/>
          </w:tcPr>
          <w:p>
            <w:pPr>
              <w:spacing w:after="0" w:line="184" w:lineRule="exact"/>
              <w:rPr>
                <w:sz w:val="20"/>
                <w:szCs w:val="20"/>
                <w:color w:val="auto"/>
              </w:rPr>
            </w:pPr>
            <w:r>
              <w:rPr>
                <w:rFonts w:ascii="Times New Roman" w:cs="Times New Roman" w:eastAsia="Times New Roman" w:hAnsi="Times New Roman"/>
                <w:sz w:val="17"/>
                <w:szCs w:val="17"/>
                <w:color w:val="0000FF"/>
              </w:rPr>
              <w:t>Business</w:t>
            </w:r>
          </w:p>
        </w:tc>
        <w:tc>
          <w:tcPr>
            <w:tcW w:w="680" w:type="dxa"/>
            <w:vAlign w:val="bottom"/>
            <w:gridSpan w:val="2"/>
          </w:tcPr>
          <w:p>
            <w:pPr>
              <w:jc w:val="center"/>
              <w:ind w:left="514"/>
              <w:spacing w:after="0" w:line="184" w:lineRule="exact"/>
              <w:rPr>
                <w:sz w:val="20"/>
                <w:szCs w:val="20"/>
                <w:color w:val="auto"/>
              </w:rPr>
            </w:pPr>
            <w:r>
              <w:rPr>
                <w:rFonts w:ascii="Times New Roman" w:cs="Times New Roman" w:eastAsia="Times New Roman" w:hAnsi="Times New Roman"/>
                <w:sz w:val="17"/>
                <w:szCs w:val="17"/>
                <w:color w:val="0000FF"/>
                <w:w w:val="93"/>
              </w:rPr>
              <w:t>2</w:t>
            </w:r>
          </w:p>
        </w:tc>
        <w:tc>
          <w:tcPr>
            <w:tcW w:w="800" w:type="dxa"/>
            <w:vAlign w:val="bottom"/>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Item1A.</w:t>
            </w:r>
          </w:p>
        </w:tc>
        <w:tc>
          <w:tcPr>
            <w:tcW w:w="76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17</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7"/>
              </w:rPr>
              <w:t>Item 1B.</w:t>
            </w:r>
          </w:p>
        </w:tc>
        <w:tc>
          <w:tcPr>
            <w:tcW w:w="500" w:type="dxa"/>
            <w:vAlign w:val="bottom"/>
            <w:gridSpan w:val="3"/>
          </w:tcPr>
          <w:p>
            <w:pPr>
              <w:spacing w:after="0"/>
              <w:rPr>
                <w:sz w:val="17"/>
                <w:szCs w:val="17"/>
                <w:color w:val="auto"/>
              </w:rPr>
            </w:pPr>
          </w:p>
        </w:tc>
        <w:tc>
          <w:tcPr>
            <w:tcW w:w="19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w w:val="99"/>
              </w:rPr>
              <w:t>Unresolved Staff Comments</w:t>
            </w:r>
          </w:p>
        </w:tc>
        <w:tc>
          <w:tcPr>
            <w:tcW w:w="5740" w:type="dxa"/>
            <w:vAlign w:val="bottom"/>
            <w:gridSpan w:val="9"/>
          </w:tcPr>
          <w:p>
            <w:pPr>
              <w:spacing w:after="0"/>
              <w:rPr>
                <w:sz w:val="17"/>
                <w:szCs w:val="17"/>
                <w:color w:val="auto"/>
              </w:rPr>
            </w:pP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26</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6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7"/>
              </w:rPr>
              <w:t>Item 1C.</w:t>
            </w:r>
          </w:p>
        </w:tc>
        <w:tc>
          <w:tcPr>
            <w:tcW w:w="500" w:type="dxa"/>
            <w:vAlign w:val="bottom"/>
            <w:gridSpan w:val="3"/>
          </w:tcPr>
          <w:p>
            <w:pPr>
              <w:spacing w:after="0"/>
              <w:rPr>
                <w:sz w:val="17"/>
                <w:szCs w:val="17"/>
                <w:color w:val="auto"/>
              </w:rPr>
            </w:pPr>
          </w:p>
        </w:tc>
        <w:tc>
          <w:tcPr>
            <w:tcW w:w="19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Cybersecurity</w:t>
            </w:r>
          </w:p>
        </w:tc>
        <w:tc>
          <w:tcPr>
            <w:tcW w:w="5740" w:type="dxa"/>
            <w:vAlign w:val="bottom"/>
            <w:gridSpan w:val="9"/>
          </w:tcPr>
          <w:p>
            <w:pPr>
              <w:spacing w:after="0"/>
              <w:rPr>
                <w:sz w:val="17"/>
                <w:szCs w:val="17"/>
                <w:color w:val="auto"/>
              </w:rPr>
            </w:pP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27</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2.</w:t>
            </w:r>
          </w:p>
        </w:tc>
        <w:tc>
          <w:tcPr>
            <w:tcW w:w="80" w:type="dxa"/>
            <w:vAlign w:val="bottom"/>
          </w:tcPr>
          <w:p>
            <w:pPr>
              <w:spacing w:after="0"/>
              <w:rPr>
                <w:sz w:val="17"/>
                <w:szCs w:val="17"/>
                <w:color w:val="auto"/>
              </w:rPr>
            </w:pPr>
          </w:p>
        </w:tc>
        <w:tc>
          <w:tcPr>
            <w:tcW w:w="500" w:type="dxa"/>
            <w:vAlign w:val="bottom"/>
            <w:gridSpan w:val="3"/>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2"/>
              </w:rPr>
              <w:t>Properties</w:t>
            </w:r>
          </w:p>
        </w:tc>
        <w:tc>
          <w:tcPr>
            <w:tcW w:w="260" w:type="dxa"/>
            <w:vAlign w:val="bottom"/>
            <w:gridSpan w:val="2"/>
          </w:tcPr>
          <w:p>
            <w:pPr>
              <w:spacing w:after="0"/>
              <w:rPr>
                <w:sz w:val="17"/>
                <w:szCs w:val="17"/>
                <w:color w:val="auto"/>
              </w:rPr>
            </w:pPr>
          </w:p>
        </w:tc>
        <w:tc>
          <w:tcPr>
            <w:tcW w:w="6740" w:type="dxa"/>
            <w:vAlign w:val="bottom"/>
            <w:gridSpan w:val="14"/>
          </w:tcPr>
          <w:p>
            <w:pPr>
              <w:spacing w:after="0"/>
              <w:rPr>
                <w:sz w:val="17"/>
                <w:szCs w:val="17"/>
                <w:color w:val="auto"/>
              </w:rPr>
            </w:pP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28</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3.</w:t>
            </w:r>
          </w:p>
        </w:tc>
        <w:tc>
          <w:tcPr>
            <w:tcW w:w="580" w:type="dxa"/>
            <w:vAlign w:val="bottom"/>
            <w:gridSpan w:val="4"/>
          </w:tcPr>
          <w:p>
            <w:pPr>
              <w:spacing w:after="0"/>
              <w:rPr>
                <w:sz w:val="17"/>
                <w:szCs w:val="17"/>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5"/>
              </w:rPr>
              <w:t>Legal Proceedings</w:t>
            </w:r>
          </w:p>
        </w:tc>
        <w:tc>
          <w:tcPr>
            <w:tcW w:w="6440" w:type="dxa"/>
            <w:vAlign w:val="bottom"/>
            <w:gridSpan w:val="13"/>
          </w:tcPr>
          <w:p>
            <w:pPr>
              <w:spacing w:after="0"/>
              <w:rPr>
                <w:sz w:val="17"/>
                <w:szCs w:val="17"/>
                <w:color w:val="auto"/>
              </w:rPr>
            </w:pP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29</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4.</w:t>
            </w:r>
          </w:p>
        </w:tc>
        <w:tc>
          <w:tcPr>
            <w:tcW w:w="580" w:type="dxa"/>
            <w:vAlign w:val="bottom"/>
            <w:gridSpan w:val="4"/>
          </w:tcPr>
          <w:p>
            <w:pPr>
              <w:spacing w:after="0"/>
              <w:rPr>
                <w:sz w:val="17"/>
                <w:szCs w:val="17"/>
                <w:color w:val="auto"/>
              </w:rPr>
            </w:pPr>
          </w:p>
        </w:tc>
        <w:tc>
          <w:tcPr>
            <w:tcW w:w="76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Mine Safety Disclosures</w:t>
            </w: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29</w:t>
            </w:r>
          </w:p>
        </w:tc>
        <w:tc>
          <w:tcPr>
            <w:tcW w:w="800" w:type="dxa"/>
            <w:vAlign w:val="bottom"/>
          </w:tcPr>
          <w:p>
            <w:pPr>
              <w:spacing w:after="0"/>
              <w:rPr>
                <w:sz w:val="17"/>
                <w:szCs w:val="17"/>
                <w:color w:val="auto"/>
              </w:rPr>
            </w:pPr>
          </w:p>
        </w:tc>
      </w:tr>
      <w:tr>
        <w:trPr>
          <w:trHeight w:val="234"/>
        </w:trPr>
        <w:tc>
          <w:tcPr>
            <w:tcW w:w="1020" w:type="dxa"/>
            <w:vAlign w:val="bottom"/>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560" w:type="dxa"/>
            <w:vAlign w:val="bottom"/>
            <w:gridSpan w:val="7"/>
          </w:tcPr>
          <w:p>
            <w:pPr>
              <w:jc w:val="center"/>
              <w:ind w:right="2780"/>
              <w:spacing w:after="0"/>
              <w:rPr>
                <w:sz w:val="20"/>
                <w:szCs w:val="20"/>
                <w:color w:val="auto"/>
              </w:rPr>
            </w:pPr>
            <w:r>
              <w:rPr>
                <w:rFonts w:ascii="Times New Roman" w:cs="Times New Roman" w:eastAsia="Times New Roman" w:hAnsi="Times New Roman"/>
                <w:sz w:val="17"/>
                <w:szCs w:val="17"/>
                <w:b w:val="1"/>
                <w:bCs w:val="1"/>
                <w:color w:val="auto"/>
              </w:rPr>
              <w:t>Part II.</w:t>
            </w:r>
          </w:p>
        </w:tc>
        <w:tc>
          <w:tcPr>
            <w:tcW w:w="60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0" w:type="dxa"/>
            <w:vAlign w:val="bottom"/>
          </w:tcPr>
          <w:p>
            <w:pPr>
              <w:spacing w:after="0"/>
              <w:rPr>
                <w:sz w:val="20"/>
                <w:szCs w:val="20"/>
                <w:color w:val="auto"/>
              </w:rPr>
            </w:pPr>
          </w:p>
        </w:tc>
      </w:tr>
      <w:tr>
        <w:trPr>
          <w:trHeight w:val="184"/>
        </w:trPr>
        <w:tc>
          <w:tcPr>
            <w:tcW w:w="1020" w:type="dxa"/>
            <w:vAlign w:val="bottom"/>
          </w:tcPr>
          <w:p>
            <w:pPr>
              <w:spacing w:after="0"/>
              <w:rPr>
                <w:sz w:val="16"/>
                <w:szCs w:val="16"/>
                <w:color w:val="auto"/>
              </w:rPr>
            </w:pPr>
          </w:p>
        </w:tc>
        <w:tc>
          <w:tcPr>
            <w:tcW w:w="480" w:type="dxa"/>
            <w:vAlign w:val="bottom"/>
          </w:tcPr>
          <w:p>
            <w:pPr>
              <w:spacing w:after="0" w:line="184" w:lineRule="exact"/>
              <w:rPr>
                <w:sz w:val="20"/>
                <w:szCs w:val="20"/>
                <w:color w:val="auto"/>
              </w:rPr>
            </w:pPr>
            <w:r>
              <w:rPr>
                <w:rFonts w:ascii="Times New Roman" w:cs="Times New Roman" w:eastAsia="Times New Roman" w:hAnsi="Times New Roman"/>
                <w:sz w:val="17"/>
                <w:szCs w:val="17"/>
                <w:color w:val="0000FF"/>
                <w:w w:val="95"/>
              </w:rPr>
              <w:t>Item 5.</w:t>
            </w:r>
          </w:p>
        </w:tc>
        <w:tc>
          <w:tcPr>
            <w:tcW w:w="580" w:type="dxa"/>
            <w:vAlign w:val="bottom"/>
            <w:gridSpan w:val="4"/>
          </w:tcPr>
          <w:p>
            <w:pPr>
              <w:spacing w:after="0"/>
              <w:rPr>
                <w:sz w:val="16"/>
                <w:szCs w:val="16"/>
                <w:color w:val="auto"/>
              </w:rPr>
            </w:pPr>
          </w:p>
        </w:tc>
        <w:tc>
          <w:tcPr>
            <w:tcW w:w="7680" w:type="dxa"/>
            <w:vAlign w:val="bottom"/>
            <w:gridSpan w:val="18"/>
          </w:tcPr>
          <w:p>
            <w:pPr>
              <w:spacing w:after="0" w:line="184" w:lineRule="exact"/>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680" w:type="dxa"/>
            <w:vAlign w:val="bottom"/>
            <w:gridSpan w:val="2"/>
          </w:tcPr>
          <w:p>
            <w:pPr>
              <w:jc w:val="center"/>
              <w:ind w:left="434"/>
              <w:spacing w:after="0" w:line="184" w:lineRule="exact"/>
              <w:rPr>
                <w:sz w:val="20"/>
                <w:szCs w:val="20"/>
                <w:color w:val="auto"/>
              </w:rPr>
            </w:pPr>
            <w:r>
              <w:rPr>
                <w:rFonts w:ascii="Times New Roman" w:cs="Times New Roman" w:eastAsia="Times New Roman" w:hAnsi="Times New Roman"/>
                <w:sz w:val="17"/>
                <w:szCs w:val="17"/>
                <w:color w:val="0000FF"/>
                <w:w w:val="93"/>
              </w:rPr>
              <w:t>29</w:t>
            </w:r>
          </w:p>
        </w:tc>
        <w:tc>
          <w:tcPr>
            <w:tcW w:w="800" w:type="dxa"/>
            <w:vAlign w:val="bottom"/>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6.</w:t>
            </w:r>
          </w:p>
        </w:tc>
        <w:tc>
          <w:tcPr>
            <w:tcW w:w="580" w:type="dxa"/>
            <w:vAlign w:val="bottom"/>
            <w:gridSpan w:val="4"/>
          </w:tcPr>
          <w:p>
            <w:pPr>
              <w:spacing w:after="0"/>
              <w:rPr>
                <w:sz w:val="17"/>
                <w:szCs w:val="17"/>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5"/>
              </w:rPr>
              <w:t>[Reserved]</w:t>
            </w:r>
          </w:p>
        </w:tc>
        <w:tc>
          <w:tcPr>
            <w:tcW w:w="7000" w:type="dxa"/>
            <w:vAlign w:val="bottom"/>
            <w:gridSpan w:val="16"/>
          </w:tcPr>
          <w:p>
            <w:pPr>
              <w:spacing w:after="0"/>
              <w:rPr>
                <w:sz w:val="17"/>
                <w:szCs w:val="17"/>
                <w:color w:val="auto"/>
              </w:rPr>
            </w:pP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30</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7.</w:t>
            </w:r>
          </w:p>
        </w:tc>
        <w:tc>
          <w:tcPr>
            <w:tcW w:w="580" w:type="dxa"/>
            <w:vAlign w:val="bottom"/>
            <w:gridSpan w:val="4"/>
          </w:tcPr>
          <w:p>
            <w:pPr>
              <w:spacing w:after="0"/>
              <w:rPr>
                <w:sz w:val="17"/>
                <w:szCs w:val="17"/>
                <w:color w:val="auto"/>
              </w:rPr>
            </w:pPr>
          </w:p>
        </w:tc>
        <w:tc>
          <w:tcPr>
            <w:tcW w:w="76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30</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7A.</w:t>
            </w:r>
          </w:p>
        </w:tc>
        <w:tc>
          <w:tcPr>
            <w:tcW w:w="420" w:type="dxa"/>
            <w:vAlign w:val="bottom"/>
            <w:gridSpan w:val="2"/>
          </w:tcPr>
          <w:p>
            <w:pPr>
              <w:spacing w:after="0"/>
              <w:rPr>
                <w:sz w:val="17"/>
                <w:szCs w:val="17"/>
                <w:color w:val="auto"/>
              </w:rPr>
            </w:pPr>
          </w:p>
        </w:tc>
        <w:tc>
          <w:tcPr>
            <w:tcW w:w="414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3540" w:type="dxa"/>
            <w:vAlign w:val="bottom"/>
            <w:gridSpan w:val="5"/>
          </w:tcPr>
          <w:p>
            <w:pPr>
              <w:spacing w:after="0"/>
              <w:rPr>
                <w:sz w:val="17"/>
                <w:szCs w:val="17"/>
                <w:color w:val="auto"/>
              </w:rPr>
            </w:pP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44</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8.</w:t>
            </w:r>
          </w:p>
        </w:tc>
        <w:tc>
          <w:tcPr>
            <w:tcW w:w="160" w:type="dxa"/>
            <w:vAlign w:val="bottom"/>
            <w:gridSpan w:val="2"/>
          </w:tcPr>
          <w:p>
            <w:pPr>
              <w:spacing w:after="0"/>
              <w:rPr>
                <w:sz w:val="17"/>
                <w:szCs w:val="17"/>
                <w:color w:val="auto"/>
              </w:rPr>
            </w:pPr>
          </w:p>
        </w:tc>
        <w:tc>
          <w:tcPr>
            <w:tcW w:w="420" w:type="dxa"/>
            <w:vAlign w:val="bottom"/>
            <w:gridSpan w:val="2"/>
          </w:tcPr>
          <w:p>
            <w:pPr>
              <w:spacing w:after="0"/>
              <w:rPr>
                <w:sz w:val="17"/>
                <w:szCs w:val="17"/>
                <w:color w:val="auto"/>
              </w:rPr>
            </w:pPr>
          </w:p>
        </w:tc>
        <w:tc>
          <w:tcPr>
            <w:tcW w:w="312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w w:val="97"/>
              </w:rPr>
              <w:t>Financial Statements and Supplementary Data</w:t>
            </w:r>
          </w:p>
        </w:tc>
        <w:tc>
          <w:tcPr>
            <w:tcW w:w="1020" w:type="dxa"/>
            <w:vAlign w:val="bottom"/>
            <w:gridSpan w:val="2"/>
          </w:tcPr>
          <w:p>
            <w:pPr>
              <w:spacing w:after="0"/>
              <w:rPr>
                <w:sz w:val="17"/>
                <w:szCs w:val="17"/>
                <w:color w:val="auto"/>
              </w:rPr>
            </w:pPr>
          </w:p>
        </w:tc>
        <w:tc>
          <w:tcPr>
            <w:tcW w:w="3540" w:type="dxa"/>
            <w:vAlign w:val="bottom"/>
            <w:gridSpan w:val="5"/>
          </w:tcPr>
          <w:p>
            <w:pPr>
              <w:spacing w:after="0"/>
              <w:rPr>
                <w:sz w:val="17"/>
                <w:szCs w:val="17"/>
                <w:color w:val="auto"/>
              </w:rPr>
            </w:pP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44</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7"/>
                <w:szCs w:val="17"/>
                <w:color w:val="0000FF"/>
                <w:w w:val="95"/>
              </w:rPr>
              <w:t>Item 9.</w:t>
            </w:r>
          </w:p>
        </w:tc>
        <w:tc>
          <w:tcPr>
            <w:tcW w:w="580" w:type="dxa"/>
            <w:vAlign w:val="bottom"/>
            <w:gridSpan w:val="4"/>
          </w:tcPr>
          <w:p>
            <w:pPr>
              <w:spacing w:after="0"/>
              <w:rPr>
                <w:sz w:val="17"/>
                <w:szCs w:val="17"/>
                <w:color w:val="auto"/>
              </w:rPr>
            </w:pPr>
          </w:p>
        </w:tc>
        <w:tc>
          <w:tcPr>
            <w:tcW w:w="76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79</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Item 9A.</w:t>
            </w:r>
          </w:p>
        </w:tc>
        <w:tc>
          <w:tcPr>
            <w:tcW w:w="420" w:type="dxa"/>
            <w:vAlign w:val="bottom"/>
            <w:gridSpan w:val="2"/>
          </w:tcPr>
          <w:p>
            <w:pPr>
              <w:spacing w:after="0"/>
              <w:rPr>
                <w:sz w:val="17"/>
                <w:szCs w:val="17"/>
                <w:color w:val="auto"/>
              </w:rPr>
            </w:pPr>
          </w:p>
        </w:tc>
        <w:tc>
          <w:tcPr>
            <w:tcW w:w="76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79</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7"/>
              </w:rPr>
              <w:t>Item 9B.</w:t>
            </w:r>
          </w:p>
        </w:tc>
        <w:tc>
          <w:tcPr>
            <w:tcW w:w="80" w:type="dxa"/>
            <w:vAlign w:val="bottom"/>
          </w:tcPr>
          <w:p>
            <w:pPr>
              <w:spacing w:after="0"/>
              <w:rPr>
                <w:sz w:val="17"/>
                <w:szCs w:val="17"/>
                <w:color w:val="auto"/>
              </w:rPr>
            </w:pPr>
          </w:p>
        </w:tc>
        <w:tc>
          <w:tcPr>
            <w:tcW w:w="420" w:type="dxa"/>
            <w:vAlign w:val="bottom"/>
            <w:gridSpan w:val="2"/>
          </w:tcPr>
          <w:p>
            <w:pPr>
              <w:spacing w:after="0"/>
              <w:rPr>
                <w:sz w:val="17"/>
                <w:szCs w:val="17"/>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w w:val="96"/>
              </w:rPr>
              <w:t>Other Information</w:t>
            </w:r>
          </w:p>
        </w:tc>
        <w:tc>
          <w:tcPr>
            <w:tcW w:w="420" w:type="dxa"/>
            <w:vAlign w:val="bottom"/>
            <w:gridSpan w:val="2"/>
          </w:tcPr>
          <w:p>
            <w:pPr>
              <w:spacing w:after="0"/>
              <w:rPr>
                <w:sz w:val="17"/>
                <w:szCs w:val="17"/>
                <w:color w:val="auto"/>
              </w:rPr>
            </w:pPr>
          </w:p>
        </w:tc>
        <w:tc>
          <w:tcPr>
            <w:tcW w:w="6020" w:type="dxa"/>
            <w:vAlign w:val="bottom"/>
            <w:gridSpan w:val="11"/>
          </w:tcPr>
          <w:p>
            <w:pPr>
              <w:spacing w:after="0"/>
              <w:rPr>
                <w:sz w:val="17"/>
                <w:szCs w:val="17"/>
                <w:color w:val="auto"/>
              </w:rPr>
            </w:pP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81</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24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87"/>
              </w:rPr>
              <w:t>Item 9C.</w:t>
            </w:r>
          </w:p>
        </w:tc>
        <w:tc>
          <w:tcPr>
            <w:tcW w:w="500" w:type="dxa"/>
            <w:vAlign w:val="bottom"/>
            <w:gridSpan w:val="3"/>
          </w:tcPr>
          <w:p>
            <w:pPr>
              <w:spacing w:after="0"/>
              <w:rPr>
                <w:sz w:val="17"/>
                <w:szCs w:val="17"/>
                <w:color w:val="auto"/>
              </w:rPr>
            </w:pPr>
          </w:p>
        </w:tc>
        <w:tc>
          <w:tcPr>
            <w:tcW w:w="4660" w:type="dxa"/>
            <w:vAlign w:val="bottom"/>
            <w:gridSpan w:val="14"/>
          </w:tcPr>
          <w:p>
            <w:pPr>
              <w:spacing w:after="0"/>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3020" w:type="dxa"/>
            <w:vAlign w:val="bottom"/>
            <w:gridSpan w:val="4"/>
          </w:tcPr>
          <w:p>
            <w:pPr>
              <w:spacing w:after="0"/>
              <w:rPr>
                <w:sz w:val="17"/>
                <w:szCs w:val="17"/>
                <w:color w:val="auto"/>
              </w:rPr>
            </w:pP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81</w:t>
            </w:r>
          </w:p>
        </w:tc>
        <w:tc>
          <w:tcPr>
            <w:tcW w:w="800" w:type="dxa"/>
            <w:vAlign w:val="bottom"/>
          </w:tcPr>
          <w:p>
            <w:pPr>
              <w:spacing w:after="0"/>
              <w:rPr>
                <w:sz w:val="17"/>
                <w:szCs w:val="17"/>
                <w:color w:val="auto"/>
              </w:rPr>
            </w:pPr>
          </w:p>
        </w:tc>
      </w:tr>
      <w:tr>
        <w:trPr>
          <w:trHeight w:val="234"/>
        </w:trPr>
        <w:tc>
          <w:tcPr>
            <w:tcW w:w="1020" w:type="dxa"/>
            <w:vAlign w:val="bottom"/>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78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1540" w:type="dxa"/>
            <w:vAlign w:val="bottom"/>
            <w:tcBorders>
              <w:top w:val="single" w:sz="8" w:color="0000FF"/>
            </w:tcBorders>
            <w:gridSpan w:val="3"/>
          </w:tcPr>
          <w:p>
            <w:pPr>
              <w:jc w:val="center"/>
              <w:ind w:left="154"/>
              <w:spacing w:after="0"/>
              <w:rPr>
                <w:sz w:val="20"/>
                <w:szCs w:val="20"/>
                <w:color w:val="auto"/>
              </w:rPr>
            </w:pPr>
            <w:r>
              <w:rPr>
                <w:rFonts w:ascii="Times New Roman" w:cs="Times New Roman" w:eastAsia="Times New Roman" w:hAnsi="Times New Roman"/>
                <w:sz w:val="17"/>
                <w:szCs w:val="17"/>
                <w:b w:val="1"/>
                <w:bCs w:val="1"/>
                <w:color w:val="auto"/>
              </w:rPr>
              <w:t>Part III.</w:t>
            </w:r>
          </w:p>
        </w:tc>
        <w:tc>
          <w:tcPr>
            <w:tcW w:w="3020" w:type="dxa"/>
            <w:vAlign w:val="bottom"/>
            <w:gridSpan w:val="4"/>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0" w:type="dxa"/>
            <w:vAlign w:val="bottom"/>
          </w:tcPr>
          <w:p>
            <w:pPr>
              <w:spacing w:after="0"/>
              <w:rPr>
                <w:sz w:val="20"/>
                <w:szCs w:val="20"/>
                <w:color w:val="auto"/>
              </w:rPr>
            </w:pPr>
          </w:p>
        </w:tc>
      </w:tr>
      <w:tr>
        <w:trPr>
          <w:trHeight w:val="184"/>
        </w:trPr>
        <w:tc>
          <w:tcPr>
            <w:tcW w:w="1020" w:type="dxa"/>
            <w:vAlign w:val="bottom"/>
          </w:tcPr>
          <w:p>
            <w:pPr>
              <w:spacing w:after="0"/>
              <w:rPr>
                <w:sz w:val="16"/>
                <w:szCs w:val="16"/>
                <w:color w:val="auto"/>
              </w:rPr>
            </w:pPr>
          </w:p>
        </w:tc>
        <w:tc>
          <w:tcPr>
            <w:tcW w:w="1060" w:type="dxa"/>
            <w:vAlign w:val="bottom"/>
            <w:gridSpan w:val="5"/>
          </w:tcPr>
          <w:p>
            <w:pPr>
              <w:spacing w:after="0" w:line="184" w:lineRule="exact"/>
              <w:rPr>
                <w:sz w:val="20"/>
                <w:szCs w:val="20"/>
                <w:color w:val="auto"/>
              </w:rPr>
            </w:pPr>
            <w:r>
              <w:rPr>
                <w:rFonts w:ascii="Times New Roman" w:cs="Times New Roman" w:eastAsia="Times New Roman" w:hAnsi="Times New Roman"/>
                <w:sz w:val="17"/>
                <w:szCs w:val="17"/>
                <w:color w:val="0000FF"/>
              </w:rPr>
              <w:t>Item 10.</w:t>
            </w:r>
          </w:p>
        </w:tc>
        <w:tc>
          <w:tcPr>
            <w:tcW w:w="7680" w:type="dxa"/>
            <w:vAlign w:val="bottom"/>
            <w:gridSpan w:val="18"/>
          </w:tcPr>
          <w:p>
            <w:pPr>
              <w:spacing w:after="0" w:line="184" w:lineRule="exact"/>
              <w:rPr>
                <w:sz w:val="20"/>
                <w:szCs w:val="20"/>
                <w:color w:val="auto"/>
              </w:rPr>
            </w:pPr>
            <w:r>
              <w:rPr>
                <w:rFonts w:ascii="Times New Roman" w:cs="Times New Roman" w:eastAsia="Times New Roman" w:hAnsi="Times New Roman"/>
                <w:sz w:val="17"/>
                <w:szCs w:val="17"/>
                <w:color w:val="0000FF"/>
              </w:rPr>
              <w:t>Directors, Executive Officers and Corporate Governance</w:t>
            </w:r>
          </w:p>
        </w:tc>
        <w:tc>
          <w:tcPr>
            <w:tcW w:w="680" w:type="dxa"/>
            <w:vAlign w:val="bottom"/>
            <w:gridSpan w:val="2"/>
          </w:tcPr>
          <w:p>
            <w:pPr>
              <w:jc w:val="center"/>
              <w:ind w:left="434"/>
              <w:spacing w:after="0" w:line="184" w:lineRule="exact"/>
              <w:rPr>
                <w:sz w:val="20"/>
                <w:szCs w:val="20"/>
                <w:color w:val="auto"/>
              </w:rPr>
            </w:pPr>
            <w:r>
              <w:rPr>
                <w:rFonts w:ascii="Times New Roman" w:cs="Times New Roman" w:eastAsia="Times New Roman" w:hAnsi="Times New Roman"/>
                <w:sz w:val="17"/>
                <w:szCs w:val="17"/>
                <w:color w:val="0000FF"/>
                <w:w w:val="93"/>
              </w:rPr>
              <w:t>81</w:t>
            </w:r>
          </w:p>
        </w:tc>
        <w:tc>
          <w:tcPr>
            <w:tcW w:w="800" w:type="dxa"/>
            <w:vAlign w:val="bottom"/>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1"/>
              </w:rPr>
              <w:t>Item 11.</w:t>
            </w:r>
          </w:p>
        </w:tc>
        <w:tc>
          <w:tcPr>
            <w:tcW w:w="500" w:type="dxa"/>
            <w:vAlign w:val="bottom"/>
            <w:gridSpan w:val="3"/>
          </w:tcPr>
          <w:p>
            <w:pPr>
              <w:spacing w:after="0"/>
              <w:rPr>
                <w:sz w:val="17"/>
                <w:szCs w:val="17"/>
                <w:color w:val="auto"/>
              </w:rPr>
            </w:pPr>
          </w:p>
        </w:tc>
        <w:tc>
          <w:tcPr>
            <w:tcW w:w="17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w w:val="98"/>
              </w:rPr>
              <w:t>Executive Compensation</w:t>
            </w:r>
          </w:p>
        </w:tc>
        <w:tc>
          <w:tcPr>
            <w:tcW w:w="2180" w:type="dxa"/>
            <w:vAlign w:val="bottom"/>
            <w:gridSpan w:val="4"/>
          </w:tcPr>
          <w:p>
            <w:pPr>
              <w:spacing w:after="0"/>
              <w:rPr>
                <w:sz w:val="17"/>
                <w:szCs w:val="17"/>
                <w:color w:val="auto"/>
              </w:rPr>
            </w:pPr>
          </w:p>
        </w:tc>
        <w:tc>
          <w:tcPr>
            <w:tcW w:w="3800" w:type="dxa"/>
            <w:vAlign w:val="bottom"/>
            <w:gridSpan w:val="6"/>
          </w:tcPr>
          <w:p>
            <w:pPr>
              <w:spacing w:after="0"/>
              <w:rPr>
                <w:sz w:val="17"/>
                <w:szCs w:val="17"/>
                <w:color w:val="auto"/>
              </w:rPr>
            </w:pP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81</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1"/>
              </w:rPr>
              <w:t>Item 12.</w:t>
            </w:r>
          </w:p>
        </w:tc>
        <w:tc>
          <w:tcPr>
            <w:tcW w:w="500" w:type="dxa"/>
            <w:vAlign w:val="bottom"/>
            <w:gridSpan w:val="3"/>
          </w:tcPr>
          <w:p>
            <w:pPr>
              <w:spacing w:after="0"/>
              <w:rPr>
                <w:sz w:val="17"/>
                <w:szCs w:val="17"/>
                <w:color w:val="auto"/>
              </w:rPr>
            </w:pPr>
          </w:p>
        </w:tc>
        <w:tc>
          <w:tcPr>
            <w:tcW w:w="76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81</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40" w:type="dxa"/>
            <w:vAlign w:val="bottom"/>
            <w:tcBorders>
              <w:left w:val="single" w:sz="8" w:color="0000FF"/>
            </w:tcBorders>
            <w:gridSpan w:val="4"/>
            <w:shd w:val="clear" w:color="auto" w:fill="0000FF"/>
          </w:tcPr>
          <w:p>
            <w:pPr>
              <w:spacing w:after="0" w:line="20" w:lineRule="exact"/>
              <w:rPr>
                <w:sz w:val="1"/>
                <w:szCs w:val="1"/>
                <w:color w:val="auto"/>
              </w:rPr>
            </w:pPr>
          </w:p>
        </w:tc>
        <w:tc>
          <w:tcPr>
            <w:tcW w:w="1800" w:type="dxa"/>
            <w:vAlign w:val="bottom"/>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1"/>
              </w:rPr>
              <w:t>Item 13.</w:t>
            </w:r>
          </w:p>
        </w:tc>
        <w:tc>
          <w:tcPr>
            <w:tcW w:w="500" w:type="dxa"/>
            <w:vAlign w:val="bottom"/>
            <w:gridSpan w:val="3"/>
          </w:tcPr>
          <w:p>
            <w:pPr>
              <w:spacing w:after="0"/>
              <w:rPr>
                <w:sz w:val="17"/>
                <w:szCs w:val="17"/>
                <w:color w:val="auto"/>
              </w:rPr>
            </w:pPr>
          </w:p>
        </w:tc>
        <w:tc>
          <w:tcPr>
            <w:tcW w:w="76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81</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40" w:type="dxa"/>
            <w:vAlign w:val="bottom"/>
            <w:tcBorders>
              <w:left w:val="single" w:sz="8" w:color="0000FF"/>
            </w:tcBorders>
            <w:gridSpan w:val="4"/>
            <w:shd w:val="clear" w:color="auto" w:fill="0000FF"/>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1"/>
              </w:rPr>
              <w:t>Item 14.</w:t>
            </w:r>
          </w:p>
        </w:tc>
        <w:tc>
          <w:tcPr>
            <w:tcW w:w="500" w:type="dxa"/>
            <w:vAlign w:val="bottom"/>
            <w:gridSpan w:val="3"/>
          </w:tcPr>
          <w:p>
            <w:pPr>
              <w:spacing w:after="0"/>
              <w:rPr>
                <w:sz w:val="17"/>
                <w:szCs w:val="17"/>
                <w:color w:val="auto"/>
              </w:rPr>
            </w:pPr>
          </w:p>
        </w:tc>
        <w:tc>
          <w:tcPr>
            <w:tcW w:w="76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Principal Accountant Fees and Services</w:t>
            </w: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81</w:t>
            </w:r>
          </w:p>
        </w:tc>
        <w:tc>
          <w:tcPr>
            <w:tcW w:w="800" w:type="dxa"/>
            <w:vAlign w:val="bottom"/>
          </w:tcPr>
          <w:p>
            <w:pPr>
              <w:spacing w:after="0"/>
              <w:rPr>
                <w:sz w:val="17"/>
                <w:szCs w:val="17"/>
                <w:color w:val="auto"/>
              </w:rPr>
            </w:pPr>
          </w:p>
        </w:tc>
      </w:tr>
      <w:tr>
        <w:trPr>
          <w:trHeight w:val="234"/>
        </w:trPr>
        <w:tc>
          <w:tcPr>
            <w:tcW w:w="1020" w:type="dxa"/>
            <w:vAlign w:val="bottom"/>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780" w:type="dxa"/>
            <w:vAlign w:val="bottom"/>
            <w:tcBorders>
              <w:top w:val="single" w:sz="8" w:color="0000FF"/>
            </w:tcBorders>
          </w:tcPr>
          <w:p>
            <w:pPr>
              <w:spacing w:after="0"/>
              <w:rPr>
                <w:sz w:val="20"/>
                <w:szCs w:val="20"/>
                <w:color w:val="auto"/>
              </w:rPr>
            </w:pPr>
          </w:p>
        </w:tc>
        <w:tc>
          <w:tcPr>
            <w:tcW w:w="400" w:type="dxa"/>
            <w:vAlign w:val="bottom"/>
          </w:tcPr>
          <w:p>
            <w:pPr>
              <w:spacing w:after="0"/>
              <w:rPr>
                <w:sz w:val="20"/>
                <w:szCs w:val="20"/>
                <w:color w:val="auto"/>
              </w:rPr>
            </w:pPr>
          </w:p>
        </w:tc>
        <w:tc>
          <w:tcPr>
            <w:tcW w:w="4560" w:type="dxa"/>
            <w:vAlign w:val="bottom"/>
            <w:gridSpan w:val="7"/>
          </w:tcPr>
          <w:p>
            <w:pPr>
              <w:jc w:val="center"/>
              <w:ind w:right="2780"/>
              <w:spacing w:after="0"/>
              <w:rPr>
                <w:sz w:val="20"/>
                <w:szCs w:val="20"/>
                <w:color w:val="auto"/>
              </w:rPr>
            </w:pPr>
            <w:r>
              <w:rPr>
                <w:rFonts w:ascii="Times New Roman" w:cs="Times New Roman" w:eastAsia="Times New Roman" w:hAnsi="Times New Roman"/>
                <w:sz w:val="17"/>
                <w:szCs w:val="17"/>
                <w:b w:val="1"/>
                <w:bCs w:val="1"/>
                <w:color w:val="auto"/>
                <w:w w:val="97"/>
              </w:rPr>
              <w:t>Part IV.</w:t>
            </w:r>
          </w:p>
        </w:tc>
        <w:tc>
          <w:tcPr>
            <w:tcW w:w="600" w:type="dxa"/>
            <w:vAlign w:val="bottom"/>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0" w:type="dxa"/>
            <w:vAlign w:val="bottom"/>
          </w:tcPr>
          <w:p>
            <w:pPr>
              <w:spacing w:after="0"/>
              <w:rPr>
                <w:sz w:val="20"/>
                <w:szCs w:val="20"/>
                <w:color w:val="auto"/>
              </w:rPr>
            </w:pPr>
          </w:p>
        </w:tc>
      </w:tr>
      <w:tr>
        <w:trPr>
          <w:trHeight w:val="184"/>
        </w:trPr>
        <w:tc>
          <w:tcPr>
            <w:tcW w:w="1020" w:type="dxa"/>
            <w:vAlign w:val="bottom"/>
          </w:tcPr>
          <w:p>
            <w:pPr>
              <w:spacing w:after="0"/>
              <w:rPr>
                <w:sz w:val="16"/>
                <w:szCs w:val="16"/>
                <w:color w:val="auto"/>
              </w:rPr>
            </w:pPr>
          </w:p>
        </w:tc>
        <w:tc>
          <w:tcPr>
            <w:tcW w:w="560" w:type="dxa"/>
            <w:vAlign w:val="bottom"/>
            <w:gridSpan w:val="2"/>
          </w:tcPr>
          <w:p>
            <w:pPr>
              <w:spacing w:after="0" w:line="184" w:lineRule="exact"/>
              <w:rPr>
                <w:sz w:val="20"/>
                <w:szCs w:val="20"/>
                <w:color w:val="auto"/>
              </w:rPr>
            </w:pPr>
            <w:r>
              <w:rPr>
                <w:rFonts w:ascii="Times New Roman" w:cs="Times New Roman" w:eastAsia="Times New Roman" w:hAnsi="Times New Roman"/>
                <w:sz w:val="17"/>
                <w:szCs w:val="17"/>
                <w:color w:val="0000FF"/>
                <w:w w:val="91"/>
              </w:rPr>
              <w:t>Item 15.</w:t>
            </w:r>
          </w:p>
        </w:tc>
        <w:tc>
          <w:tcPr>
            <w:tcW w:w="500" w:type="dxa"/>
            <w:vAlign w:val="bottom"/>
            <w:gridSpan w:val="3"/>
          </w:tcPr>
          <w:p>
            <w:pPr>
              <w:spacing w:after="0"/>
              <w:rPr>
                <w:sz w:val="16"/>
                <w:szCs w:val="16"/>
                <w:color w:val="auto"/>
              </w:rPr>
            </w:pPr>
          </w:p>
        </w:tc>
        <w:tc>
          <w:tcPr>
            <w:tcW w:w="7680" w:type="dxa"/>
            <w:vAlign w:val="bottom"/>
            <w:gridSpan w:val="18"/>
          </w:tcPr>
          <w:p>
            <w:pPr>
              <w:spacing w:after="0" w:line="184" w:lineRule="exact"/>
              <w:rPr>
                <w:sz w:val="20"/>
                <w:szCs w:val="20"/>
                <w:color w:val="auto"/>
              </w:rPr>
            </w:pPr>
            <w:r>
              <w:rPr>
                <w:rFonts w:ascii="Times New Roman" w:cs="Times New Roman" w:eastAsia="Times New Roman" w:hAnsi="Times New Roman"/>
                <w:sz w:val="17"/>
                <w:szCs w:val="17"/>
                <w:color w:val="0000FF"/>
              </w:rPr>
              <w:t>Exhibits, Financial Statements and Schedules</w:t>
            </w:r>
          </w:p>
        </w:tc>
        <w:tc>
          <w:tcPr>
            <w:tcW w:w="680" w:type="dxa"/>
            <w:vAlign w:val="bottom"/>
            <w:gridSpan w:val="2"/>
          </w:tcPr>
          <w:p>
            <w:pPr>
              <w:jc w:val="center"/>
              <w:ind w:left="434"/>
              <w:spacing w:after="0" w:line="184" w:lineRule="exact"/>
              <w:rPr>
                <w:sz w:val="20"/>
                <w:szCs w:val="20"/>
                <w:color w:val="auto"/>
              </w:rPr>
            </w:pPr>
            <w:r>
              <w:rPr>
                <w:rFonts w:ascii="Times New Roman" w:cs="Times New Roman" w:eastAsia="Times New Roman" w:hAnsi="Times New Roman"/>
                <w:sz w:val="17"/>
                <w:szCs w:val="17"/>
                <w:color w:val="0000FF"/>
                <w:w w:val="93"/>
              </w:rPr>
              <w:t>82</w:t>
            </w:r>
          </w:p>
        </w:tc>
        <w:tc>
          <w:tcPr>
            <w:tcW w:w="800" w:type="dxa"/>
            <w:vAlign w:val="bottom"/>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gridSpan w:val="6"/>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4560" w:type="dxa"/>
            <w:vAlign w:val="bottom"/>
            <w:gridSpan w:val="7"/>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199"/>
        </w:trPr>
        <w:tc>
          <w:tcPr>
            <w:tcW w:w="1020" w:type="dxa"/>
            <w:vAlign w:val="bottom"/>
          </w:tcPr>
          <w:p>
            <w:pPr>
              <w:spacing w:after="0"/>
              <w:rPr>
                <w:sz w:val="17"/>
                <w:szCs w:val="17"/>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1"/>
              </w:rPr>
              <w:t>Item 16.</w:t>
            </w:r>
          </w:p>
        </w:tc>
        <w:tc>
          <w:tcPr>
            <w:tcW w:w="500" w:type="dxa"/>
            <w:vAlign w:val="bottom"/>
            <w:gridSpan w:val="3"/>
          </w:tcPr>
          <w:p>
            <w:pPr>
              <w:spacing w:after="0"/>
              <w:rPr>
                <w:sz w:val="17"/>
                <w:szCs w:val="17"/>
                <w:color w:val="auto"/>
              </w:rPr>
            </w:pPr>
          </w:p>
        </w:tc>
        <w:tc>
          <w:tcPr>
            <w:tcW w:w="768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Form 10-K Summary</w:t>
            </w: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84</w:t>
            </w:r>
          </w:p>
        </w:tc>
        <w:tc>
          <w:tcPr>
            <w:tcW w:w="80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0" w:type="dxa"/>
            <w:vAlign w:val="bottom"/>
            <w:tcBorders>
              <w:left w:val="single" w:sz="8" w:color="0000FF"/>
            </w:tcBorders>
          </w:tcPr>
          <w:p>
            <w:pPr>
              <w:spacing w:after="0" w:line="20" w:lineRule="exact"/>
              <w:rPr>
                <w:sz w:val="1"/>
                <w:szCs w:val="1"/>
                <w:color w:val="auto"/>
              </w:rPr>
            </w:pPr>
          </w:p>
        </w:tc>
      </w:tr>
      <w:tr>
        <w:trPr>
          <w:trHeight w:val="496"/>
        </w:trPr>
        <w:tc>
          <w:tcPr>
            <w:tcW w:w="1020" w:type="dxa"/>
            <w:vAlign w:val="bottom"/>
          </w:tcPr>
          <w:p>
            <w:pPr>
              <w:spacing w:after="0"/>
              <w:rPr>
                <w:sz w:val="24"/>
                <w:szCs w:val="24"/>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Signatures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gridSpan w:val="2"/>
          </w:tcPr>
          <w:p>
            <w:pPr>
              <w:jc w:val="center"/>
              <w:ind w:left="434"/>
              <w:spacing w:after="0"/>
              <w:rPr>
                <w:sz w:val="20"/>
                <w:szCs w:val="20"/>
                <w:color w:val="auto"/>
              </w:rPr>
            </w:pPr>
            <w:r>
              <w:rPr>
                <w:rFonts w:ascii="Times New Roman" w:cs="Times New Roman" w:eastAsia="Times New Roman" w:hAnsi="Times New Roman"/>
                <w:sz w:val="17"/>
                <w:szCs w:val="17"/>
                <w:color w:val="0000FF"/>
                <w:w w:val="93"/>
              </w:rPr>
              <w:t>85</w:t>
            </w:r>
          </w:p>
        </w:tc>
        <w:tc>
          <w:tcPr>
            <w:tcW w:w="800" w:type="dxa"/>
            <w:vAlign w:val="bottom"/>
          </w:tcPr>
          <w:p>
            <w:pPr>
              <w:spacing w:after="0"/>
              <w:rPr>
                <w:sz w:val="24"/>
                <w:szCs w:val="24"/>
                <w:color w:val="auto"/>
              </w:rPr>
            </w:pPr>
          </w:p>
        </w:tc>
      </w:tr>
      <w:tr>
        <w:trPr>
          <w:trHeight w:val="1533"/>
        </w:trPr>
        <w:tc>
          <w:tcPr>
            <w:tcW w:w="1020" w:type="dxa"/>
            <w:vAlign w:val="bottom"/>
            <w:tcBorders>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4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 xml:space="preserve">Our reports, filings and other public announcements, including this Annual Report on Form 10-K may from time to time contain statements that do not directly or exclusively relate to historical facts. Such statements are “forward-looking statements” within the meaning of the Private Securities Litigation Reform Act of 1995, and typically include, but are not limited to, our expected future financial position, results of operations, cash flows, financing plans, business strategy, budgets, capital expenditures, competitive positions, growth opportunities and plans and objectives of management. Forward-looking statements can often be identified by words such as “anticipate,” “expect,” “intend,” “plan,” “predict,” “believe,” “seek,” “estimate,” “may,” “will,” “should,” “would,” “could,” “potential,” “continue,” “ongoing,” similar expressions, and variations or negatives of these words. These statements are subject to the safe harbors created under the Securities Act of 1933, as amended (the “Securities Act”), and the Securities Exchange Act of 1934, as amended (the “Exchange Act”). These statements are not guarantees of future performance and are subject to risks, uncertainties and assumptions that are difficult to predict. Therefore, our actual results could differ materially and adversely from those expressed in any forward-looking statements as a result of various factors, some of which are listed in Part I, Item 1A., </w:t>
      </w:r>
      <w:r>
        <w:rPr>
          <w:rFonts w:ascii="Times New Roman" w:cs="Times New Roman" w:eastAsia="Times New Roman" w:hAnsi="Times New Roman"/>
          <w:sz w:val="17"/>
          <w:szCs w:val="17"/>
          <w:i w:val="1"/>
          <w:iCs w:val="1"/>
          <w:color w:val="auto"/>
        </w:rPr>
        <w:t>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w:t>
      </w:r>
      <w:r>
        <w:rPr>
          <w:rFonts w:ascii="Times New Roman" w:cs="Times New Roman" w:eastAsia="Times New Roman" w:hAnsi="Times New Roman"/>
          <w:sz w:val="17"/>
          <w:szCs w:val="17"/>
          <w:color w:val="auto"/>
        </w:rPr>
        <w:t>, of this Annual Report on Form 10-K for the year ended December 31, 2025. Accordingly, you should not rely upon forward-looking statements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predictions of future events. These forward-looking statements speak only as of the date of this Annual Report, and are based on our current expectations, estimates and projections about our industry and business, management's beliefs, and certain assumptions made by us, all of which are subject to change. We undertake no obligation to revise or update publicly any forward-looking statement for any reason, except as otherwise required by law.</w:t>
      </w:r>
    </w:p>
    <w:p>
      <w:pPr>
        <w:spacing w:after="0" w:line="20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As used in this Annual Report on Form 10-K, the words, “Pennant,” “Company,” “we,” “our” and “us” refer to The Pennant Group, Inc. and its consolidated subsidiaries. All of our independent operating subsidiaries, and the Service Center (defined below) are operated by separate, wholly owned, independent subsidiaries that have their own management, employees and assets. References herein to the consolidated “Company” and “its” assets and activities, as well as the use of the terms “we,” “us,” “our” and similar terms in this Annual Report are not meant to imply, nor should they be construed as meaning, that The Pennant Group, Inc. has direct operating assets, employees or revenue, or that any of the subsidiaries are operated by The Pennant Group, Inc.</w:t>
      </w:r>
    </w:p>
    <w:p>
      <w:pPr>
        <w:spacing w:after="0" w:line="17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Pennant Group, Inc. is a holding company with no direct operating assets, employees or revenues. In addition, certain of our wholly owned independent subsidiaries, collectively referred to as the “Service Center,” provide centralized accounting, payroll, human resources, information technology, legal, risk management, compliance oversight and other services to the other independent operating subsidiaries through contractual relationships with such subsidiaries.</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address of our headquarters is 1675 East Riverside Drive, Suite 150, Eagle, ID 83616, and our telephone number is (208) 401-1400. Our corporate website is located at www.pennantgroup.com. The information contained in, or that can be accessed through, our website does not constitute a part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3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r>
      <w:r>
        <w:rPr>
          <w:sz w:val="20"/>
          <w:szCs w:val="20"/>
          <w:color w:val="auto"/>
        </w:rPr>
        <w:tab/>
      </w:r>
      <w:r>
        <w:rPr>
          <w:rFonts w:ascii="Times New Roman" w:cs="Times New Roman" w:eastAsia="Times New Roman" w:hAnsi="Times New Roman"/>
          <w:sz w:val="16"/>
          <w:szCs w:val="16"/>
          <w:b w:val="1"/>
          <w:bCs w:val="1"/>
          <w:i w:val="1"/>
          <w:iCs w:val="1"/>
          <w:color w:val="auto"/>
        </w:rPr>
        <w:t>Business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7" w:lineRule="exact"/>
        <w:rPr>
          <w:sz w:val="20"/>
          <w:szCs w:val="20"/>
          <w:color w:val="auto"/>
        </w:rPr>
      </w:pPr>
    </w:p>
    <w:p>
      <w:pPr>
        <w:jc w:val="both"/>
        <w:ind w:firstLine="619"/>
        <w:spacing w:after="0" w:line="280" w:lineRule="auto"/>
        <w:rPr>
          <w:sz w:val="20"/>
          <w:szCs w:val="20"/>
          <w:color w:val="auto"/>
        </w:rPr>
      </w:pPr>
      <w:r>
        <w:rPr>
          <w:rFonts w:ascii="Times New Roman" w:cs="Times New Roman" w:eastAsia="Times New Roman" w:hAnsi="Times New Roman"/>
          <w:sz w:val="17"/>
          <w:szCs w:val="17"/>
          <w:color w:val="auto"/>
        </w:rPr>
        <w:t>The Pennant Group, Inc. is a leading provider of high-quality healthcare services to patients, residents, and clients of all ages, including the growing senior population, in the United States. We strive to be the provider of choice in the communities we serve through our innovative operating model and unique core values.</w:t>
      </w:r>
    </w:p>
    <w:p>
      <w:pPr>
        <w:spacing w:after="0" w:line="39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As of December 31, 2025, we operate in multiple lines of business, including home health, hospice, and senior living services across Alabama, Arizona, California, Colorado, Georgia, Idaho, Montana, Nevada, Oklahoma, Oregon, Tennessee, Texas, Utah, Washington, Wisconsin and Wyoming. We also provide home health and hospice operational support through a management service agreement in Connecticut. We provide home health and hospice services through 172 agencies, and senior living services at 63 communities with 4,428 total units in our assisted living, independent living and memory care business. We derive revenue from a diversified blend of payors including Medicare and Medicaid programs, private pay patients and residents, and managed care payors.</w:t>
      </w:r>
    </w:p>
    <w:p>
      <w:pPr>
        <w:spacing w:after="0" w:line="200"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We believe our key differentiators are our (1) ability to recruit, train, and develop talented local leaders at each of our operations; (2) innovative operating model that empowers those leaders to make decisions that meet the needs of patients and residents, employees, referral sources and the communities they serve with the support of our service center; (3) disciplined growth strategy; and (4) ability to achieve quality care outcomes in cost effective settings. In our experience, healthcare is a local endeavor, largely dependent upon personal and professional relationships, community reputation and an ability to adapt to the changing needs of patients, residents, partners and communities. As our operational leaders build strong relationships with key partners in their local communities, they are empowered to make informed and critical operational decisions that produce quality care outcomes and more effectively meet the needs of our patients and residents.</w:t>
      </w:r>
    </w:p>
    <w:p>
      <w:pPr>
        <w:spacing w:after="0" w:line="200" w:lineRule="exact"/>
        <w:rPr>
          <w:sz w:val="20"/>
          <w:szCs w:val="20"/>
          <w:color w:val="auto"/>
        </w:rPr>
      </w:pPr>
    </w:p>
    <w:p>
      <w:pPr>
        <w:spacing w:after="0" w:line="21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believe our home health and hospice businesses achieve quality outcomes—as measured by multiple industry and value-based metrics (such as hospital readmission rates)—in cost-effective settings. We believe our senior living business is able to offer our residents a safe and tailored quality of life at an affordable cost, thus appealing to a broad population. With our platform of diversified service offerings, we believe that we are well-positioned to take advantage of favorable demographic shifts as well as industry trends that reward providers offering quality care in lower cost settings.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Our Innovative Operating Model</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Our innovative operating model is the foundation of our superior performance and success. Our operating model is founded on two core principles: (1) healthcare is a local business where providers are most successful when key operational decision-making meets local community needs and occurs close to patients or residents and employees, and (2) peer accountability from operational and resource partners is more effective at driving excellent clinical and financial results than traditional hierarchical or “top-down” accountability structures.</w:t>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 xml:space="preserve">Our model is innovative because each operation functions under the direction of local clinical and operational leaders, each of whom is empowered to make decisions based on the unique needs of the patients or residents, partners and communities they serve. This is in contrast to typical models where control and key decision-making is centralized at the corporate level. Moreover, we utilize a “cluster model,” where every operation is part of a defined “cluster,” which is a group of geographically proximate operations working together to allow leaders to communicate and provide support and accountability to each other. Clusters create incentives for leaders to share best practices and real-time data and benchmark clinical and financial performance with their cluster partners. We believe this locally driven data-sharing and peer accountability model is unique among healthcare and senior living providers and has proven effective in improving clinical care, enhancing patient and resident satisfaction and promoting operational efficiencies. This “cluster” operating model is the same model used by local leaders prior to our spin-off from The Ensign Group, Inc. in 2019 (further discussed below under </w:t>
      </w:r>
      <w:r>
        <w:rPr>
          <w:rFonts w:ascii="Times New Roman" w:cs="Times New Roman" w:eastAsia="Times New Roman" w:hAnsi="Times New Roman"/>
          <w:sz w:val="17"/>
          <w:szCs w:val="17"/>
          <w:i w:val="1"/>
          <w:iCs w:val="1"/>
          <w:color w:val="auto"/>
        </w:rPr>
        <w:t>Company History</w:t>
      </w:r>
      <w:r>
        <w:rPr>
          <w:rFonts w:ascii="Times New Roman" w:cs="Times New Roman" w:eastAsia="Times New Roman" w:hAnsi="Times New Roman"/>
          <w:sz w:val="17"/>
          <w:szCs w:val="17"/>
          <w:color w:val="auto"/>
        </w:rPr>
        <w:t>) and is key to the success of our future operations.</w:t>
      </w:r>
    </w:p>
    <w:p>
      <w:pPr>
        <w:spacing w:after="0" w:line="20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organizational structure empowers our highly dedicated leaders and staff at the local level to make key decisions and creates a sense of ownership over operational and clinical results and the overall employee experience. Each operation’s leader and their staff are encouraged to make their operations the “provider of choice” in the communities they serve. To accomplish this goal, our leaders work closely with their clinical staff and our expert resources to identify unique patient and resident needs and priorities in their communities and to create superior service offerings tailored to those needs and priorities. We believe that our localized approach to program development and care leads prospective patients or residents and referral sources to choose or recommend our operations.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Similarly, our emphasis on empowering local decision-makers encourages leaders to strive to become the “employer of choice” in the communities they serve. One of our core values is the principle that the best patient care is provided by employees who experience significant work satisfaction because they are valued as individuals. Our leaders work hard to embody this core value to attract, train, and retain outstanding clinical staff by creating a work environment that fosters critical thinking, measurement, and relevance. Our local teams are motivated and empowered to quickly and proactively meet the needs of those they serve, without waiting for permission to act or being bound to a “one-size-fits-all” corporate strategy. In many markets, we attribute census growth and excellent clinical</w:t>
      </w:r>
    </w:p>
    <w:p>
      <w:pPr>
        <w:spacing w:after="0" w:line="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and financial outcomes to a healthy organizational culture built on these principles. With strong employee satisfaction across the organization, we believe we can continue to attract and retain the best talent in our industries.</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Lastly, while our teams are local, they are also supported by cutting-edge systems and our “Service Center”, which is staffed with teams of subject-matter experts who advise regarding their respective fields of expertise, including information technology, compliance oversight, human resources, accounting, payroll, legal, risk management, and other services. The partnership and peer accountability that exists between our local leaders and Service Center resources allows each operation to improve while benefiting from the technical expertise, systems and accountability provided by our Service Center.</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Partner of Choice in Local Healthcare Communities</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view healthcare services primarily as a local business, driven by personal relationships, reputation and the ability to identify and address unmet community needs. We believe our success is largely driven by our ability to build strong relationships with key stakeholders within the local healthcare communities, leveraging our reputation for providing superior care.</w:t>
      </w:r>
    </w:p>
    <w:p>
      <w:pPr>
        <w:spacing w:after="0" w:line="19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believe we are a partner of choice to payors, providers, patients, residents and employees in the healthcare communities we serve. As a partner, we focus on improving care outcomes and the quality of life of our patients and residents in their home. Our local leadership approach facilitates the development of strong professional relationships within communities, which allows us to better understand and meet the needs of our partners. We believe our emphasis on working closely with other providers, payors, residents and patients yields unique, customized solutions and programs that meet local market needs and improve clinical outcomes, which in turn accelerates revenue growth and profitability.</w:t>
      </w:r>
    </w:p>
    <w:p>
      <w:pPr>
        <w:spacing w:after="0" w:line="20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are a trusted partner to, and work closely with, payors and acute and post-acute providers to deliver innovative healthcare solutions in lower cost settings. In the markets we serve, we have initiated joint venture partnerships, developed formal and informal preferred provider relationships with key referral sources, and implemented transitional care programs that result in better coordination within the care continuum. These solutions have produced significant benefits to patients, residents, payors, and other providers, including reduced hospital readmission rates, appropriate transitions within the care continuum, overall cost savings, increased patient satisfaction and improved quality outcomes. In addition, positive, repeated interactions and data sharing result in strong local relationships and encourage referrals from our acute and post-acute care partners. As we continue to strengthen these formal and informal relationships and expand our referral base, we believe we will continue to drive revenue growth and operational results.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Company History</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Pennant Group, Inc. was incorporated as a Delaware corporation on January 24, 2019, for the purpose of holding the home health and hospice agencies and substantially all of the senior living businesses of The Ensign Group, Inc. (“Ensign”), which was formed in 1999 with the goal of establishing a new level of quality care within the skilled nursing industry. On October 1, 2019, Ensign completed the separation of Pennant (the “Spin-Off”). We believe that, through our innovative operating model, we can foster a new level of patient care and professional competence at our independent operating subsidiaries and set new industry standards for quality home health and hospice and senior living services.</w:t>
      </w:r>
    </w:p>
    <w:p>
      <w:pPr>
        <w:spacing w:after="0" w:line="20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independent operating subsidiaries are organized into industry-specific portfolio companies, which we believe has enabled us to maintain a local, field-driven organizational structure, to attract qualified leaders and expert resources, and to effectively identify, acquire, and improve operations. Each of our portfolio companies has its own leader. These experienced and proven leaders are generally taken from the ranks of our operational leaders to serve as resources to independent operating subsidiaries within their own portfolio companies and have the primary responsibility for recruiting qualified talent, finding potential acquisition targets, and identifying other strategic and organic growth opportunities. We believe this decentralized organizational structure will continue to improve the quality of our recruiting and facilitate successful acquisitions.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We have two reportable segments: (1) home health and hospice services, which includes our home health, hospice, home care, and geriatric primary and palliative care businesses; and (2) senior living services, which includes our assisted living, independent living and memory care services. Our reporting segments are business units that offer different services and are managed separately to provide greater visibility into those operations. For more information about our operating segments, as well as financial information, see “</w:t>
      </w:r>
      <w:r>
        <w:rPr>
          <w:rFonts w:ascii="Times New Roman" w:cs="Times New Roman" w:eastAsia="Times New Roman" w:hAnsi="Times New Roman"/>
          <w:sz w:val="17"/>
          <w:szCs w:val="17"/>
          <w:i w:val="1"/>
          <w:iCs w:val="1"/>
          <w:color w:val="auto"/>
        </w:rPr>
        <w:t>Management’s Discussion and Analysis of Financial Condition and Results of Operations</w:t>
      </w:r>
      <w:r>
        <w:rPr>
          <w:rFonts w:ascii="Times New Roman" w:cs="Times New Roman" w:eastAsia="Times New Roman" w:hAnsi="Times New Roman"/>
          <w:sz w:val="17"/>
          <w:szCs w:val="17"/>
          <w:color w:val="auto"/>
        </w:rPr>
        <w:t xml:space="preserve">” and Note 6, </w:t>
      </w:r>
      <w:r>
        <w:rPr>
          <w:rFonts w:ascii="Times New Roman" w:cs="Times New Roman" w:eastAsia="Times New Roman" w:hAnsi="Times New Roman"/>
          <w:sz w:val="17"/>
          <w:szCs w:val="17"/>
          <w:i w:val="1"/>
          <w:iCs w:val="1"/>
          <w:color w:val="auto"/>
        </w:rPr>
        <w:t>Business Segments</w:t>
      </w:r>
      <w:r>
        <w:rPr>
          <w:rFonts w:ascii="Times New Roman" w:cs="Times New Roman" w:eastAsia="Times New Roman" w:hAnsi="Times New Roman"/>
          <w:sz w:val="17"/>
          <w:szCs w:val="17"/>
          <w:color w:val="auto"/>
        </w:rPr>
        <w:t>, to the Consolidated Financial Statements.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Services</w:t>
      </w:r>
    </w:p>
    <w:p>
      <w:pPr>
        <w:spacing w:after="0" w:line="24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Home Health and Hospice. </w:t>
      </w:r>
      <w:r>
        <w:rPr>
          <w:rFonts w:ascii="Times New Roman" w:cs="Times New Roman" w:eastAsia="Times New Roman" w:hAnsi="Times New Roman"/>
          <w:sz w:val="17"/>
          <w:szCs w:val="17"/>
          <w:color w:val="auto"/>
        </w:rPr>
        <w:t>As of December 31, 2025, we provided home health and hospice services through 172 agencies. We also provide home health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hospice operational support through a management service agreement in Connecticut. Our home health services consist of providing a combination of clinical services including nursing, speech, occupational and physical therapy, medical social work and home health aide services within a patient's home. Home health is often a cost-effective solution for patients and can also increase their quality of life by allowing them to receive excellent clinical services in the comfort and convenience of each patient’s home. Our hospice services focus on the physical, spiritual and psychosocial needs of terminally ill patients and their families and consist primarily of clinical care, education and counseling. Our home care services include the provision of case management services, personal care services, and assistance with the activities of daily living. Our geriatric primary and palliative care services include physician and nurse practitioner services provided in the home, facility, or other appropriate settings. We generated approximately 62.5%, 64.7% and 66.9% of our home health and hospice segment revenue from Medicare during the years ended December 31, 2025, 2024, and 2023, respectively.</w:t>
      </w:r>
    </w:p>
    <w:p>
      <w:pPr>
        <w:spacing w:after="0" w:line="197"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Senior Living. </w:t>
      </w:r>
      <w:r>
        <w:rPr>
          <w:rFonts w:ascii="Times New Roman" w:cs="Times New Roman" w:eastAsia="Times New Roman" w:hAnsi="Times New Roman"/>
          <w:sz w:val="17"/>
          <w:szCs w:val="17"/>
          <w:color w:val="auto"/>
        </w:rPr>
        <w:t>As of December 31, 2025, we provided assisted living, independent living and memory care services in 63 communities with 4,428 total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available units. Our senior living operations provide a variety of services tailored to our residents’ needs, including residential accommodations, activities, meals, housekeeping and assistance in the activities of daily living to seniors who are independent or who require some support, but not at the level of clinical care provided in a skilled nursing facility. We generate revenue in these communities primarily from private pay sources, with a portion earned from Medicaid or other state-specific programs.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Growth Strategy</w:t>
      </w:r>
    </w:p>
    <w:p>
      <w:pPr>
        <w:spacing w:after="0" w:line="2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We believe that the following strategies are primarily responsible for our growth to date and will continue to drive the growth of our business:</w:t>
      </w:r>
    </w:p>
    <w:p>
      <w:pPr>
        <w:spacing w:after="0" w:line="237"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Grow Talent Base and Develop Future Leaders. </w:t>
      </w:r>
      <w:r>
        <w:rPr>
          <w:rFonts w:ascii="Times New Roman" w:cs="Times New Roman" w:eastAsia="Times New Roman" w:hAnsi="Times New Roman"/>
          <w:sz w:val="17"/>
          <w:szCs w:val="17"/>
          <w:color w:val="auto"/>
        </w:rPr>
        <w:t>We view ourselves as a leadership company. Our growth strategy is focused on expanding our talent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base and recruiting and developing future leaders. A key component of our organizational culture is our belief that strong local leadership is a primary ingredient to operational success. We use a multi-faceted strategy to identify and recruit proven business leaders from various industries and backgrounds. To develop these leaders, we have a rigorous “CEO-in-Training Program” that includes significant in-person instruction on leadership, clinical and operational topics, as well as extensive on-the-ground training and active learning with key leaders from across the organization. After placement in a local operation, our leaders continue to receive training and regular feedback and support from operational, clinical and Service Center peers. We also have similar programs for our new and emerging clinical leaders. We believe our model of empowering local leaders and providing them with a platform of support, including expert resources and industry-leading systems, will continue to attract and retain highly talented and entrepreneurial leaders.</w:t>
      </w:r>
    </w:p>
    <w:p>
      <w:pPr>
        <w:spacing w:after="0" w:line="19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Focus on Organic Growth. </w:t>
      </w:r>
      <w:r>
        <w:rPr>
          <w:rFonts w:ascii="Times New Roman" w:cs="Times New Roman" w:eastAsia="Times New Roman" w:hAnsi="Times New Roman"/>
          <w:sz w:val="17"/>
          <w:szCs w:val="17"/>
          <w:color w:val="auto"/>
        </w:rPr>
        <w:t>We believe that we have a significant opportunity to drive organic growth within our current portfolio, including recently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acquired operations. As we improve clinical outcomes, quality of care and operational results at each of our existing and newly acquired operations, we believe we will become a provider of choice in the communities we serve, which leads to census growth. Through this census growth, and as we continue to expand our service areas and offerings, we believe we will continue to translate revenue growth into bottom line success with rigorous adherence to our core operating principles. By effectively using data systems and analytics and embracing a culture of transparency and accountability, we expect to see our local leaders steadily improving operational results. We believe our unique operating model will continue to cultivate steady and consistent organic growth in the future.</w:t>
      </w:r>
    </w:p>
    <w:p>
      <w:pPr>
        <w:spacing w:after="0" w:line="194"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Pursue Disciplined Acquisition Strategy</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disciplined acquisition and integration of strategic and underperforming operations is a key element of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past success and is integral to our future growth plans. Historically, we have successfully transitioned both turnaround and stable target businesses, transforming them into top-quality operations preferred by referral sources and community partners. We plan to continue to take advantage of the fragmented home health, hospice and senior living industries by being proactive yet disciplined in acquiring strategic and underperforming operations with high upside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potential within both existing and new geographic markets. With experienced leaders in place at the local level and demonstrated success in improving operating conditions at acquired businesses, we believe we are well positioned to continue expanding our footprint through strategic and opportunistic acquisitions.</w:t>
      </w:r>
    </w:p>
    <w:p>
      <w:pPr>
        <w:spacing w:after="0" w:line="17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Leverage Our Operational Capabilities to Expand Partnerships. </w:t>
      </w:r>
      <w:r>
        <w:rPr>
          <w:rFonts w:ascii="Times New Roman" w:cs="Times New Roman" w:eastAsia="Times New Roman" w:hAnsi="Times New Roman"/>
          <w:sz w:val="17"/>
          <w:szCs w:val="17"/>
          <w:color w:val="auto"/>
        </w:rPr>
        <w:t>Our local leadership approach enables us to adapt to and efficiently meet the needs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partners in the communities we serve. Our clinical and data analytics capabilities foster solutions and allow us to optimize clinical outcomes. We use this data to communicate with key partners in an effort to reduce overall cost of care and drive improved clinical outcomes. We also operate joint ventures with leading health systems, which allows us to expand our partnership in the space, and we may undertake additional joint ventures in the future. We will continue to expand formal and informal partnerships across the healthcare continuum by strategically investing in programs and data analytics that help us and our partners improve care transitions, achieve better outcomes and reduce costs.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Growth and Acquisition History</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Much of our historical growth can be attributed to our expertise in acquiring strategic and underperforming operations and transforming them into market leaders in clinical quality, staff competency and financial performance. Our local leaders are trained to identify these opportunities for long-term organic growth as we strive to become the provider of choice in our local communities. Accordingly, we plan to continue to drive organic growth and acquire additional operations in existing and new markets in a disciplined manner.</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From 2016 to 2025, we grew our home health and hospice services and senior living services revenue by 336.3% or a compounded annual growth rate of</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894080</wp:posOffset>
            </wp:positionH>
            <wp:positionV relativeFrom="paragraph">
              <wp:posOffset>153670</wp:posOffset>
            </wp:positionV>
            <wp:extent cx="5361940" cy="32746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61940"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300" w:firstLine="619"/>
        <w:spacing w:after="0" w:line="287" w:lineRule="auto"/>
        <w:rPr>
          <w:sz w:val="20"/>
          <w:szCs w:val="20"/>
          <w:color w:val="auto"/>
        </w:rPr>
      </w:pPr>
      <w:r>
        <w:rPr>
          <w:rFonts w:ascii="Times New Roman" w:cs="Times New Roman" w:eastAsia="Times New Roman" w:hAnsi="Times New Roman"/>
          <w:sz w:val="17"/>
          <w:szCs w:val="17"/>
          <w:color w:val="auto"/>
        </w:rPr>
        <w:t>From December 31, 2016 to December 31, 2025, we grew the number of our home health and hospice agencies and senior living units by 341.0% and 39.1%, respectively.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Agency and Unit Growth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788035</wp:posOffset>
            </wp:positionH>
            <wp:positionV relativeFrom="paragraph">
              <wp:posOffset>19685</wp:posOffset>
            </wp:positionV>
            <wp:extent cx="5566410" cy="2456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66410" cy="2456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120" w:type="dxa"/>
            <w:vAlign w:val="bottom"/>
            <w:tcBorders>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2016</w:t>
            </w:r>
          </w:p>
        </w:tc>
        <w:tc>
          <w:tcPr>
            <w:tcW w:w="80" w:type="dxa"/>
            <w:vAlign w:val="bottom"/>
            <w:tcBorders>
              <w:top w:val="single" w:sz="8" w:color="auto"/>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2017</w:t>
            </w:r>
          </w:p>
        </w:tc>
        <w:tc>
          <w:tcPr>
            <w:tcW w:w="100" w:type="dxa"/>
            <w:vAlign w:val="bottom"/>
            <w:tcBorders>
              <w:top w:val="single" w:sz="8" w:color="auto"/>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2018</w:t>
            </w:r>
          </w:p>
        </w:tc>
        <w:tc>
          <w:tcPr>
            <w:tcW w:w="100" w:type="dxa"/>
            <w:vAlign w:val="bottom"/>
            <w:tcBorders>
              <w:top w:val="single" w:sz="8" w:color="auto"/>
              <w:bottom w:val="single" w:sz="8" w:color="CCEEFF"/>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2019</w:t>
            </w:r>
          </w:p>
        </w:tc>
        <w:tc>
          <w:tcPr>
            <w:tcW w:w="80" w:type="dxa"/>
            <w:vAlign w:val="bottom"/>
            <w:tcBorders>
              <w:top w:val="single" w:sz="8" w:color="auto"/>
              <w:bottom w:val="single" w:sz="8" w:color="CCEEFF"/>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2020</w:t>
            </w:r>
          </w:p>
        </w:tc>
        <w:tc>
          <w:tcPr>
            <w:tcW w:w="80" w:type="dxa"/>
            <w:vAlign w:val="bottom"/>
            <w:tcBorders>
              <w:top w:val="single" w:sz="8" w:color="auto"/>
              <w:bottom w:val="single" w:sz="8" w:color="CCEEFF"/>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top w:val="single" w:sz="8" w:color="auto"/>
              <w:bottom w:val="single" w:sz="8" w:color="CCEEFF"/>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2"/>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Home health and hospice agencies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219"/>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living communities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1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living units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3,184</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3,963</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4,127</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3,588</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4,428</w:t>
            </w:r>
          </w:p>
        </w:tc>
      </w:tr>
      <w:tr>
        <w:trPr>
          <w:trHeight w:val="168"/>
        </w:trPr>
        <w:tc>
          <w:tcPr>
            <w:tcW w:w="31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b w:val="1"/>
                <w:bCs w:val="1"/>
                <w:color w:val="auto"/>
              </w:rPr>
              <w:t>Total number of home health, hospice,</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32"/>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and senior living operations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r>
    </w:tbl>
    <w:p>
      <w:pPr>
        <w:spacing w:after="0" w:line="2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aim to continue to grow our revenue and earnings by expanding our existing operations and acquiring additional operations in existing and new</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markets.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Trends</w:t>
      </w:r>
    </w:p>
    <w:p>
      <w:pPr>
        <w:spacing w:after="0" w:line="247"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The healthcare sector is one of the largest and fastest-growing sectors of the U.S. economy. According to the Centers for Medicare and Medicaid Services (“CMS”), national healthcare spending increased from 8.9% of U.S. GDP, or $253 billion, in 1980 to an estimated 18.0% of GDP, or $5.3 trillion, in 2024. CMS projects national healthcare spending will grow by an average of 5.8% annually from 2024 through 2033, accounting for approximately 20.3% of U.S. GDP in 2033.</w:t>
      </w:r>
    </w:p>
    <w:p>
      <w:pPr>
        <w:spacing w:after="0" w:line="200" w:lineRule="exact"/>
        <w:rPr>
          <w:sz w:val="20"/>
          <w:szCs w:val="20"/>
          <w:color w:val="auto"/>
        </w:rPr>
      </w:pPr>
    </w:p>
    <w:p>
      <w:pPr>
        <w:spacing w:after="0" w:line="205"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home health and hospice segment is growing within the overall healthcare landscape in the United States. According to Grandview Research, Inc., the home health market is expected to grow at a compounded annual growth rate (“CAGR”) of 8.0% from 2024 to 2030. The hospice industry is estimated at approximately $37.9 billion and is projected to grow at an estimated CAGR of 8.1% from 2024 to 2030. The senior living market is expected to expand at an estimated CAGR of 4.2% between 2024 to 2030. We believe that the industries in which we operate will continue to benefit from several macroeconomic and regulatory trends highlighted below:</w:t>
      </w:r>
    </w:p>
    <w:p>
      <w:pPr>
        <w:spacing w:after="0" w:line="194"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Increased Demand Driven by Aging Populations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seniors account for an increasing percentage of the total U.S. population, we believe demand for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home health and hospice will continue to increase and demand for senior living services will improve. According to the U.S. Census Bureau in 2023, between 2022 and 2060, the number of individuals over 65 years old is projected to be one of the fastest growing segments of the United States population, growing from 17% to 24%. The Bureau identified the year 2030 as the year all baby boomers will be more than 65 years of age. The Bureau expects the over-65 population segment to increase nearly 54% to 89 million by 2060 (from 2022) as compared to the total U.S. population which is projected to increase by 9.3% over that same time period. Furthermore, the generation currently retiring has access to fewer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post-retirement benefits and accumulated less savings than in the past, creating demand for more affordable senior housing and in-home care options. As a high-quality provider in lower cost settings, we believe we are well-positioned to benefit from this trend.</w:t>
      </w:r>
    </w:p>
    <w:p>
      <w:pPr>
        <w:spacing w:after="0" w:line="171"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Shift of Patient Care to Lower Cost Alternatives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growth of the senior population in the U.S. continues to increase healthcare costs, often at a rate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faster than the available funding from government-sponsored healthcare programs. In response, government payors have adopted measures that encourage the treatment of patients in their homes and other cost-effective settings where the staffing requirements and associated costs are often significantly lower than the alternatives. With our emphasis on the home health, hospice and senior living industries, which are among the lowest cost settings within the post-acute care continuum, we expect this shift to continue to drive our growth.</w:t>
      </w:r>
    </w:p>
    <w:p>
      <w:pPr>
        <w:spacing w:after="0" w:line="19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Transition to Value-Based Payment Models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 response to rising healthcare spending, certain markets’ commercial, government and other payors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shifting away from fee-for-service payment models toward value-based models, including risk-based payment models that tie financial incentives to quality, efficiency and coordination of care. We believe that payors will continue to emphasize reimbursement models driven by value and that our clinical outcomes combined with our services in cost effective settings will be increasingly rewarded. Many of our home health agencies already receive value-based payments, and we are well-positioned to capitalize on this trend as it unfolds across the markets we serve. Please see further discussion of value-based payment models below under </w:t>
      </w:r>
      <w:r>
        <w:rPr>
          <w:rFonts w:ascii="Times New Roman" w:cs="Times New Roman" w:eastAsia="Times New Roman" w:hAnsi="Times New Roman"/>
          <w:sz w:val="17"/>
          <w:szCs w:val="17"/>
          <w:i w:val="1"/>
          <w:iCs w:val="1"/>
          <w:color w:val="auto"/>
        </w:rPr>
        <w:t>Government Regulation</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Significant Acquisition and Consolidation Opportunities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home health, hospice and senior living industries are highly fragmented markets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thousands of small and regional providers and only a handful of large national players. There were over 12,200 Medicare-certified home health agencies operating in 2025, with the top ten largest operators accounting for approximately 25% of the market. There are over 6,000 hospice agencies in the U.S. with the top ten largest operators accounting for about 20% of the total market share. As with the home health and hospice industries, there is significant fragmentation in the senior housing industry, with the top 25 operators owning approximately 28% of the licensed beds within the U.S. We believe that our strategy of acquiring strategic and underperforming operations in these highly fragmented markets will be an instrumental to our future growth.</w:t>
      </w:r>
    </w:p>
    <w:p>
      <w:pPr>
        <w:spacing w:after="0" w:line="194"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Changing Regulatory Framework</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Regulations and reimbursement change frequently in our industries. Our model is designed to successfully navigate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these regulatory and reimbursement changes. For example, effective January 1, 2020, CMS enacted additional changes to the Medicare home health prospective payment system (“HH PPS”) with the implementation of the Patient Driven Groupings Model (“PDGM”). As discussed in greater detail below under </w:t>
      </w:r>
      <w:r>
        <w:rPr>
          <w:rFonts w:ascii="Times New Roman" w:cs="Times New Roman" w:eastAsia="Times New Roman" w:hAnsi="Times New Roman"/>
          <w:sz w:val="17"/>
          <w:szCs w:val="17"/>
          <w:i w:val="1"/>
          <w:iCs w:val="1"/>
          <w:color w:val="auto"/>
        </w:rPr>
        <w:t>Government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Regulation</w:t>
      </w:r>
      <w:r>
        <w:rPr>
          <w:rFonts w:ascii="Times New Roman" w:cs="Times New Roman" w:eastAsia="Times New Roman" w:hAnsi="Times New Roman"/>
          <w:sz w:val="17"/>
          <w:szCs w:val="17"/>
          <w:color w:val="auto"/>
        </w:rPr>
        <w:t>, and adjusted in subsequent calendar years’ payment rules, this reimbursement structure involved case mix calculation methodology refinements,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changes to low-utilization payment adjustment (“LUPA”) thresholds, the elimination of therapy thresholds, a change to the unit of payment from a 60-day episode to a 30-day period of care, and the elimination of requests for anticipated payments (“RAPs”). We believe our unique operating model has allowed us to effectively transition to PDGM as local operations and clinical leaders, supported by our expert resources, have adapted to the new reimbursement environment.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Payor Sources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derive revenue primarily from Medicare and Medicaid programs, managed care and private insurance, and private and other payors.</w:t>
      </w:r>
    </w:p>
    <w:p>
      <w:pPr>
        <w:spacing w:after="0" w:line="237"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Medicare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Medicare is a federal program that provides healthcare benefits to individuals who are 65 years of age or older or are disabled. The Medicare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home health benefit is available both for patients who need care following discharge from an inpatient facility and patients who suffer from chronic conditions that require ongoing but intermittent care. The Medicare hospice benefit is also available to Medicare-eligible patients with terminal illnesses, certified by a physician, where life expectancy is six months or less.</w:t>
      </w:r>
    </w:p>
    <w:p>
      <w:pPr>
        <w:spacing w:after="0" w:line="187" w:lineRule="exact"/>
        <w:rPr>
          <w:sz w:val="20"/>
          <w:szCs w:val="20"/>
          <w:color w:val="auto"/>
        </w:rPr>
      </w:pPr>
    </w:p>
    <w:p>
      <w:pPr>
        <w:jc w:val="both"/>
        <w:ind w:firstLine="619"/>
        <w:spacing w:after="0" w:line="251" w:lineRule="auto"/>
        <w:rPr>
          <w:sz w:val="20"/>
          <w:szCs w:val="20"/>
          <w:color w:val="auto"/>
        </w:rPr>
      </w:pPr>
      <w:r>
        <w:rPr>
          <w:rFonts w:ascii="Times New Roman" w:cs="Times New Roman" w:eastAsia="Times New Roman" w:hAnsi="Times New Roman"/>
          <w:sz w:val="17"/>
          <w:szCs w:val="17"/>
          <w:b w:val="1"/>
          <w:bCs w:val="1"/>
          <w:i w:val="1"/>
          <w:iCs w:val="1"/>
          <w:color w:val="auto"/>
        </w:rPr>
        <w:t>Medicaid</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Medicaid is a program financed by state funds and matching federal funds administered by state agencies or managed care organizations 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their behalf. Medicaid programs generally provide health benefits for qualifying individuals and may supplement Medicare benefits for the disabled and for persons aged 65 and older meeting financial eligibility requirements. Medicaid reimbursement formulas are established by each state with the approval of the federal government in accordance with federal guidelines. Recent changes in federal law, namely those within the One Big Beautiful Bill Act (“OBBBA”) of 2025, may affect the availability of federal funds for state Medicaid programs, and the funds available for those Medicaid programs to pay for services.</w:t>
      </w:r>
    </w:p>
    <w:p>
      <w:pPr>
        <w:spacing w:after="0" w:line="209"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Medicaid reimbursement varies from state to state and is based upon a number of different methodologies, including cost-based, prospective payment, case mixed adjusted payments, and negotiated rates. Rates are subject to a state’s annual</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budgetary requirements and funding, statutory and regulatory changes and interpretations and rulings by individual state agencies and State Plan Amendments approved by CMS.</w:t>
      </w:r>
    </w:p>
    <w:p>
      <w:pPr>
        <w:spacing w:after="0" w:line="184" w:lineRule="exact"/>
        <w:rPr>
          <w:sz w:val="20"/>
          <w:szCs w:val="20"/>
          <w:color w:val="auto"/>
        </w:rPr>
      </w:pPr>
    </w:p>
    <w:p>
      <w:pPr>
        <w:ind w:firstLine="61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Managed Care and Private Insurance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Managed care patients consist of individuals who are insured by certain third-party entities, or who are Medicare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beneficiaries who have assigned their Medicare benefits to a managed care organization plan.</w:t>
      </w:r>
    </w:p>
    <w:p>
      <w:pPr>
        <w:spacing w:after="0" w:line="166" w:lineRule="exact"/>
        <w:rPr>
          <w:sz w:val="20"/>
          <w:szCs w:val="20"/>
          <w:color w:val="auto"/>
        </w:rPr>
      </w:pPr>
    </w:p>
    <w:p>
      <w:pPr>
        <w:ind w:firstLine="61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Private and Other Payors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Private and other payors consist primarily of individuals, family members or other third parties who directly pay for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services we provide.</w:t>
      </w:r>
    </w:p>
    <w:p>
      <w:pPr>
        <w:spacing w:after="0" w:line="159" w:lineRule="exact"/>
        <w:rPr>
          <w:sz w:val="20"/>
          <w:szCs w:val="20"/>
          <w:color w:val="auto"/>
        </w:rPr>
      </w:pPr>
    </w:p>
    <w:p>
      <w:pPr>
        <w:ind w:firstLine="619"/>
        <w:spacing w:after="0" w:line="271" w:lineRule="auto"/>
        <w:rPr>
          <w:sz w:val="20"/>
          <w:szCs w:val="20"/>
          <w:color w:val="auto"/>
        </w:rPr>
      </w:pPr>
      <w:r>
        <w:rPr>
          <w:rFonts w:ascii="Times New Roman" w:cs="Times New Roman" w:eastAsia="Times New Roman" w:hAnsi="Times New Roman"/>
          <w:sz w:val="17"/>
          <w:szCs w:val="17"/>
          <w:color w:val="auto"/>
        </w:rPr>
        <w:t>The following table sets forth our total revenue by payor source as a percent of revenue generated by each of our reportable segments and as a percentage of total revenue for the year ended December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880" w:type="dxa"/>
            <w:vAlign w:val="bottom"/>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7"/>
                <w:szCs w:val="17"/>
                <w:b w:val="1"/>
                <w:bCs w:val="1"/>
                <w:color w:val="auto"/>
              </w:rPr>
              <w:t>Year Ended December 31, 2025</w:t>
            </w:r>
          </w:p>
        </w:tc>
        <w:tc>
          <w:tcPr>
            <w:tcW w:w="1780" w:type="dxa"/>
            <w:vAlign w:val="bottom"/>
            <w:tcBorders>
              <w:bottom w:val="single" w:sz="8" w:color="auto"/>
            </w:tcBorders>
          </w:tcPr>
          <w:p>
            <w:pPr>
              <w:spacing w:after="0"/>
              <w:rPr>
                <w:sz w:val="19"/>
                <w:szCs w:val="19"/>
                <w:color w:val="auto"/>
              </w:rPr>
            </w:pPr>
          </w:p>
        </w:tc>
      </w:tr>
      <w:tr>
        <w:trPr>
          <w:trHeight w:val="212"/>
        </w:trPr>
        <w:tc>
          <w:tcPr>
            <w:tcW w:w="3880" w:type="dxa"/>
            <w:vAlign w:val="bottom"/>
          </w:tcPr>
          <w:p>
            <w:pPr>
              <w:spacing w:after="0"/>
              <w:rPr>
                <w:sz w:val="18"/>
                <w:szCs w:val="18"/>
                <w:color w:val="auto"/>
              </w:rPr>
            </w:pPr>
          </w:p>
        </w:tc>
        <w:tc>
          <w:tcPr>
            <w:tcW w:w="3720" w:type="dxa"/>
            <w:vAlign w:val="bottom"/>
            <w:gridSpan w:val="4"/>
          </w:tcPr>
          <w:p>
            <w:pPr>
              <w:ind w:left="520"/>
              <w:spacing w:after="0"/>
              <w:rPr>
                <w:sz w:val="20"/>
                <w:szCs w:val="20"/>
                <w:color w:val="auto"/>
              </w:rPr>
            </w:pPr>
            <w:r>
              <w:rPr>
                <w:rFonts w:ascii="Times New Roman" w:cs="Times New Roman" w:eastAsia="Times New Roman" w:hAnsi="Times New Roman"/>
                <w:sz w:val="17"/>
                <w:szCs w:val="17"/>
                <w:b w:val="1"/>
                <w:bCs w:val="1"/>
                <w:color w:val="auto"/>
              </w:rPr>
              <w:t>Home Health and Hospice Services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2"/>
        </w:trPr>
        <w:tc>
          <w:tcPr>
            <w:tcW w:w="3880" w:type="dxa"/>
            <w:vAlign w:val="bottom"/>
          </w:tcPr>
          <w:p>
            <w:pPr>
              <w:spacing w:after="0"/>
              <w:rPr>
                <w:sz w:val="18"/>
                <w:szCs w:val="18"/>
                <w:color w:val="auto"/>
              </w:rPr>
            </w:pPr>
          </w:p>
        </w:tc>
        <w:tc>
          <w:tcPr>
            <w:tcW w:w="18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Home Health Services</w:t>
            </w:r>
          </w:p>
        </w:tc>
        <w:tc>
          <w:tcPr>
            <w:tcW w:w="178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Hospice Services</w:t>
            </w:r>
          </w:p>
        </w:tc>
        <w:tc>
          <w:tcPr>
            <w:tcW w:w="10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Senior Living Services</w:t>
            </w:r>
          </w:p>
        </w:tc>
        <w:tc>
          <w:tcPr>
            <w:tcW w:w="178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Total Revenue</w:t>
            </w:r>
          </w:p>
        </w:tc>
      </w:tr>
      <w:tr>
        <w:trPr>
          <w:trHeight w:val="212"/>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Medicare</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43.8 %</w:t>
            </w: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87.0 %</w:t>
            </w:r>
          </w:p>
        </w:tc>
        <w:tc>
          <w:tcPr>
            <w:tcW w:w="10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48.4 %</w:t>
            </w:r>
          </w:p>
        </w:tc>
      </w:tr>
      <w:tr>
        <w:trPr>
          <w:trHeight w:val="219"/>
        </w:trPr>
        <w:tc>
          <w:tcPr>
            <w:tcW w:w="3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Medicaid</w:t>
            </w:r>
          </w:p>
        </w:tc>
        <w:tc>
          <w:tcPr>
            <w:tcW w:w="17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4.0</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tcBorders>
              <w:bottom w:val="single" w:sz="8" w:color="CCEEFF"/>
            </w:tcBorders>
          </w:tcPr>
          <w:p>
            <w:pPr>
              <w:spacing w:after="0"/>
              <w:rPr>
                <w:sz w:val="19"/>
                <w:szCs w:val="19"/>
                <w:color w:val="auto"/>
              </w:rPr>
            </w:pPr>
          </w:p>
        </w:tc>
        <w:tc>
          <w:tcPr>
            <w:tcW w:w="17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13.1</w:t>
            </w:r>
          </w:p>
        </w:tc>
      </w:tr>
      <w:tr>
        <w:trPr>
          <w:trHeight w:val="212"/>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Subtotal</w:t>
            </w:r>
          </w:p>
        </w:tc>
        <w:tc>
          <w:tcPr>
            <w:tcW w:w="17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47.8</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97.8</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61.5</w:t>
            </w:r>
          </w:p>
        </w:tc>
      </w:tr>
      <w:tr>
        <w:trPr>
          <w:trHeight w:val="219"/>
        </w:trPr>
        <w:tc>
          <w:tcPr>
            <w:tcW w:w="3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Managed care</w:t>
            </w:r>
          </w:p>
        </w:tc>
        <w:tc>
          <w:tcPr>
            <w:tcW w:w="17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33.2</w:t>
            </w:r>
          </w:p>
        </w:tc>
        <w:tc>
          <w:tcPr>
            <w:tcW w:w="100" w:type="dxa"/>
            <w:vAlign w:val="bottom"/>
          </w:tcPr>
          <w:p>
            <w:pPr>
              <w:spacing w:after="0"/>
              <w:rPr>
                <w:sz w:val="19"/>
                <w:szCs w:val="19"/>
                <w:color w:val="auto"/>
              </w:rPr>
            </w:pPr>
          </w:p>
        </w:tc>
        <w:tc>
          <w:tcPr>
            <w:tcW w:w="17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15.0</w:t>
            </w:r>
          </w:p>
        </w:tc>
      </w:tr>
      <w:tr>
        <w:trPr>
          <w:trHeight w:val="219"/>
        </w:trPr>
        <w:tc>
          <w:tcPr>
            <w:tcW w:w="38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Private and other</w:t>
            </w:r>
            <w:r>
              <w:rPr>
                <w:rFonts w:ascii="Times New Roman" w:cs="Times New Roman" w:eastAsia="Times New Roman" w:hAnsi="Times New Roman"/>
                <w:sz w:val="22"/>
                <w:szCs w:val="22"/>
                <w:color w:val="auto"/>
                <w:vertAlign w:val="superscript"/>
              </w:rPr>
              <w:t>(a)</w:t>
            </w:r>
          </w:p>
        </w:tc>
        <w:tc>
          <w:tcPr>
            <w:tcW w:w="17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19.0</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0.8</w:t>
            </w:r>
          </w:p>
        </w:tc>
        <w:tc>
          <w:tcPr>
            <w:tcW w:w="10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65.9</w:t>
            </w:r>
          </w:p>
        </w:tc>
        <w:tc>
          <w:tcPr>
            <w:tcW w:w="100" w:type="dxa"/>
            <w:vAlign w:val="bottom"/>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23.5</w:t>
            </w:r>
          </w:p>
        </w:tc>
      </w:tr>
      <w:tr>
        <w:trPr>
          <w:trHeight w:val="212"/>
        </w:trPr>
        <w:tc>
          <w:tcPr>
            <w:tcW w:w="38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0"/>
        </w:trPr>
        <w:tc>
          <w:tcPr>
            <w:tcW w:w="38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5" w:lineRule="exact"/>
        <w:rPr>
          <w:sz w:val="20"/>
          <w:szCs w:val="20"/>
          <w:color w:val="auto"/>
        </w:rPr>
      </w:pPr>
    </w:p>
    <w:p>
      <w:pPr>
        <w:ind w:left="460" w:hanging="440"/>
        <w:spacing w:after="0"/>
        <w:tabs>
          <w:tab w:leader="none" w:pos="460"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4"/>
          <w:szCs w:val="14"/>
          <w:color w:val="auto"/>
        </w:rPr>
        <w:t>Private and other payors in the Company’s home health services includes revenue from all payors generated in the Company’s home care operations and management services agreement.</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Reimbursement for Specific Services</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Historically, adjustments to reimbursement under Medicare and Medicaid have had a significant effect on our revenue and results of operations. Recently enacted, pending and proposed legislation and administrative rulemaking at the federal and state levels could have similar effects on our business. Efforts to impose reduced reimbursement rates, greater discounts, cost sequestrations in federal spending bills passed by Congress, and more stringent cost controls by government and other payors are expected to continue for the foreseeable future and could adversely affect our business, financial condition and results of operations. Additionally, any delay or default by the federal or state governments in making Medicare and/or Medicaid reimbursement payments could materially and adversely affect our business, financial condition and results of operations.</w:t>
      </w:r>
    </w:p>
    <w:p>
      <w:pPr>
        <w:spacing w:after="0" w:line="193"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Reimbursement for Home Health Services</w:t>
      </w:r>
      <w:r>
        <w:rPr>
          <w:rFonts w:ascii="Times New Roman" w:cs="Times New Roman" w:eastAsia="Times New Roman" w:hAnsi="Times New Roman"/>
          <w:sz w:val="17"/>
          <w:szCs w:val="17"/>
          <w:color w:val="auto"/>
        </w:rPr>
        <w:t>. Our home health business derives substantially all of its revenue from Medicare, managed care, and private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pay sources, which may vary in the markets we serve. Our home health services generally consist of providing some combination of the services of registered nurses, speech, occupational and physical therapists, medical social workers and certified home health aides. Home health is often a cost-effective solution for patients and can also increase their quality of life and allow them to receive quality medical care in the comfort and convenience of a familiar setting.</w:t>
      </w:r>
    </w:p>
    <w:p>
      <w:pPr>
        <w:spacing w:after="0" w:line="187"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Reimbursement for Hospice Services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Hospice revenues are primarily derived from Medicare. We receive one of four predetermined rate categories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based on four different levels of care provided: routine home care, continuous home care, inpatient respite care and general inpatient care. This payment structure is designed to include all of the services needed to manage a beneficiary’s care, consisting primarily of clinical care, education and counseling. These rates are subject to annual adjustments based on inflation and geographic wage considerations.</w:t>
      </w:r>
    </w:p>
    <w:p>
      <w:pPr>
        <w:spacing w:after="0" w:line="187"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Reimbursement for Senior Living Services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Assisted living, independent living and memory care community revenue is primarily derived from private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pay residents at rates we establish based upon the services we provide and market conditions in the area of operation. In addition, Medicaid or other state-specific programs in some states where we operate supplement payments for board and care services provided in assisted living and memory care communities.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post-acute care industry is highly competitive, and we expect that the industry will become increasingly competitive in the future. The industry is highly fragmented and characterized by numerous local and regional providers, in</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addition to large national providers that have achieved geographic diversity and economies of scale. Some of our independent operating subsidiaries also compete with skilled nursing facilities, inpatient rehabilitation facilities and long-term acute care hospitals. Competitiveness may vary significantly from location to location, depending upon factors such as the number of competing operations, availability of services, expertise of staff, and the physical appearance and amenities of senior living communities. We believe that the primary competitive factors in the post-acute care industry are:</w:t>
      </w:r>
    </w:p>
    <w:p>
      <w:pPr>
        <w:spacing w:after="0" w:line="184" w:lineRule="exact"/>
        <w:rPr>
          <w:sz w:val="20"/>
          <w:szCs w:val="20"/>
          <w:color w:val="auto"/>
        </w:rPr>
      </w:pPr>
    </w:p>
    <w:p>
      <w:pPr>
        <w:ind w:left="1360" w:hanging="274"/>
        <w:spacing w:after="0"/>
        <w:tabs>
          <w:tab w:leader="none" w:pos="13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ability to attract and to retain qualified leaders and caregivers;</w:t>
      </w:r>
    </w:p>
    <w:p>
      <w:pPr>
        <w:spacing w:after="0" w:line="75" w:lineRule="exact"/>
        <w:rPr>
          <w:rFonts w:ascii="Times New Roman" w:cs="Times New Roman" w:eastAsia="Times New Roman" w:hAnsi="Times New Roman"/>
          <w:sz w:val="17"/>
          <w:szCs w:val="17"/>
          <w:color w:val="auto"/>
        </w:rPr>
      </w:pPr>
    </w:p>
    <w:p>
      <w:pPr>
        <w:ind w:left="1360" w:hanging="274"/>
        <w:spacing w:after="0"/>
        <w:tabs>
          <w:tab w:leader="none" w:pos="13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reputation and achievements of quality healthcare outcomes and patient and resident satisfaction;</w:t>
      </w:r>
    </w:p>
    <w:p>
      <w:pPr>
        <w:spacing w:after="0" w:line="88" w:lineRule="exact"/>
        <w:rPr>
          <w:rFonts w:ascii="Times New Roman" w:cs="Times New Roman" w:eastAsia="Times New Roman" w:hAnsi="Times New Roman"/>
          <w:sz w:val="17"/>
          <w:szCs w:val="17"/>
          <w:color w:val="auto"/>
        </w:rPr>
      </w:pPr>
    </w:p>
    <w:p>
      <w:pPr>
        <w:ind w:left="1360" w:hanging="274"/>
        <w:spacing w:after="0"/>
        <w:tabs>
          <w:tab w:leader="none" w:pos="13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attractiveness and location of senior living communities and other physical assets;</w:t>
      </w:r>
    </w:p>
    <w:p>
      <w:pPr>
        <w:spacing w:after="0" w:line="75" w:lineRule="exact"/>
        <w:rPr>
          <w:rFonts w:ascii="Times New Roman" w:cs="Times New Roman" w:eastAsia="Times New Roman" w:hAnsi="Times New Roman"/>
          <w:sz w:val="17"/>
          <w:szCs w:val="17"/>
          <w:color w:val="auto"/>
        </w:rPr>
      </w:pPr>
    </w:p>
    <w:p>
      <w:pPr>
        <w:ind w:left="1360" w:hanging="274"/>
        <w:spacing w:after="0"/>
        <w:tabs>
          <w:tab w:leader="none" w:pos="13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expertise and commitment of operational leaders and employees; and</w:t>
      </w:r>
    </w:p>
    <w:p>
      <w:pPr>
        <w:spacing w:after="0" w:line="75" w:lineRule="exact"/>
        <w:rPr>
          <w:rFonts w:ascii="Times New Roman" w:cs="Times New Roman" w:eastAsia="Times New Roman" w:hAnsi="Times New Roman"/>
          <w:sz w:val="17"/>
          <w:szCs w:val="17"/>
          <w:color w:val="auto"/>
        </w:rPr>
      </w:pPr>
    </w:p>
    <w:p>
      <w:pPr>
        <w:ind w:left="1360" w:hanging="274"/>
        <w:spacing w:after="0"/>
        <w:tabs>
          <w:tab w:leader="none" w:pos="13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private equity, payors, and other firms with greater financial resources and/or lower costs of capital with similar asset acquisition objectives.</w:t>
      </w:r>
    </w:p>
    <w:p>
      <w:pPr>
        <w:spacing w:after="0" w:line="333"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We seek to compete effectively in each market by establishing a reputation within the local community as the “provider of choice.” This means that the operation leaders are generally free to discern and address the unique needs and priorities of healthcare professionals, customers and other stakeholders in the local community or market, and then create superior service offerings that are calculated to encourage prospective customers and referral sources to choose or recommend the operation.</w:t>
      </w:r>
    </w:p>
    <w:p>
      <w:pPr>
        <w:spacing w:after="0" w:line="191" w:lineRule="exact"/>
        <w:rPr>
          <w:sz w:val="20"/>
          <w:szCs w:val="20"/>
          <w:color w:val="auto"/>
        </w:rPr>
      </w:pPr>
    </w:p>
    <w:p>
      <w:pPr>
        <w:jc w:val="both"/>
        <w:ind w:firstLine="619"/>
        <w:spacing w:after="0" w:line="250" w:lineRule="auto"/>
        <w:rPr>
          <w:sz w:val="20"/>
          <w:szCs w:val="20"/>
          <w:color w:val="auto"/>
        </w:rPr>
      </w:pPr>
      <w:r>
        <w:rPr>
          <w:rFonts w:ascii="Times New Roman" w:cs="Times New Roman" w:eastAsia="Times New Roman" w:hAnsi="Times New Roman"/>
          <w:sz w:val="17"/>
          <w:szCs w:val="17"/>
          <w:color w:val="auto"/>
        </w:rPr>
        <w:t>Increased competition could limit our ability to attract and retain patients and residents, maintain or increase rates of reimbursement or to expand our business. Some of our competitors have greater financial and other resources than we have, may have greater brand recognition and may be more established in their respective communities than we are. Competing companies may also offer newer or more recently renovated communities or different programs or services than we offer and may, therefore, attract individuals who are currently patients of our operations, potential residents of our senior living communities, or who are otherwise receiving our healthcare services. Other competitors may have lower expenses or other competitive advantages than we do and, therefore, provide services at lower prices than we offer.</w:t>
      </w:r>
    </w:p>
    <w:p>
      <w:pPr>
        <w:spacing w:after="0" w:line="196"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There are few barriers to entry in the home health and hospice business in jurisdictions that do not require certificates of need or permits of approval. Our primary competition in these jurisdictions comes from local privately and publicly owned providers and hospital-owned healthcare providers. We compete based on the availability of personnel, the quality of services, expertise of visiting staff, and, in certain instances, on the price of our services. In addition, we compete with a number of non-profit organizations that finance acquisitions and capital expenditures on a tax-exempt basis and charity-funded programs that may have strong ties to their local medical communities and receive charitable contributions that are unavailable to us.</w:t>
      </w:r>
    </w:p>
    <w:p>
      <w:pPr>
        <w:spacing w:after="0" w:line="21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senior living services also compete with local, regional and national companies. The primary competitive factors in these businesses include reputation, attractiveness and location of physical assets, cost of services, quality of care, responsiveness to patient or resident needs, location and the ability to provide support in other areas such as third-party reimbursement, information management and patient recordkeeping. The market for acquiring and/or operating senior living communities is highly competitive, and some of our present and potential senior living competitors have, or may obtain, greater financial resources than us and may have a lower cost of capital.</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Competitive Strengths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believe that we are well positioned to benefit from the ongoing regulatory, reimbursement and demographic changes within the home health, hospice and senior living industries. We believe that we will achieve clinical, financial and cultural success as a direct result of the following key competitive strengths:</w:t>
      </w:r>
    </w:p>
    <w:p>
      <w:pPr>
        <w:spacing w:after="0" w:line="171" w:lineRule="exact"/>
        <w:rPr>
          <w:sz w:val="20"/>
          <w:szCs w:val="20"/>
          <w:color w:val="auto"/>
        </w:rPr>
      </w:pPr>
    </w:p>
    <w:p>
      <w:pPr>
        <w:jc w:val="both"/>
        <w:ind w:firstLine="61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Innovative Operating Model. </w:t>
      </w:r>
      <w:r>
        <w:rPr>
          <w:rFonts w:ascii="Times New Roman" w:cs="Times New Roman" w:eastAsia="Times New Roman" w:hAnsi="Times New Roman"/>
          <w:sz w:val="17"/>
          <w:szCs w:val="17"/>
          <w:color w:val="auto"/>
        </w:rPr>
        <w:t>We believe healthcare should be operated primarily as a local business. Our innovative operating model, described in Part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1, Item 1 - </w:t>
      </w:r>
      <w:r>
        <w:rPr>
          <w:rFonts w:ascii="Times New Roman" w:cs="Times New Roman" w:eastAsia="Times New Roman" w:hAnsi="Times New Roman"/>
          <w:sz w:val="17"/>
          <w:szCs w:val="17"/>
          <w:i w:val="1"/>
          <w:iCs w:val="1"/>
          <w:color w:val="auto"/>
        </w:rPr>
        <w:t>“Our Innovative Operating Model”</w:t>
      </w:r>
      <w:r>
        <w:rPr>
          <w:rFonts w:ascii="Times New Roman" w:cs="Times New Roman" w:eastAsia="Times New Roman" w:hAnsi="Times New Roman"/>
          <w:sz w:val="17"/>
          <w:szCs w:val="17"/>
          <w:color w:val="auto"/>
        </w:rPr>
        <w:t>, is one of our key competitive strengths.</w:t>
      </w:r>
    </w:p>
    <w:p>
      <w:pPr>
        <w:spacing w:after="0" w:line="166"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Effective Talent Recruitment, Development and Retention. </w:t>
      </w:r>
      <w:r>
        <w:rPr>
          <w:rFonts w:ascii="Times New Roman" w:cs="Times New Roman" w:eastAsia="Times New Roman" w:hAnsi="Times New Roman"/>
          <w:sz w:val="17"/>
          <w:szCs w:val="17"/>
          <w:color w:val="auto"/>
        </w:rPr>
        <w:t>We believe we have an advantage and are successful in attracting, developing, and retaining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outstanding business and clinical leaders to lead our independent operating subsidiaries. Our unique operating model, which emphasizes local decision making and team building, supported by our platform of expert resources and best-in-class systems, attracts a highly talented and entrepreneurial group of leaders. Our operational leaders are committed to ongoing training and participate in regular leadership development and educational programs. We believe that our commitment to professional development strengthens the quality of our operational leaders and staff and will continue to differentiate us from our competitors.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Proven Track Record of Successful Acquisitions. </w:t>
      </w:r>
      <w:r>
        <w:rPr>
          <w:rFonts w:ascii="Times New Roman" w:cs="Times New Roman" w:eastAsia="Times New Roman" w:hAnsi="Times New Roman"/>
          <w:sz w:val="17"/>
          <w:szCs w:val="17"/>
          <w:color w:val="auto"/>
        </w:rPr>
        <w:t>We adhere to a disciplined acquisition strategy focused on sourcing and selectively acquiring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operations within our target markets. Local leaders are heavily involved in the acquisition process and are recognized and rewarded as these acquired operations become the provider of choice in the communities they serve. Through our innovative operating model and disciplined approach to strategic growth, we have completed and successfully transitioned dozens of value-add operations. Our expertise in acquiring and transforming strategic and underperforming operations allows us to consider a broad range of potential acquisition targets and will be a key element of our future success.</w:t>
      </w:r>
    </w:p>
    <w:p>
      <w:pPr>
        <w:spacing w:after="0" w:line="192"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Superior Clinical Outcomes and Quality Care. </w:t>
      </w:r>
      <w:r>
        <w:rPr>
          <w:rFonts w:ascii="Times New Roman" w:cs="Times New Roman" w:eastAsia="Times New Roman" w:hAnsi="Times New Roman"/>
          <w:sz w:val="17"/>
          <w:szCs w:val="17"/>
          <w:color w:val="auto"/>
        </w:rPr>
        <w:t>We will continue to succeed by delivering high quality home health, hospice and senior living services.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Using the CMS five-star quality rating criteria, our home health agencies achieved an average of 4.2 out of 5 stars across all agencies for the for the year ended December 31, 2025, compared to the industry average of 3.0 stars (see </w:t>
      </w:r>
      <w:r>
        <w:rPr>
          <w:rFonts w:ascii="Times New Roman" w:cs="Times New Roman" w:eastAsia="Times New Roman" w:hAnsi="Times New Roman"/>
          <w:sz w:val="17"/>
          <w:szCs w:val="17"/>
          <w:i w:val="1"/>
          <w:iCs w:val="1"/>
          <w:color w:val="auto"/>
        </w:rPr>
        <w:t>Government Regulation</w:t>
      </w:r>
      <w:r>
        <w:rPr>
          <w:rFonts w:ascii="Times New Roman" w:cs="Times New Roman" w:eastAsia="Times New Roman" w:hAnsi="Times New Roman"/>
          <w:sz w:val="17"/>
          <w:szCs w:val="17"/>
          <w:color w:val="auto"/>
        </w:rPr>
        <w:t xml:space="preserve"> below for further discussion on the five-star quality rating system). Our locally driven, patient-centered approach to clinical care allows us to meet the unique needs of our patients, resulting in improved clinical outcomes, including reduced hospital readmission rates. These improved outcomes are driven by both our talented local clinicians and our data-driven analytical approach to patient care and risk stratification. We believe that our achievement of high-quality clinical outcomes positions us as a solution for patients, residents and referral sources, leading to census growth and improved profitability.</w:t>
      </w:r>
    </w:p>
    <w:p>
      <w:pPr>
        <w:spacing w:after="0" w:line="194"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Diversified Portfolio by Payor and Services. </w:t>
      </w:r>
      <w:r>
        <w:rPr>
          <w:rFonts w:ascii="Times New Roman" w:cs="Times New Roman" w:eastAsia="Times New Roman" w:hAnsi="Times New Roman"/>
          <w:sz w:val="17"/>
          <w:szCs w:val="17"/>
          <w:color w:val="auto"/>
        </w:rPr>
        <w:t>As of December 31, 2025, we operated 172 home health and hospice agencies and 63 senior living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communities across 16 states. Because of this diversified portfolio, our blended payor mix was 48.4% Medicare, 13.1% Medicaid, 15.0% managed care and 23.5% private pay and other payment sources for the year ended December 31, 2025. Our balanced payor mix can provide greater business stability through economic cycles and mitigates volatility arising from government-driven reimbursement changes. For the year ended December 31, 2025, we generated 77.3% of our revenue from home health and hospice services and 22.7% of our revenue from senior living services. Our diversified service portfolio allows us to opportunistically execute on our acquisition strategy as valuations fluctuate over industry cycles.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operation of our home health and hospice operations and senior living communities requires a large number of highly skilled healthcare professionals and support staff. As of December 31, 2025, we had approximately 9,700 employees who were employed by our independent operating subsidiaries or our Service Center.</w:t>
      </w:r>
    </w:p>
    <w:p>
      <w:pPr>
        <w:spacing w:after="0" w:line="191"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Our ability to attract and retain future leaders is critical to our ongoing success. Therefore, we are dedicated to continuously recruiting and developing a broad group of capable leaders. As described in Part 1, Item 1., </w:t>
      </w:r>
      <w:r>
        <w:rPr>
          <w:rFonts w:ascii="Times New Roman" w:cs="Times New Roman" w:eastAsia="Times New Roman" w:hAnsi="Times New Roman"/>
          <w:sz w:val="17"/>
          <w:szCs w:val="17"/>
          <w:i w:val="1"/>
          <w:iCs w:val="1"/>
          <w:color w:val="auto"/>
        </w:rPr>
        <w:t>Grow Talent Base and Develop Future Leaders,</w:t>
      </w:r>
      <w:r>
        <w:rPr>
          <w:rFonts w:ascii="Times New Roman" w:cs="Times New Roman" w:eastAsia="Times New Roman" w:hAnsi="Times New Roman"/>
          <w:sz w:val="17"/>
          <w:szCs w:val="17"/>
          <w:color w:val="auto"/>
        </w:rPr>
        <w:t xml:space="preserve"> our CEO-in-Training and Clinical Operations Leadership Training programs provide significant in-person instruction and extensive training with key leaders from across the organization to empower local leaders.</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For the year ended December 31, 2025, 68.3% of our total expenses were payroll related. Periodically, market forces, which vary by region, require that we increase wages in excess of general inflation or increases in reimbursement rates we receive. We believe that we staff appropriately, focusing primarily on the acuity level and day-to-day needs of our patients and residents. We seek to manage our labor costs by improving staff retention, improving operating efficiencies, maintaining competitive wage rates and benefits and reducing reliance on overtime compensation and temporary nursing agency services.</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healthcare industry as a whole has been experiencing shortages of qualified professional clinical staff. We believe that our ability to attract and retain qualified professional clinical staff stems from our ability to offer attractive wage and benefits packages, a high level of employee training, a culture that provides incentives for individual efforts and a quality work environment.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w:t>
      </w:r>
    </w:p>
    <w:p>
      <w:pPr>
        <w:spacing w:after="0" w:line="228"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General. </w:t>
      </w:r>
      <w:r>
        <w:rPr>
          <w:rFonts w:ascii="Times New Roman" w:cs="Times New Roman" w:eastAsia="Times New Roman" w:hAnsi="Times New Roman"/>
          <w:sz w:val="17"/>
          <w:szCs w:val="17"/>
          <w:color w:val="auto"/>
        </w:rPr>
        <w:t>The laws and statutes affecting the regulatory landscape of the home health, hospice and senior living industries continue to expand. We expect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that these changes will continue. In addition to this changing regulatory environment, federal, state and local officials are increasingly focusing their efforts on the enforcement of these laws. In order to operate our businesses, we must comply with federal, state and local laws relating to, among other things, licensure, delivery and adequacy of medical care, distribution of pharmaceuticals, equipment, personnel, operating policies, fire prevention, immigration, employment, rate-setting, billing and reimbursement, building codes, privacy, antitrust, and environmental protection. Additionally, we must also adhere to federal and state anti-fraud and abuse laws, such as anti-kickback statutes and physician referral laws, as well as safety and health standards set by the Occupational Safety and Health Administration (“OSHA”). Certain states have also proposed or adopted laws requiring regulatory notice and approval of healthcare-related transactions or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restricting the acquisition or formation of health care entities. Changes in laws or regulations, or new interpretations of existing laws, may have an adverse impact on our methods and costs of doing business.</w:t>
      </w:r>
    </w:p>
    <w:p>
      <w:pPr>
        <w:spacing w:after="0" w:line="17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independent operating subsidiaries are also subject to various regulations and licensing requirements promulgated by state and local health and social service agencies and other regulatory authorities. Requirements vary from state to state, and these requirements can affect, among other things, personnel education and training, patient and personnel records, services, staffing levels, monitoring of patient wellness, patient furnishings, housekeeping services, dietary requirements, emergency plans and procedures, certification and licensing of staff prior to beginning employment, and patient rights. These laws and regulations could limit our ability to expand into new markets and to expand our services and facilities in existing markets.</w:t>
      </w:r>
    </w:p>
    <w:p>
      <w:pPr>
        <w:spacing w:after="0" w:line="194"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Recent Updates. </w:t>
      </w:r>
      <w:r>
        <w:rPr>
          <w:rFonts w:ascii="Times New Roman" w:cs="Times New Roman" w:eastAsia="Times New Roman" w:hAnsi="Times New Roman"/>
          <w:sz w:val="17"/>
          <w:szCs w:val="17"/>
          <w:color w:val="auto"/>
        </w:rPr>
        <w:t>On December 31, 2025, the Drug Enforcement Administration (“DEA”) together with the United States Department of Health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Human Services (“HHS”) issued a fourth extension of the telemedicine flexibilities for prescribing controlled substances through December 31, 2026. As background, federal law allows a prescribing practitioner to prescribe controlled substances to a patient remotely only after conducting at least one-in-person medical evaluation of that patient during a practitioner-patient relationship. During the COVID-19 Public Health Emergency (“PHE”), the DEA granted an exception to this in-person prescribing requirement, authorizing practitioners to prescribe medications designated within Schedules II through V of the Controlled Substances Act via audio-telemedicine encounters (including FDA-approved narcotic medications designated in Schedules III through V for maintenance and withdrawal management treatment of opioid use disorder). This fourth extension extends this exception through December 31, 2026.</w:t>
      </w:r>
    </w:p>
    <w:p>
      <w:pPr>
        <w:spacing w:after="0" w:line="200"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On November 28, 2025, CMS issued the Calendar Year (“CY”) 2026 Home Health Prospective Payment System final rule (the “HH Payment Final Rule”). The 2026 HH Payment Final Rule includes several changes that materially impact reimbursement for home health providers. The HH Payment Final Rule’s net payment update percentage is -1.3%, resulting in an aggregate estimated decrease across all home health providers of $220 million in payments compared to fiscal year 2025. The payment update percentage includes a market basket update of 2.4%, a permanent behavior adjustment of -0.9%, a temporary payment adjustment of -2.7%, and a -0.1% update to the fixed dollar loss ratio for outlier payments. These adjustments are intended, in part, to account for differences between assumed and actual provider behavior changes since the PDGM’s implementation in 2020, as required by the Bipartisan Budget Act of 2018. The HH Payment Final Rule also changes the regulations governing home health face-to-face visits, and allows physicians, in addition to other healthcare providers, to perform the face-to-face encounter regardless of whether they are the certifying practitioner or whether they previously cared for the patient. This change is made to bring home health regulations into conformity with the statutory requirements, and language, of the Coronavirus Aid, Relief, and Economic Security (“CARES”) Act of 2020. In addition, CMS recalibrated case-mix weights, adjusted certain items relating to the home health quality reporting program, and revised certain measures included in the home health value-based purchasing model.</w:t>
      </w:r>
    </w:p>
    <w:p>
      <w:pPr>
        <w:spacing w:after="0" w:line="20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On August 1, 2025, CMS issued the 2026 Hospice Wage Index and Payment Rate Update final rule (the “Hospice Payment Final Rule”) with changes effective October 1, 2025. The Hospice Payment Final Rule’s payment update percentage is 2.6%, which is an estimated increase of $750 million in payments from fiscal year 2025 in the aggregate across all hospice providers. The payment update percentage is based on a 3.3% market basket percentage increase, which is reduced by a 0.7% productivity adjustment. The Hospice Payment Final Rule clarifies that the physician member of a hospice’s interdisciplinary group may recommend admission to hospice care, which aligns certification regulations with the hospice conditions of participation. In addition, the Hospice Payment Final Rule updates the statutory aggregate cap that limits the overall payments per patient that may be made to a hospice annually. The hospice cap amount for the 2026 fiscal year is $35,361.44, which is a 2.6% increase from the 2025 fiscal year cap of $34,465.34.</w:t>
      </w:r>
    </w:p>
    <w:p>
      <w:pPr>
        <w:spacing w:after="0" w:line="2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recent months, President Trump has signed executive orders imposing a variety of tariffs on the global trading partners of the United States. These tariffs have the potential to increase costs on goods that are imported into the United States. As it pertains to our independent subsidiaries, tariffs on medical supplies may lead to higher costs for providers and the federal government through the Medicare and Medicaid programs, and may impact the formulas used to calculate federal reimbursements.</w:t>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On July 4, 2025, the OBBBA was signed into law, which enacts significant reforms to the Medicaid program that may indirectly impact the Company’s operations. These changes include mandatory work requirements for certain adult beneficiaries, expanded cost-sharing obligations, and reductions to provider tax funding of state Medicaid programs. As a result, states may experience reduced federal Medicaid funding, which could lead to changes in Medicaid eligibility and benefit design, and result in potential reductions or delays in reimbursement for Medicaid-covered services our independent subsidiaries provide. For example, Idaho House Bill 345 was passed in March 2025 and imposes heightened work requirements and other conditions on Medicaid beneficiaries in the state. The Company’s independent subsidiaries that serve Medicaid or dual-eligible beneficiaries may be affected by such policy changes, particularly in states with high Medicaid utilization. In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addition, the OBBBA may impact state budgets due to reduced federal Medicaid contributions as mandated by the law. Some states where the Company provides services have taken actions to address the OBBBA. For example, California signed S.B. 105 into law on September 17, 2025, which is a comprehensive budget bill for the state’s fiscal year 2025 - 2026 and contains specific allocation of funds for the state’s Medicaid program, Medi-Cal, to offset the effect of the OBBBA. Other states may take similar actions to address the OBBBA which can further affect the Company’s operations.</w:t>
      </w:r>
    </w:p>
    <w:p>
      <w:pPr>
        <w:spacing w:after="0" w:line="191" w:lineRule="exact"/>
        <w:rPr>
          <w:sz w:val="20"/>
          <w:szCs w:val="20"/>
          <w:color w:val="auto"/>
        </w:rPr>
      </w:pPr>
    </w:p>
    <w:p>
      <w:pPr>
        <w:jc w:val="both"/>
        <w:ind w:firstLine="61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Medicare. </w:t>
      </w:r>
      <w:r>
        <w:rPr>
          <w:rFonts w:ascii="Times New Roman" w:cs="Times New Roman" w:eastAsia="Times New Roman" w:hAnsi="Times New Roman"/>
          <w:sz w:val="17"/>
          <w:szCs w:val="17"/>
          <w:color w:val="auto"/>
        </w:rPr>
        <w:t>All providers are subject to compliance with various federal, state and local statutes and regulations in the U.S. and receive periodic inspection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by state licensing agencies to review standards of medical care, equipment and safety.</w:t>
      </w:r>
    </w:p>
    <w:p>
      <w:pPr>
        <w:spacing w:after="0" w:line="166" w:lineRule="exact"/>
        <w:rPr>
          <w:sz w:val="20"/>
          <w:szCs w:val="20"/>
          <w:color w:val="auto"/>
        </w:rPr>
      </w:pPr>
    </w:p>
    <w:p>
      <w:pPr>
        <w:jc w:val="both"/>
        <w:ind w:left="620" w:firstLine="6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Conditions of Participation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home health and hospice operations must comply with regulations promulgated by the HHS and CMS in order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participate in the Medicare program and receive Medicare payments. Among other things, these conditions of participation (the “CoPs”), relate to the type of operation, its personnel and its standards of medical care, as well as its compliance with state and local laws and regulations.</w:t>
      </w:r>
    </w:p>
    <w:p>
      <w:pPr>
        <w:spacing w:after="0" w:line="184" w:lineRule="exact"/>
        <w:rPr>
          <w:sz w:val="20"/>
          <w:szCs w:val="20"/>
          <w:color w:val="auto"/>
        </w:rPr>
      </w:pPr>
    </w:p>
    <w:p>
      <w:pPr>
        <w:jc w:val="both"/>
        <w:ind w:left="620" w:firstLine="619"/>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Home Health Quality Reporting Requirements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CoPs require home health agencies to submit quality reporting data through Outcome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Assessment Information Set (“OASIS”) assessments within 30 days of completing the assessment of the individual as a condition of payment and for quality measurement purposes. Notably, as of July 1, 2025, OASIS submissions must be provided for every adult, non-maternity, skilled patient treated, rather than just Medicare and Medicaid beneficiaries, as had previously been required. If the OASIS assessment is not found in CMS’s quality system upon receipt of a final claim for a home health episode and the receipt date of the claim is more than 30 days after the assessment completion date, CMS will deny the claim. Home health agencies that do not submit quality measure data to CMS incur a 2% reduction in their annual home health payment update. Under this CoP, all home health agencies are required to timely submit both a Start of Care or Resumption of Care OASIS assessment and a Transfer or Discharge OASIS assessment for a minimum of 90% of all episodes.</w:t>
      </w:r>
    </w:p>
    <w:p>
      <w:pPr>
        <w:spacing w:after="0" w:line="201" w:lineRule="exact"/>
        <w:rPr>
          <w:sz w:val="20"/>
          <w:szCs w:val="20"/>
          <w:color w:val="auto"/>
        </w:rPr>
      </w:pPr>
    </w:p>
    <w:p>
      <w:pPr>
        <w:jc w:val="both"/>
        <w:ind w:left="620" w:firstLine="619"/>
        <w:spacing w:after="0" w:line="270" w:lineRule="auto"/>
        <w:rPr>
          <w:sz w:val="20"/>
          <w:szCs w:val="20"/>
          <w:color w:val="auto"/>
        </w:rPr>
      </w:pPr>
      <w:r>
        <w:rPr>
          <w:rFonts w:ascii="Times New Roman" w:cs="Times New Roman" w:eastAsia="Times New Roman" w:hAnsi="Times New Roman"/>
          <w:sz w:val="17"/>
          <w:szCs w:val="17"/>
          <w:color w:val="auto"/>
        </w:rPr>
        <w:t>In addition, CMS requires that all Medicare certified home health and hospice agencies participate in CAHPS surveys. CAHPS surveys are designed to produce comparable data on the perspective of patients and their caregivers that allows meaningful and objective comparisons between agencies. Since October 1, 2023, hospice agencies that do not submit the required data incur a 4% reduction in their annual base rate payment update.</w:t>
      </w:r>
    </w:p>
    <w:p>
      <w:pPr>
        <w:spacing w:after="0" w:line="185" w:lineRule="exact"/>
        <w:rPr>
          <w:sz w:val="20"/>
          <w:szCs w:val="20"/>
          <w:color w:val="auto"/>
        </w:rPr>
      </w:pPr>
    </w:p>
    <w:p>
      <w:pPr>
        <w:jc w:val="both"/>
        <w:ind w:left="620" w:firstLine="61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Home Health Star Rating</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 a consumer tool for selecting a home health provider, CMS has used a five-star rating model to rate home health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agencies since 2015. This Quality of Patient Care Star Rating is a summary measure of a home health agency’s performance based upon how well it provides patient care. CMS uses seven measurements indicating quality to determine its quality of patient care rating, including how often the agency initiated care in a timely manner, how often patients demonstrated improvements in ambulation, bed transferring, bathing, oral medication administration, less shortness of breath, and decreased need for acute care hospitalization. According to CMS, a 3-star rating means the agency provides good quality of care, as a 3-star rating applies to most home health agencies. According to the January 2026 quarterly refresh of CMS Home Health Compare star rating criteria, our home health agencies have achieved an average of 4.2 out of 5 stars across all agencies compared to the industry average of 3.0 stars.</w:t>
      </w:r>
    </w:p>
    <w:p>
      <w:pPr>
        <w:spacing w:after="0" w:line="194" w:lineRule="exact"/>
        <w:rPr>
          <w:sz w:val="20"/>
          <w:szCs w:val="20"/>
          <w:color w:val="auto"/>
        </w:rPr>
      </w:pPr>
    </w:p>
    <w:p>
      <w:pPr>
        <w:jc w:val="both"/>
        <w:ind w:left="620" w:firstLine="696"/>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Home Health Reimbursement Under PDGM</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qualify for home health services, Medicare CoPs require that beneficiaries (1) be homebound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(meaning that the beneficiary is unable to leave their home without a considerable and taxing effort); (2) require intermittent skilled nursing, physical therapy, or speech therapy services; (3) have a face to face encounter that (a) has occurred no more than 90 days prior to the start of care or within 30 days after the start of care, (b) was related to the primary reason the patient requires home health services, and (c) was performed by a physician or allowed non-physician provider; and (4) receive treatment under a plan of care established and periodically reviewed by a physician.</w:t>
      </w:r>
    </w:p>
    <w:p>
      <w:pPr>
        <w:spacing w:after="0" w:line="198" w:lineRule="exact"/>
        <w:rPr>
          <w:sz w:val="20"/>
          <w:szCs w:val="20"/>
          <w:color w:val="auto"/>
        </w:rPr>
      </w:pPr>
    </w:p>
    <w:p>
      <w:pPr>
        <w:jc w:val="both"/>
        <w:ind w:left="620" w:firstLine="619"/>
        <w:spacing w:after="0" w:line="264" w:lineRule="auto"/>
        <w:rPr>
          <w:sz w:val="20"/>
          <w:szCs w:val="20"/>
          <w:color w:val="auto"/>
        </w:rPr>
      </w:pPr>
      <w:r>
        <w:rPr>
          <w:rFonts w:ascii="Times New Roman" w:cs="Times New Roman" w:eastAsia="Times New Roman" w:hAnsi="Times New Roman"/>
          <w:sz w:val="17"/>
          <w:szCs w:val="17"/>
          <w:color w:val="auto"/>
        </w:rPr>
        <w:t>Under PDGM, Medicare provides agencies with payments for each 30-day payment period provided to beneficiaries. There is no limit to the number of periods of care a beneficiary who remains eligible for the home health benefit can receive. The reimbursement rate is determined by a set of factors intended to account for the cost of providing care to each patient. Payments may be adjusted for certain variables including, but not limited to the number of visits provided, patient transfers, and other factors.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both"/>
        <w:ind w:left="620" w:firstLine="619"/>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Home Health Value Based Purchasing (“HHVBP”)</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After introducing HHVBP models in select states from 2016 to 2021, CMS expanded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HHVBP to all fifty states beginning on January 1, 2022. Fiscal Year (“FY”) 2022 was the pre-implementation year wherein CMS provided Home Health Agencies (“HHAs”) with resources and training, which allowed HHAs time to prepare and learn about the expectations and requirements of the expanded HHVBP Model without risk to payments. FY 2023 (beginning on January 1, 2023) was the first full performance year for the expanded HHVBP Model. FY 2024 was the second year for the expanded HHVBP model, based on FY 2022 for its baseline, and HHA performance for the FY 2024 applicable measure set determines payment adjustments applicable to FY 2026 Medicare fee-for-service claims by HHAs. FY 2025 was the first year when payments were adjusted determined on FY 2023 performance. FY 2025 payment adjustments could be as much as 5% based on data obtained in FY 2023 and CMS could increase the payment adjustment percentage in future years.</w:t>
      </w:r>
    </w:p>
    <w:p>
      <w:pPr>
        <w:spacing w:after="0" w:line="195" w:lineRule="exact"/>
        <w:rPr>
          <w:sz w:val="20"/>
          <w:szCs w:val="20"/>
          <w:color w:val="auto"/>
        </w:rPr>
      </w:pPr>
    </w:p>
    <w:p>
      <w:pPr>
        <w:jc w:val="both"/>
        <w:ind w:left="620" w:firstLine="61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Review Choice Demonstration for Home Health Services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Review Choice Demonstration for Home Health Services (“RCD”) is mandatory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our HHAs in Texas and Oklahoma and allows them to select from three initial options for payment review:</w:t>
      </w:r>
    </w:p>
    <w:p>
      <w:pPr>
        <w:spacing w:after="0" w:line="172" w:lineRule="exact"/>
        <w:rPr>
          <w:sz w:val="20"/>
          <w:szCs w:val="20"/>
          <w:color w:val="auto"/>
        </w:rPr>
      </w:pPr>
    </w:p>
    <w:p>
      <w:pPr>
        <w:ind w:left="1240" w:hanging="309"/>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Pre-claim review</w:t>
      </w:r>
    </w:p>
    <w:p>
      <w:pPr>
        <w:spacing w:after="0" w:line="27"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Post-payment review</w:t>
      </w:r>
    </w:p>
    <w:p>
      <w:pPr>
        <w:spacing w:after="0" w:line="10"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Minimal post-payment review with a 25% payment reduction</w:t>
      </w:r>
    </w:p>
    <w:p>
      <w:pPr>
        <w:spacing w:after="0" w:line="226" w:lineRule="exact"/>
        <w:rPr>
          <w:sz w:val="20"/>
          <w:szCs w:val="20"/>
          <w:color w:val="auto"/>
        </w:rPr>
      </w:pPr>
    </w:p>
    <w:p>
      <w:pPr>
        <w:jc w:val="both"/>
        <w:ind w:left="620" w:firstLine="619"/>
        <w:spacing w:after="0" w:line="261" w:lineRule="auto"/>
        <w:rPr>
          <w:sz w:val="20"/>
          <w:szCs w:val="20"/>
          <w:color w:val="auto"/>
        </w:rPr>
      </w:pPr>
      <w:r>
        <w:rPr>
          <w:rFonts w:ascii="Times New Roman" w:cs="Times New Roman" w:eastAsia="Times New Roman" w:hAnsi="Times New Roman"/>
          <w:sz w:val="17"/>
          <w:szCs w:val="17"/>
          <w:color w:val="auto"/>
        </w:rPr>
        <w:t>After a 6-month period, HHAs demonstrating compliance with Medicare rules through pre-claim review or post-payment review will have additional choices, including relief from most reviews except for a review of a small sample of claims. (To be eligible, HHAs must meet a 90% target full provisional affirmation rate based on a minimum 10 requests or claims submitted.) This program is designed to reduce the number of Medicare appeals, improve provider compliance with Medicare program requirements, should not delay care to Medicare beneficiaries, and does not alter or reduce the Medicare home health benefit.</w:t>
      </w:r>
    </w:p>
    <w:p>
      <w:pPr>
        <w:spacing w:after="0" w:line="194"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Hospice Reimbursement and Cap Amounts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Payments are based on daily rates for each day a beneficiary is enrolled in the hospice benefit and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subject to two annual caps. Rates are set based on specific levels of care, are adjusted by a wage index to reflect healthcare labor costs across the country and are established annually through federal legislation. The following are the four levels of care provided under the hospice benefit:</w:t>
      </w:r>
    </w:p>
    <w:p>
      <w:pPr>
        <w:spacing w:after="0" w:line="184" w:lineRule="exact"/>
        <w:rPr>
          <w:sz w:val="20"/>
          <w:szCs w:val="20"/>
          <w:color w:val="auto"/>
        </w:rPr>
      </w:pPr>
    </w:p>
    <w:p>
      <w:pPr>
        <w:ind w:left="620" w:hanging="307"/>
        <w:spacing w:after="0" w:line="294"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Routine Home Care (“RHC”)</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Care that is not classified under any of the other levels of care, such as the work of nurses, social workers or home health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aides.</w:t>
      </w:r>
    </w:p>
    <w:p>
      <w:pPr>
        <w:spacing w:after="0" w:line="36" w:lineRule="exact"/>
        <w:rPr>
          <w:rFonts w:ascii="Times New Roman" w:cs="Times New Roman" w:eastAsia="Times New Roman" w:hAnsi="Times New Roman"/>
          <w:sz w:val="17"/>
          <w:szCs w:val="17"/>
          <w:color w:val="auto"/>
        </w:rPr>
      </w:pPr>
    </w:p>
    <w:p>
      <w:pPr>
        <w:ind w:left="620" w:hanging="307"/>
        <w:spacing w:after="0" w:line="294"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General Inpatient Care. </w:t>
      </w:r>
      <w:r>
        <w:rPr>
          <w:rFonts w:ascii="Times New Roman" w:cs="Times New Roman" w:eastAsia="Times New Roman" w:hAnsi="Times New Roman"/>
          <w:sz w:val="17"/>
          <w:szCs w:val="17"/>
          <w:color w:val="auto"/>
        </w:rPr>
        <w:t>Pain control or acute or chronic symptom management that cannot be managed in a setting other than an inpatient Medicare-certified facility, such as a hospital, skilled nursing facility or hospice inpatient facility.</w:t>
      </w:r>
    </w:p>
    <w:p>
      <w:pPr>
        <w:spacing w:after="0" w:line="36" w:lineRule="exact"/>
        <w:rPr>
          <w:rFonts w:ascii="Times New Roman" w:cs="Times New Roman" w:eastAsia="Times New Roman" w:hAnsi="Times New Roman"/>
          <w:sz w:val="17"/>
          <w:szCs w:val="17"/>
          <w:color w:val="auto"/>
        </w:rPr>
      </w:pPr>
    </w:p>
    <w:p>
      <w:pPr>
        <w:ind w:left="620" w:hanging="307"/>
        <w:spacing w:after="0" w:line="294" w:lineRule="auto"/>
        <w:tabs>
          <w:tab w:leader="none" w:pos="61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Continuous Home Care. </w:t>
      </w:r>
      <w:r>
        <w:rPr>
          <w:rFonts w:ascii="Times New Roman" w:cs="Times New Roman" w:eastAsia="Times New Roman" w:hAnsi="Times New Roman"/>
          <w:sz w:val="17"/>
          <w:szCs w:val="17"/>
          <w:color w:val="auto"/>
        </w:rPr>
        <w:t>Care for patients experiencing a medical crisis that requires nursing services to achieve palliation and symptom control, if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agency provides a minimum of eight hours of care within a 24-hour period.</w:t>
      </w:r>
    </w:p>
    <w:p>
      <w:pPr>
        <w:spacing w:after="0" w:line="36"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Inpatient Respite Care. </w:t>
      </w:r>
      <w:r>
        <w:rPr>
          <w:rFonts w:ascii="Times New Roman" w:cs="Times New Roman" w:eastAsia="Times New Roman" w:hAnsi="Times New Roman"/>
          <w:sz w:val="17"/>
          <w:szCs w:val="17"/>
          <w:color w:val="auto"/>
        </w:rPr>
        <w:t>Short-term, inpatient care to give temporary relief to the caregiver who regularly provides care to the patient.</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CMS has established a two-tiered payment system for RHC. Hospices are reimbursed at a higher rate for RHC services provided from days of service one through 60 and then a lower rate for all subsequent days of service. CMS also provided for a Service Intensity Add-On, which increases payments for certain RHC services provided by registered nurses and social workers to hospice patients during the final seven days of life.</w:t>
      </w:r>
    </w:p>
    <w:p>
      <w:pPr>
        <w:spacing w:after="0" w:line="191"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Medicare payments are subject to two fixed annual caps, which are assessed on a provider-number basis and are broken into an inpatient cap amount and an overall payment cap. These cap amounts are calculated and published by the applicable Medicare fiscal intermediary on an annual basis covering the fiscal year, measured as the period from October 1 through the following September 30. The inpatient cap limits hospice care provided on an inpatient basis. This cap limits the number of days that are paid at the higher inpatient care rate to 20.0% of the total number of days of hospice care that are provided to all Medicare beneficiaries served by a provider. The daily rate for all days exceeding the cap is the standard RHC daily rate, and the provider must reimburse Medicare for any payments received exceeding that amount. The Medicare fiscal intermediary calculates the overall payment cap at the end of each hospice cap period to determine the maximum allowable payments to a hospice provider during the period. We estimate our potential cap exposure by using available information to compare our actual reimbursement for all hospice services provided during the period to the number of beneficiaries we served multiplied by the statutory per beneficiary cap amount. If payments received by any one of our hospice provider numbers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exceeds either of these caps, we are required to reimburse Medicare for payments received in excess of the cap amounts. The hospice cap amount for the 2026 fiscal year is $35,361.44, which is a 2.6% increase from the 2025 fiscal year cap of $34,465.34.</w:t>
      </w:r>
    </w:p>
    <w:p>
      <w:pPr>
        <w:spacing w:after="0" w:line="171"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Improving Medicare Post-Acute Care Transformation Act of 2014 (“IMPACT Act”)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IMPACT Act requires the submission of standardized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assessment data for quality improvement, payment and discharge planning purposes across the spectrum of post-acute care providers (“PACs”), including home health agencies. Failure to report such data when required subjects a PAC to a 2.0% reduction in market basket prices then in effect.</w:t>
      </w:r>
    </w:p>
    <w:p>
      <w:pPr>
        <w:spacing w:after="0" w:line="184"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Hospice Quality Reporting Requirements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HQRP, mandated by the Patient Protection and Affordable Care Act, requires hospice agencies to submit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required quality data for inclusion on the public facing Hospice Compare website hosted by CMS. Hospices that fail to meet quality reporting requirements receive a 4.0% reduction to the annual market basket update for the next fiscal year.</w:t>
      </w:r>
    </w:p>
    <w:p>
      <w:pPr>
        <w:spacing w:after="0" w:line="184"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Licensure and Certificates of Need (“CON”). </w:t>
      </w:r>
      <w:r>
        <w:rPr>
          <w:rFonts w:ascii="Times New Roman" w:cs="Times New Roman" w:eastAsia="Times New Roman" w:hAnsi="Times New Roman"/>
          <w:sz w:val="17"/>
          <w:szCs w:val="17"/>
          <w:color w:val="auto"/>
        </w:rPr>
        <w:t>Home health, hospice and most senior living communities operate under licenses granted by the health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authorities of their respective states. Some states require healthcare providers (including home health, hospice and most senior living providers) to obtain prior state approval for the purchase, construction or expansion of healthcare operations, or changes in services. Certain states, including a number in which we operate, carefully restrict new entrants into the market based on demographic and/or demonstrative usage of additional providers. These states limit the entry of new providers or services and the expansion of existing providers or services in their markets through a CON process, which is periodically evaluated and updated as required by applicable state law. For those states that require a CON, we must also complete a separate application process establishing a location and must receive required approvals. Alabama, Georgia, Montana, Tennessee, and Washington are the CON states in which we operate home health or hospice agencies, which total 46 agencies. In addition, one state we operate in (California) has imposed a statutory moratorium on issuing new licenses to hospices until January 1, 2027.</w:t>
      </w:r>
    </w:p>
    <w:p>
      <w:pPr>
        <w:spacing w:after="0" w:line="195"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Patient Protection and Affordable Care Act (“ACA”). </w:t>
      </w:r>
      <w:r>
        <w:rPr>
          <w:rFonts w:ascii="Times New Roman" w:cs="Times New Roman" w:eastAsia="Times New Roman" w:hAnsi="Times New Roman"/>
          <w:sz w:val="17"/>
          <w:szCs w:val="17"/>
          <w:color w:val="auto"/>
        </w:rPr>
        <w:t>Various healthcare reform provisions became law upon enactment of the ACA in 2010.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reforms contained in the ACA have affected our independent operating subsidiaries in some manner and are directed in large part at increased quality and cost reductions. These reforms include modifications to the conditions of qualification for payment, bundling of payments to cover both acute and post-acute care and the imposition of enrollment limitations on new providers. In 2022 and 2023, HHS engaged in rulemaking under Section 1557 of the ACA that would expand the influence and authority of existing civil rights laws, and prohibitions against discrimination on the bases of race, national origin, sex (or sex stereotype), gender identity or expression, disability, or age, within the healthcare context. On April 27, 2024, HHS finalized and published a final rule containing revised regulations that implemented Section 1557 of the ACA and its anti-discrimination provisions, which contains staggered implementation dates that began taking effect on July 5, 2024, however, such rules are subject to decreased enforcement or different enforcement priorities than in the past, as discussed below (see </w:t>
      </w:r>
      <w:r>
        <w:rPr>
          <w:rFonts w:ascii="Times New Roman" w:cs="Times New Roman" w:eastAsia="Times New Roman" w:hAnsi="Times New Roman"/>
          <w:sz w:val="17"/>
          <w:szCs w:val="17"/>
          <w:i w:val="1"/>
          <w:iCs w:val="1"/>
          <w:color w:val="auto"/>
        </w:rPr>
        <w:t>Civil Rights</w:t>
      </w:r>
      <w:r>
        <w:rPr>
          <w:rFonts w:ascii="Times New Roman" w:cs="Times New Roman" w:eastAsia="Times New Roman" w:hAnsi="Times New Roman"/>
          <w:sz w:val="17"/>
          <w:szCs w:val="17"/>
          <w:color w:val="auto"/>
        </w:rPr>
        <w:t>).</w:t>
      </w:r>
    </w:p>
    <w:p>
      <w:pPr>
        <w:spacing w:after="0" w:line="20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passage of the OBBBA may result in changes to key ACA provisions including the automatic reenrollment process for the ACA marketplace, availability of funding for individual participation in the ACA marketplace plans, and the imposition of work requirements as a condition of Medicaid eligibility, among other things. The OBBBA reflects a broader legislative effort to roll back provisions of the ACA and its implementation and consequences may reduce availability of insurance coverage thereby affecting population and payer mix. Further presidential and congressional actions may result in additional significant changes in legislation, regulation, and implementation of Medicare, Medicaid, and government policy, along with potential changes to tax rates and other tax treatment of our operations. We continually monitor these developments so we can respond to the changing regulatory environment impacting our business. These rules could be amended by the current administration.</w:t>
      </w:r>
    </w:p>
    <w:p>
      <w:pPr>
        <w:spacing w:after="0" w:line="19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Civil Rights. </w:t>
      </w:r>
      <w:r>
        <w:rPr>
          <w:rFonts w:ascii="Times New Roman" w:cs="Times New Roman" w:eastAsia="Times New Roman" w:hAnsi="Times New Roman"/>
          <w:sz w:val="17"/>
          <w:szCs w:val="17"/>
          <w:color w:val="auto"/>
        </w:rPr>
        <w:t>On January 25, 2024, the HHS Office for Civil Rights (“OCR”) issued guidance to healthcare providers, services, and facilities emphasizing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importance of non-discriminatory visitation policies consistent with CMS regulations and the U.S. National Strategy to Counter Antisemitism, highlighting the prohibition of discrimination based on religion or other protected characteristics during public health emergencies. This guidance also addresses instances of non-compliance, such as unequal treatment based on religious beliefs or dietary restrictions, and outlines the support OCR provides to ensure compliance, encouraging affected individuals to file complaints for potential enforcement actions. However, recent litigation and political efforts have seen a reduction in enforcement of Section 1557 of the ACA. Specifically, HHS announced that it would not enforce certain regulations promulgated under Section 1557 related to discrimination based on sex, gender identity, and pregnancy status.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Civil and Criminal Fraud and Abuse Laws and Enforcement</w:t>
      </w:r>
      <w:r>
        <w:rPr>
          <w:rFonts w:ascii="Times New Roman" w:cs="Times New Roman" w:eastAsia="Times New Roman" w:hAnsi="Times New Roman"/>
          <w:sz w:val="17"/>
          <w:szCs w:val="17"/>
          <w:color w:val="auto"/>
        </w:rPr>
        <w:t>. Various complex federal and state laws exist which govern a wide array of referrals,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relationships and arrangements, and prohibit fraud by healthcare providers. Governmental agencies are devoting increasing attention and resources to such anti-fraud efforts. In connection with our involvement with federal healthcare reimbursement programs, the government or those acting on its behalf may bring an action under the False Claims Act (“FCA”), alleging that a healthcare provider has defrauded the government by submitting a claim for items or services not rendered as claimed, which may include coding errors, billing for services not provided, and submitting false or erroneous cost reports. The FCA is a frequent topic of analysis for the United States Supreme Court. As a result, interpretations of the FCA’s meaning periodically change, and the FCA has been, and may be in the future, amended by Congress as a result of United States Supreme Court decisions. Civil monetary penalties (“CMPs”) under the FCA and other authorities, including the Civil Monetary Penalties Law, 42 U.S.C. § 1320a-7a, are substantial and are adjusted annually for inflation. Under the qui tam or “whistleblower” provisions of the FCA, a private individual with knowledge of fraud may bring a claim on behalf of the federal government and receive a percentage of the federal government’s recovery. Due to these whistleblower incentives, lawsuits have become more frequent. Many states also have a false claim prohibition that mirrors or tracks the federal FCA. Federal law also provides that the Office of the Inspector General for HHS (“OIG”) has the authority to exclude individuals and entities from federally funded healthcare programs on a number of grounds, including, but not limited to, certain types of criminal offenses, licensure revocations or suspensions, and exclusion from state or other federal healthcare programs. In addition, CMS can recover overpayments from healthcare providers up to five years following the year in which payment was made.</w:t>
      </w:r>
    </w:p>
    <w:p>
      <w:pPr>
        <w:spacing w:after="0" w:line="20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We may also face adverse consequences if we violate federal law related to certain Medicare physician referrals. Section 1877 of the Social Security Act, commonly known as the “Stark Law,” provides that a physician may not refer a Medicare or Medicaid patient for a “designated health service” to an entity with which the physician or an immediate family member has a financial relationship unless the financial arrangement meets an exception under the Stark Law or its regulations. Any funds collected for an item or service resulting from a referral that violates the Stark Law must be repaid to Medicare or Medicaid, any other third-party payor, and the patient. In addition, CMPs, which are adjusted for annual inflation, treble damages, and Medicare exclusion may be imposed for presenting or causing to be presented, a claim for a service rendered in violation of the Stark Law. Many states have enacted healthcare provider referral laws that go beyond physician self-referrals or apply to a greater range of services than just the designated health services under the Stark Law.</w:t>
      </w:r>
    </w:p>
    <w:p>
      <w:pPr>
        <w:spacing w:after="0" w:line="19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Monitoring Compliance in our Operations. </w:t>
      </w:r>
      <w:r>
        <w:rPr>
          <w:rFonts w:ascii="Times New Roman" w:cs="Times New Roman" w:eastAsia="Times New Roman" w:hAnsi="Times New Roman"/>
          <w:sz w:val="17"/>
          <w:szCs w:val="17"/>
          <w:color w:val="auto"/>
        </w:rPr>
        <w:t>As a healthcare provider, we have a compliance program to help us comply with various requirements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federal, state and private healthcare programs. Our compliance program includes, among other things, (1) policies and procedures modeled after applicable laws, regulations, government manuals and industry practices and customs that govern the clinical, reimbursement and operational aspects of our subsidiaries; (2) training about our compliance process for the employees of our independent operating subsidiaries, our directors and officers; (3) training about Medicare and Medicaid laws, fraud and abuse prevention, clinical standards and practices, and claim submission and reimbursement policies and procedures for appropriate employees; and (4) internal controls that monitor, for example, the accuracy of claims, reimbursement submissions, cost reports and source documents, provision of patient care, services, and supplies as required by applicable standards and laws, accuracy of clinical assessment and treatment documentation, and implementation of judicial and regulatory requirements (e.g., background checks, licensing and training). The results of our compliance program are regularly reported to the board of directors.</w:t>
      </w:r>
    </w:p>
    <w:p>
      <w:pPr>
        <w:spacing w:after="0" w:line="200" w:lineRule="exact"/>
        <w:rPr>
          <w:sz w:val="20"/>
          <w:szCs w:val="20"/>
          <w:color w:val="auto"/>
        </w:rPr>
      </w:pPr>
    </w:p>
    <w:p>
      <w:pPr>
        <w:spacing w:after="0" w:line="213" w:lineRule="exact"/>
        <w:rPr>
          <w:sz w:val="20"/>
          <w:szCs w:val="20"/>
          <w:color w:val="auto"/>
        </w:rPr>
      </w:pPr>
    </w:p>
    <w:p>
      <w:pPr>
        <w:jc w:val="both"/>
        <w:ind w:firstLine="619"/>
        <w:spacing w:after="0" w:line="255" w:lineRule="auto"/>
        <w:rPr>
          <w:sz w:val="20"/>
          <w:szCs w:val="20"/>
          <w:color w:val="auto"/>
        </w:rPr>
      </w:pPr>
      <w:r>
        <w:rPr>
          <w:rFonts w:ascii="Times New Roman" w:cs="Times New Roman" w:eastAsia="Times New Roman" w:hAnsi="Times New Roman"/>
          <w:sz w:val="17"/>
          <w:szCs w:val="17"/>
          <w:color w:val="auto"/>
        </w:rPr>
        <w:t>Additionally, government agencies and other authorities periodically inspect our operations to assess our compliance with various standards, rules and regulations. The robust regulatory and enforcement environment continues to impact healthcare providers, especially in connection with responses to any alleged noncompliance identified in periodic surveys and other inspections by government authorities. Unannounced surveys or inspections generally occur at least annually at our independent operating subsidiaries and may also follow a government agency's receipt of a complaint about an operation. We are also subject to regulatory reviews relating to Medicare services, billings and potential overpayments resulting from the Recovery Audit Contractors, Zone Program Integrity Contractors, Program Safeguard Contractors, Unified Program Integrity Contractors, Supplemental Medical Review Contractors and Medicaid Integrity Contributors programs in which third party firms engaged by CMS conduct extensive reviews of claims data and medical and other records to identify potential improper payments under the Medicare programs. We must pass these inspections to maintain our licensure under state law, to obtain or maintain certification under the Medicare and Medicaid programs, to continue participation in the Veterans Administration (“VA”) program at some operations, and/or to comply with our provider contracts with managed care clients at many operations. From time to time, we, like others in the healthcare industry, may receive notices from federal and state regulatory agencies alleging that we failed to substantially comply with applicable standards, rules or regulations. These notices may require us to take corrective action, may impose CMPs for noncompliance, and may threaten or impose other sanctions and operating restrictions, up through and including the loss of licensure and termination of, or exclusion from, important payor relationships. If our operations fail to comply with these directives or otherwise fail to comply substantially with licensure and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certification laws, rules and regulations, we could lose our certification as a Medicare or Medicaid provider, lose our state licenses to operate and be subject to fines and penalties.</w:t>
      </w:r>
    </w:p>
    <w:p>
      <w:pPr>
        <w:spacing w:after="0" w:line="17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Healthcare operations in our industries with otherwise acceptable regulatory histories are generally given an opportunity to correct deficiencies and continue their participation in the Medicare and Medicaid programs by a certain date, usually within nine months, although where denial of payment or similar remedies are asserted, such interim remedies go into effect much sooner. Operations with poor regulatory histories continue to be classified by CMS as poor performing operations notwithstanding any intervening change in ownership, unless the new owner obtains a new Medicare provider agreement instead of assuming the operation's existing agreement. However, new owners (including us, historically) nearly always assume the existing Medicare provider agreement due to the difficulty and time delays generally associated with obtaining new Medicare certifications, especially in previously certified locations with sub-par operating histories. Accordingly, operations that have poor regulatory histories before we acquire them may be more likely to have sanctions imposed upon them by CMS or state regulators.</w:t>
      </w:r>
    </w:p>
    <w:p>
      <w:pPr>
        <w:spacing w:after="0" w:line="195"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Regulations Regarding Patient Record Confidentiality. </w:t>
      </w:r>
      <w:r>
        <w:rPr>
          <w:rFonts w:ascii="Times New Roman" w:cs="Times New Roman" w:eastAsia="Times New Roman" w:hAnsi="Times New Roman"/>
          <w:sz w:val="17"/>
          <w:szCs w:val="17"/>
          <w:color w:val="auto"/>
        </w:rPr>
        <w:t>We are also subject to laws and regulations enacted to protect the confidentiality of patient health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information. For example, HHS has issued rules pursuant to Health Insurance Portability and Accountability Act of 1996 (“HIPAA”) as amended by the Health Information Technology for Economic and Clinical Health (“HITECH”) Act, which relate to the privacy of certain patient information and provide patients with the right of access to their health information. These rules govern our use and disclosure of protected health information. We have established policies and procedures to comply with HIPAA privacy, security and breach notification requirements at our facilities and operations subject to HIPAA. We maintain a company-wide HIPAA compliance plan, which we believe complies with the HIPAA regulations. The HIPAA regulations have and will continue to impose significant costs on our facilities in order to comply with these standards. Our operations are also subject to any federal or state privacy-related laws that are more restrictive than the privacy regulations issued under HIPAA. These laws vary and could impose additional penalties for privacy and security breaches. In December 2024, HHS issued a notice of proposed rulemaking proposing several changes to HIPAA’s security rule, including, among other things, requiring written procedures to respond to security incidents, annual security compliance audits, encryption of PHI, and use of multi-factor authentication. These requirements could change before the proposed rule is finalized.</w:t>
      </w:r>
    </w:p>
    <w:p>
      <w:pPr>
        <w:spacing w:after="0" w:line="198" w:lineRule="exact"/>
        <w:rPr>
          <w:sz w:val="20"/>
          <w:szCs w:val="20"/>
          <w:color w:val="auto"/>
        </w:rPr>
      </w:pPr>
    </w:p>
    <w:p>
      <w:pPr>
        <w:jc w:val="both"/>
        <w:ind w:firstLine="61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Climate Laws. </w:t>
      </w:r>
      <w:r>
        <w:rPr>
          <w:rFonts w:ascii="Times New Roman" w:cs="Times New Roman" w:eastAsia="Times New Roman" w:hAnsi="Times New Roman"/>
          <w:sz w:val="17"/>
          <w:szCs w:val="17"/>
          <w:color w:val="auto"/>
        </w:rPr>
        <w:t>In 2023, California enacted SB 253 and SB 261, which require new climate disclosures from companies doing business in California. SB</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253 requires companies with annual revenues of $1 billion or more to disclose their greenhouse gas emissions. SB 261 requires companies with annual revenues of $500 million or more to disclose their climate-related risks and the measures they use to reduce and adapt to those risks. These reports were expected to be due from companies in 2026, but the Ninth Circuit recently enjoined the enforcement of SB 261 and California has accordingly postponed the associated deadlines. SB 253 is currently subject to similar litigation. Additional details regarding the application and requirements of these laws will be included in future regulations.</w:t>
      </w:r>
    </w:p>
    <w:p>
      <w:pPr>
        <w:spacing w:after="0" w:line="192"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Antitrust Laws. </w:t>
      </w:r>
      <w:r>
        <w:rPr>
          <w:rFonts w:ascii="Times New Roman" w:cs="Times New Roman" w:eastAsia="Times New Roman" w:hAnsi="Times New Roman"/>
          <w:sz w:val="17"/>
          <w:szCs w:val="17"/>
          <w:color w:val="auto"/>
        </w:rPr>
        <w:t>We are also subject to federal and state antitrust laws. Enforcement of the antitrust laws against healthcare providers is common,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antitrust liability may arise in a wide variety of circumstances, including third party contracting, physician relations, joint venture, merger, affiliation and acquisition activities. In some respects, the application of federal and state antitrust laws to healthcare is still evolving, and enforcement activity by federal and state agencies appears to be increasing. At various times, healthcare providers and insurance and managed care organizations may be subject to an investigation by a governmental agency charged with the enforcement of antitrust laws or may be subject to administrative or judicial action by a federal or state agency or a private party. Violators of the antitrust laws could be subject to criminal and civil enforcement by federal and state agencies, as well as by private litigants.</w:t>
      </w:r>
    </w:p>
    <w:p>
      <w:pPr>
        <w:spacing w:after="0" w:line="194"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Regulations Specific to Senior Living Communities. </w:t>
      </w:r>
      <w:r>
        <w:rPr>
          <w:rFonts w:ascii="Times New Roman" w:cs="Times New Roman" w:eastAsia="Times New Roman" w:hAnsi="Times New Roman"/>
          <w:sz w:val="17"/>
          <w:szCs w:val="17"/>
          <w:color w:val="auto"/>
        </w:rPr>
        <w:t>Senior living services revenue is primarily derived from private pay residents at rates we establish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based upon the needs of the resident, the amount of services we provide the resident, and market rate environment in the area of operation. In addition, Medicaid or other state-specific programs may supplement payments for board and care services provided in senior living communities. A majority of states provide, or are approved to provide, Medicaid payments for personal care and medical services to some residents in licensed senior living communities under waivers granted by or under Medicaid state plans approved by CMS. State Medicaid programs control costs for assisted living and other home- and community-based services by various means such as restrictive financial and functional eligibility standards, enrollment limits and waiting lists. States that administer Medicaid programs for services in senior living communities are responsible for monitoring the services at, and physical conditions of, the participating communities. As a result of the growth of assisted living in recent years, states have adopted licensing standards applicable to assisted living communities. Most state licensing standards apply to assisted living communities regardless of whether they accept Medicaid funding.</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senior living segment is subject to a variety of federal, state and local environmental laws and regulations. As a senior living services provider, we face regulatory requirements in areas of air and water quality control, medical and low-level radioactive waste management and disposal, asbestos management, response to mold and lead-based paint in our facilities and employee safety.</w:t>
      </w:r>
    </w:p>
    <w:p>
      <w:pPr>
        <w:spacing w:after="0" w:line="19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As an operator of our communities, we also may be required to investigate and remediate hazardous substances that are located on and/or under the property, including any such substances that may have migrated off, or may have been discharged or transported from the property. Part of our operations involves the handling, use, storage, transportation, disposal and discharge of medical, biological, infectious, toxic, flammable and other hazardous materials, wastes, pollutants or contaminants. In addition, we are sometimes unable to determine with certainty whether prior uses of our communities and properties or surrounding properties may have produced continuing environmental contamination or noncompliance, particularly where the timing or cost of making such determinations is not deemed cost-effective. These activities, as well as the possible presence of such materials in, on and under our properties, may result in damage to individuals, property or the environment; may interrupt operations or increase costs; may result in legal liability, damages, injunctions or fines; may result in investigations, administrative proceedings, penalties or other governmental agency actions. Associated costs may not be covered by insurance.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Information</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are subject to the reporting requirements under the Securities Exchange Act of 1934, as amended (the “Exchange Act”). Consequently, we are required to file reports and information with the Securities and Exchange Commission (“SEC”), including reports on the following forms: annual reports on Form 10-K, quarterly reports on Form 10-Q, current reports on Form 8-K, and amendments to those reports filed or furnished pursuant to Section 13(a) or 15(d) of the Exchange Act. These reports and other information concerning our company may be accessed through the SEC’s website at http://www.sec.gov.</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You may also find on our website at www.pennantgroup.com electronic copies of our annual reports on Form 10-K, quarterly reports on Form 10-Q, current reports on Form 8-K and amendments to those reports filed or furnished pursuant to Section 13(a) or 15(d) of the Exchange Act. Such filings are placed on our website as soon as reasonably possible after they are filed with the SEC. All such filings are available free of charge. Information contained in our website is not deemed to be a part of this Annual Report on Form 10-K.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1A. </w:t>
      </w:r>
      <w:r>
        <w:rPr>
          <w:rFonts w:ascii="Times New Roman" w:cs="Times New Roman" w:eastAsia="Times New Roman" w:hAnsi="Times New Roman"/>
          <w:sz w:val="17"/>
          <w:szCs w:val="17"/>
          <w:b w:val="1"/>
          <w:bCs w:val="1"/>
          <w:i w:val="1"/>
          <w:iCs w:val="1"/>
          <w:color w:val="auto"/>
        </w:rPr>
        <w:t>Risk Factors -</w:t>
      </w:r>
    </w:p>
    <w:p>
      <w:pPr>
        <w:spacing w:after="0" w:line="245"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Based on the information currently known to us, we believe that the following information identifies material risk factors affecting our company. However, the risks and uncertainties we face are not limited to those described below. Additional risks and uncertainties may also adversely affect our business. If any of the following risks and uncertainties develops into actual events, these events could have a material adverse effect on our business, financial condition or results of operations. In such case, the trading price of our common stock could decline.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2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revenue could be impacted by federal changes to reimbursement and other aspects of Medicare. </w:t>
      </w:r>
      <w:r>
        <w:rPr>
          <w:rFonts w:ascii="Times New Roman" w:cs="Times New Roman" w:eastAsia="Times New Roman" w:hAnsi="Times New Roman"/>
          <w:sz w:val="17"/>
          <w:szCs w:val="17"/>
          <w:color w:val="auto"/>
        </w:rPr>
        <w:t>We derived 48.4% of our revenue from the Medicare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program for the year ended December 31, 2025, which is typical for our business. In addition, other payors may use published Medicare rates as a basis for reimbursements. The Medicare program and its reimbursement rates, caps, deductibles and rules are subject to frequent change for a variety of reasons, which is discussed in Item 1., </w:t>
      </w:r>
      <w:r>
        <w:rPr>
          <w:rFonts w:ascii="Times New Roman" w:cs="Times New Roman" w:eastAsia="Times New Roman" w:hAnsi="Times New Roman"/>
          <w:sz w:val="17"/>
          <w:szCs w:val="17"/>
          <w:i w:val="1"/>
          <w:iCs w:val="1"/>
          <w:color w:val="auto"/>
        </w:rPr>
        <w:t>Government Regulation</w:t>
      </w:r>
      <w:r>
        <w:rPr>
          <w:rFonts w:ascii="Times New Roman" w:cs="Times New Roman" w:eastAsia="Times New Roman" w:hAnsi="Times New Roman"/>
          <w:sz w:val="17"/>
          <w:szCs w:val="17"/>
          <w:color w:val="auto"/>
        </w:rPr>
        <w:t>. Budget pressures also frequently lead the federal government to reduce or limit reimbursement rates under Medicare, and to adjust when or how those reductions or limitations are implemented, including sometimes doing so retroactively. Additionally, Medicare payments can be delayed or denied (including retroactively) due to determinations that certain costs, services or providers are not covered. Accordingly, if Medicare reimbursement rates are reduced or fail to increase as quickly as our costs, if we do not realize an adequate percentage of billed Medicare charges, or if there are changes in the way these programs pay for services or what services or providers are covered, our business and results of operations would be adversely affected. CMS has also introduced in the past, and will likely introduce in the future, new payment models, such as value-based arrangements or payment models that look to numerous factors in order to issue full payment or determine the maximum amount payable, in markets in which we operate. Those models may depend on the formation of preferred provider relationships among payors and providers. Our operations may not successfully implement or adapt to these changes and our operations could be materially impacted.</w:t>
      </w:r>
    </w:p>
    <w:p>
      <w:pPr>
        <w:spacing w:after="0" w:line="20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Reductions in Medicaid reimbursement rates or changes in the rules governing the Medicaid program could have a material, adverse effect on our revenues, financial condition and results of operations. </w:t>
      </w:r>
      <w:r>
        <w:rPr>
          <w:rFonts w:ascii="Times New Roman" w:cs="Times New Roman" w:eastAsia="Times New Roman" w:hAnsi="Times New Roman"/>
          <w:sz w:val="17"/>
          <w:szCs w:val="17"/>
          <w:color w:val="auto"/>
        </w:rPr>
        <w:t>We derived 13.1% of our revenue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color w:val="auto"/>
        </w:rPr>
        <w:t>from Medicaid programs for the year ended December 31, 2025, which is typical for our business. Any budget reductions or funding restrictions, discontinuance or reduction of federal matching, change in payment methodology or delays in states in which we operate could adversely affect our net patient service revenue and profitability. Like Medicare payments, Medicaid payments can be delayed due to budgetary constraints of the state or state agencies responsible for making such payments, and Medicaid payments may be declined (including retroactively) due to determinations that certain costs, services or providers are not covered by the state Medicaid agency or its intermediary organizations. Additionally, in many states where we operate Medicaid benefits are administered through Medicaid Managed Care Organizations (“MCOs”), which are operated by private insurance companies. These MCOs may apply different, stricter standards for reimbursement and prior authorization of our services, which may further adversely affect our ability to be paid for our services. We can expect continuing cost containment pressures on Medicaid outlays, whether administered directly by a state program or through an MCO, for our services. Also, the OBBBA’s enactment may result in significant impacts to how states fund their Medicaid programs, including who is eligible to participate, potentially resulting in significant and adverse effects on our revenues, financial condition, and operations.</w:t>
      </w:r>
    </w:p>
    <w:p>
      <w:pPr>
        <w:spacing w:after="0" w:line="19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Reforms to the U.S. healthcare system continue to impose new requirements upon us and may lower our reimbursements. </w:t>
      </w:r>
      <w:r>
        <w:rPr>
          <w:rFonts w:ascii="Times New Roman" w:cs="Times New Roman" w:eastAsia="Times New Roman" w:hAnsi="Times New Roman"/>
          <w:sz w:val="17"/>
          <w:szCs w:val="17"/>
          <w:color w:val="auto"/>
        </w:rPr>
        <w:t>Healthcare reform is a key political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legislative focal point. We cannot predict what effect legislative or regulatory changes (including, for instance, proposals for Medicare-for-All or public option insurers operated by one or more individual states), will have on our business, including the demand for our services or the amount of reimbursement available for those services. Such changes may impact the structure, organization, and priorities of the Department of Health and Human Services and its sub-agencies, including CMS. The full impact of the current presidential administration, outcomes of the mid-term elections in 2026, and the legislative consequences of those mid-term elections are not yet fully known for this industry, and our industry may be affected by the 2026 mid-term election outcomes. It is possible new laws may lower reimbursement or increase the cost of doing business and adversely affect our business.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are subject to various government reviews, audits and investigations that could adversely affect our business, including an obligation to refund amounts previously paid to us, potential criminal charges, the imposition of fines, and/or the loss of our right to participate in Medicare and Medicaid programs. </w:t>
      </w:r>
      <w:r>
        <w:rPr>
          <w:rFonts w:ascii="Times New Roman" w:cs="Times New Roman" w:eastAsia="Times New Roman" w:hAnsi="Times New Roman"/>
          <w:sz w:val="17"/>
          <w:szCs w:val="17"/>
          <w:color w:val="auto"/>
        </w:rPr>
        <w:t>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discussed in greater detail in Item 1., </w:t>
      </w:r>
      <w:r>
        <w:rPr>
          <w:rFonts w:ascii="Times New Roman" w:cs="Times New Roman" w:eastAsia="Times New Roman" w:hAnsi="Times New Roman"/>
          <w:sz w:val="17"/>
          <w:szCs w:val="17"/>
          <w:i w:val="1"/>
          <w:iCs w:val="1"/>
          <w:color w:val="auto"/>
        </w:rPr>
        <w:t>Government Regulation</w:t>
      </w:r>
      <w:r>
        <w:rPr>
          <w:rFonts w:ascii="Times New Roman" w:cs="Times New Roman" w:eastAsia="Times New Roman" w:hAnsi="Times New Roman"/>
          <w:sz w:val="17"/>
          <w:szCs w:val="17"/>
          <w:color w:val="auto"/>
        </w:rPr>
        <w:t>, as a result of our participation in the Medicaid and Medicare programs, we are frequently subject to various governmental reviews, audits and investigations to verify our compliance with these programs. In addition to routine audits, in its November 2023 Final Rule, CMS finalized a provisional period of enhanced oversight, including prepayment medical reviews, for all hospice providers that are newly enrolled or undergo a change of ownership, which expanded in June 2024 to include reactivated hospice providers in states where we operate. In January 2025, CMS increased the number of states subject to the provisional period of enhanced oversight, and in January 2026 further expanded the number of states subject to this enhanced oversight to six. Private pay sources also reserve the right to conduct audits. Disagreements about billing and reimbursement are common in our industry due in part to the subjectivity inherent in patient diagnosis and care, record keeping, claims processing and other aspects of the patient service and reimbursement processes. An adverse review, audit or investigation could result in (1) an obligation to refund amounts previously paid to us by payors in amounts that could vastly exceed the revenue derived from claims actually reviewed in the audit, and could be material to our business; (2) state or federal agencies imposing fines, penalties and other sanctions on us; (3) suspension of Medicare or Medicaid payments (4) loss of our right to participate in the Medicare or Medicaid programs or one or more private payor networks; (5) an increase in private litigation against us; and (6) damage to our reputation with potential residents, referral sources, and others in various markets.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In cases where claim and documentation review by any CMS contractor results in repeated poor performance, an operation can be subjected to protracted oversight. Sustained failure to demonstrate improvement towards meeting all claim filing and documentation requirements could ultimately lead to Medicare decertification. Additionally, both federal and state government agencies have heightened and coordinated civil and criminal enforcement efforts as part of numerous ongoing investigations of healthcare companies. The focuses of these investigations include among other things: cost reporting and billing practices; quality of care; financial relationships with referral sources; and medical necessity of services provided. If any of our affiliated operations is decertified, loses its license(s), or is subject to criminal charges or civil claims, administrative sanctions or penalties, our revenue, financial condition or results of operations would be adversely affected. We or some of the key personnel of our independent operating subsidiaries could also be temporarily or permanently excluded from future participation in state and federal healthcare reimbursement programs such as Medicaid and Medicare. In addition, the report of such issues at any of our affiliated operations could harm our reputation for quality care and could cause us to be in default under some of our agreements, including agreements governing outstanding indebtedness. Responding to audits, litigation or enforcement efforts diverts material time, resources and attention, and could have a materially detrimental impact on our results of operations during and after any such investigation or proceedings, regardless of whether we prevail.</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If we do not operate in compliance with the extensive laws and regulations to which we are subject, or if these laws and regulations change, we could be required to make significant expenditures or change our operations to bring our operations into compliance. </w:t>
      </w:r>
      <w:r>
        <w:rPr>
          <w:rFonts w:ascii="Times New Roman" w:cs="Times New Roman" w:eastAsia="Times New Roman" w:hAnsi="Times New Roman"/>
          <w:sz w:val="17"/>
          <w:szCs w:val="17"/>
          <w:color w:val="auto"/>
        </w:rPr>
        <w:t>We, like other companies in the healthcare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industry, are required to comply with extensive and complex laws and regulations at the federal, state and local government levels as discussed in greater detail in Item 1., </w:t>
      </w:r>
      <w:r>
        <w:rPr>
          <w:rFonts w:ascii="Times New Roman" w:cs="Times New Roman" w:eastAsia="Times New Roman" w:hAnsi="Times New Roman"/>
          <w:sz w:val="17"/>
          <w:szCs w:val="17"/>
          <w:i w:val="1"/>
          <w:iCs w:val="1"/>
          <w:color w:val="auto"/>
        </w:rPr>
        <w:t>Government Regulation.</w:t>
      </w:r>
      <w:r>
        <w:rPr>
          <w:rFonts w:ascii="Times New Roman" w:cs="Times New Roman" w:eastAsia="Times New Roman" w:hAnsi="Times New Roman"/>
          <w:sz w:val="17"/>
          <w:szCs w:val="17"/>
          <w:color w:val="auto"/>
        </w:rPr>
        <w:t xml:space="preserve"> These laws and regulations are subject to frequent and unpredictable change. If we fail to comply with these applicable laws and regulations, we could suffer civil or criminal penalties and other detrimental consequences, including denial of reimbursement, imposition of fines, temporary suspension of admission of new patients, suspension or decertification from the Medicaid and Medicare programs, restrictions on our ability to acquire new operations or expand or operate existing operations, the loss of our licenses to operate and the loss of our ability to participate in federal and state reimbursement programs. These laws and regulations are complex, and we do not always have the benefit of significant regulatory or judicial interpretation of these laws and regulations. Changing interpretations or enforcement of these laws and regulations could subject our current or past practices to allegations of impropriety or illegality or could require us to change our operations, equipment, personnel, services, capital expenditure programs and operating expenses.</w:t>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Public and government calls for increased survey and enforcement efforts toward our industries could result in increased scrutiny and potential sanctions or costly remedies. </w:t>
      </w:r>
      <w:r>
        <w:rPr>
          <w:rFonts w:ascii="Times New Roman" w:cs="Times New Roman" w:eastAsia="Times New Roman" w:hAnsi="Times New Roman"/>
          <w:sz w:val="17"/>
          <w:szCs w:val="17"/>
          <w:color w:val="auto"/>
        </w:rPr>
        <w:t>Government authorities have increased the scope or number of inspections or surveys and the severity of consequent citations for alleged failure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to comply with regulatory requirements. As discussed in Item 1., </w:t>
      </w:r>
      <w:r>
        <w:rPr>
          <w:rFonts w:ascii="Times New Roman" w:cs="Times New Roman" w:eastAsia="Times New Roman" w:hAnsi="Times New Roman"/>
          <w:sz w:val="17"/>
          <w:szCs w:val="17"/>
          <w:i w:val="1"/>
          <w:iCs w:val="1"/>
          <w:color w:val="auto"/>
        </w:rPr>
        <w:t>Government Regulation</w:t>
      </w:r>
      <w:r>
        <w:rPr>
          <w:rFonts w:ascii="Times New Roman" w:cs="Times New Roman" w:eastAsia="Times New Roman" w:hAnsi="Times New Roman"/>
          <w:sz w:val="17"/>
          <w:szCs w:val="17"/>
          <w:color w:val="auto"/>
        </w:rPr>
        <w:t>, from time to time in the ordinary course of business, we receive deficiency reports from state and federal regulatory bodies resulting from such inspections or surveys. Although most inspection deficiencies are resolved through an agreed-upon plan of corrective action, the reviewing agency typically has the authority to take further action against a licensed or certified operation, which could result in the imposition of fines and penalties, reports to the national practitioner data bank, imposition of a provisional or conditional license, suspension or revocation of a license, suspension of new admission or bed holds, loss of certification as a provider under state or federal healthcare programs or termination of the operations’ payment relationships with those programs, or imposition of other sanctions, including criminal penalties. Furthermore, in some states, citations issued against one operation can affect other operations in the state, particularly where there is any element of common or affiliated ownership. Revocation of a license or decertification at a given operation could therefore impair our ability to obtain new licenses or to renew existing licenses at other operations, which may also trigger defaults or cross-defaults under our leases and our credit arrangements, or adversely affect our ability to operate in the future. If state or federal regulators were to determine, formally or otherwise, that one operation’s regulatory history ought to impact another of our existing or prospective businesses, this could also increase costs, result in additional fines or penalties, result in increased scrutiny by state and federal survey agencies, and impact our expansion plans as well as our ongoing operations. In addition, from time to time, we may opt to voluntarily stop accepting new patients pending completion of a new state survey, to avoid straining staff and other resources while retraining staff, upgrading operating systems or making other operational improvements, all of which can impact our financial results.</w:t>
      </w:r>
    </w:p>
    <w:p>
      <w:pPr>
        <w:spacing w:after="0" w:line="200" w:lineRule="exact"/>
        <w:rPr>
          <w:sz w:val="20"/>
          <w:szCs w:val="20"/>
          <w:color w:val="auto"/>
        </w:rPr>
      </w:pP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Future cost containment initiatives undertaken by payors may limit our future revenue and profitability</w:t>
      </w:r>
      <w:r>
        <w:rPr>
          <w:rFonts w:ascii="Times New Roman" w:cs="Times New Roman" w:eastAsia="Times New Roman" w:hAnsi="Times New Roman"/>
          <w:sz w:val="17"/>
          <w:szCs w:val="17"/>
          <w:color w:val="auto"/>
        </w:rPr>
        <w:t>. Our managed care revenue and profitability may be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affected by continuing efforts of third-party payors to maintain or reduce costs of healthcare by lowering payment rates, narrowing the scope of covered services and network providers, increasing case management review of services and negotiating pricing. In addition, sustained unfavorable economic conditions may affect the number of patients enrolled in managed care programs and the profitability of managed care companies, which could result in reduced revenue due to reduced reimbursement for our services. There can be no assurance that third-party payors will make timely payments for our services, not seek recoupment of payments on grounds that may or may not be valid, or that we will continue to maintain our current payor or revenue mix. We are continuing our efforts to develop our private pay sources of revenue. Any changes in payment levels from current or future third-party payors could have a material adverse effect on our business, financial condition, results of operations and cash flows. In addition, enrollment in Medicare Advantage programs continues to grow nationwide, and an increasing proportion of Medicare and Medicaid funds are managed by MCOs that also act as third-party payors who may seek to reduce reimbursement as described above.</w:t>
      </w:r>
    </w:p>
    <w:p>
      <w:pPr>
        <w:spacing w:after="0" w:line="1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Any economic downturn, deepening of an economic downturn, continued deficit spending by the Federal Government or state budget pressures may result in a reduction in payments and covered services. </w:t>
      </w:r>
      <w:r>
        <w:rPr>
          <w:rFonts w:ascii="Times New Roman" w:cs="Times New Roman" w:eastAsia="Times New Roman" w:hAnsi="Times New Roman"/>
          <w:sz w:val="17"/>
          <w:szCs w:val="17"/>
          <w:color w:val="auto"/>
        </w:rPr>
        <w:t>Adverse economic developments in the United States could lead to a reduction in Federal Government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expenditures, including government-funded programs in which we participate, such as Medicare and Medicaid. In addition, if at any time the Federal Government is not able to meet its debt payments due to Congress failing to appropriate funds for the payment of these obligations, the Federal Government may stop or delay making payments on its obligations, including funding for government programs in which we participate, such as Medicare and Medicaid. Failure of the government to make payments under these programs could have a material adverse effect on our business and consolidated financial condition, results of operations and cash flows. Further, any failure by the United States Congress to complete the federal budget process and fund government operations may result in a Federal Government shutdown, potentially causing us to incur substantial costs without reimbursement under the Medicare program, which could have a material adverse effect on our business and consolidated financial condition, results of operations and cash</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flows. As an example, the failure of the 2011 Joint Select Committee to meet its Deficit Reduction goal resulted in an automatic reduction in Medicare home health and hospice payments of 2% beginning April 1, 2013. However, these automatic reductions, known as “sequestration,” have not been implemented due to numerous legislative efforts to suspend these reductions since 2020, including most recently: the Infrastructure Investment and Jobs Act of 2023, Consolidated Appropriations Act of 2024, American Relief Act of 2025, and most recently the OBBBA. Nevertheless, this sequestration taking effect remains a possibility. In addition, the Federal Reserve has increased interest rates repeatedly and significantly in recent quarters and may further increase or decrease interest rates in future quarters, impacting our cost of capital, our operating costs, and the economy as a whole.</w:t>
      </w:r>
    </w:p>
    <w:p>
      <w:pPr>
        <w:spacing w:after="0" w:line="1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Increased competition for, or a shortage of, nurses and other skilled personnel could increase our staffing and labor costs and negatively impact our operations. </w:t>
      </w:r>
      <w:r>
        <w:rPr>
          <w:rFonts w:ascii="Times New Roman" w:cs="Times New Roman" w:eastAsia="Times New Roman" w:hAnsi="Times New Roman"/>
          <w:sz w:val="17"/>
          <w:szCs w:val="17"/>
          <w:color w:val="auto"/>
        </w:rPr>
        <w:t>Our success depends upon our ability to retain and attract nurses, certified nurse assistants, social workers and speech, physical and occupational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therapists, as well as skilled personnel who are responsible for the day-to-day operations of each of our affiliated operations. If we fail to attract and retain qualified and skilled personnel, or if the associated costs to do so increase, our independent operating subsidiaries’ ability to conduct their business operations effectively could be harmed. Staffing challenges increased during the pandemic and have persisted due to health care worker burnout, vaccine mandates, and wage inflation, increasing the competition for qualified staff and cost of retaining personnel, and continue to affect our operations. There can be no assurance that we will be able to attract and retain key personnel going forward.</w:t>
      </w:r>
    </w:p>
    <w:p>
      <w:pPr>
        <w:spacing w:after="0" w:line="1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depend on our management team and local leaders, and the loss of their services could harm our business. </w:t>
      </w:r>
      <w:r>
        <w:rPr>
          <w:rFonts w:ascii="Times New Roman" w:cs="Times New Roman" w:eastAsia="Times New Roman" w:hAnsi="Times New Roman"/>
          <w:sz w:val="17"/>
          <w:szCs w:val="17"/>
          <w:color w:val="auto"/>
        </w:rPr>
        <w:t>We believe that our success depends in part 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continued services of our executive management and local leadership teams. The loss of, or failure to recruit, such key personnel could have a material adverse effect on our business and could adversely affect our strategic relationships and impede our ability to execute our business strategies. The market for qualified individuals is highly competitive and finding and recruiting suitable replacements for our leaders may be difficult, time-consuming and costly.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hospice independent operating subsidiaries are subject to annual Medicare caps calculated by Medicare. </w:t>
      </w:r>
      <w:r>
        <w:rPr>
          <w:rFonts w:ascii="Times New Roman" w:cs="Times New Roman" w:eastAsia="Times New Roman" w:hAnsi="Times New Roman"/>
          <w:sz w:val="17"/>
          <w:szCs w:val="17"/>
          <w:color w:val="auto"/>
        </w:rPr>
        <w:t>With respect to our hospice independent operating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subsidiaries, overall payments made by Medicare for each Medicare beneficiary are subject to caps calculated by Medicare, as discussed in greater detail in Item 1., </w:t>
      </w:r>
      <w:r>
        <w:rPr>
          <w:rFonts w:ascii="Times New Roman" w:cs="Times New Roman" w:eastAsia="Times New Roman" w:hAnsi="Times New Roman"/>
          <w:sz w:val="17"/>
          <w:szCs w:val="17"/>
          <w:i w:val="1"/>
          <w:iCs w:val="1"/>
          <w:color w:val="auto"/>
        </w:rPr>
        <w:t>Government Regulation</w:t>
      </w:r>
      <w:r>
        <w:rPr>
          <w:rFonts w:ascii="Times New Roman" w:cs="Times New Roman" w:eastAsia="Times New Roman" w:hAnsi="Times New Roman"/>
          <w:sz w:val="17"/>
          <w:szCs w:val="17"/>
          <w:color w:val="auto"/>
        </w:rPr>
        <w:t>. If payments received by any one of our hospice provider numbers exceeds the caps for the beneficiary, we are required to reimburse Medicare for payments received in excess of the caps, which could have a material adverse effect on our business. Additionally, the annual increase in Medicare beneficiary caps may not keep pace with the rate of inflation or increased operating costs as it applies to the costs of caring for such patients, potentially resulting in our hospice independent operating subsidiaries treating these patients at a loss.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Security breaches and other cyber-security incidents could subject us to significant liability. </w:t>
      </w:r>
      <w:r>
        <w:rPr>
          <w:rFonts w:ascii="Times New Roman" w:cs="Times New Roman" w:eastAsia="Times New Roman" w:hAnsi="Times New Roman"/>
          <w:sz w:val="17"/>
          <w:szCs w:val="17"/>
          <w:color w:val="auto"/>
        </w:rPr>
        <w:t>Data breaches and leaks, which represent a material risk to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business, are reported to have occurred with greater frequency and severity in 2025 than in prior years, in which there had already been a drastic increase in the frequency of these incidents. Our business depends on the proper functioning and availability of our computer systems and networks. Our security measures designed to protect our information systems, data and patient health information and disaster recovery plan may not prevent damage, interruption, or breach of our information systems and operations. In addition, hardware, software or applications we use may contain defects in design or manufacture or other problems that could unexpectedly compromise the security of our information systems. Unauthorized parties may attempt to gain access to our systems or operations, or those of third parties with whom we do business, through fraud or other forms of deceiving our employees or contractors. In addition, costs and potential problems and interruptions associated with the implementation of new or upgraded systems and technology or with maintenance or support of existing systems also could disrupt or reduce the efficiency of our operations. If a cyber-security attack or other unauthorized attempt to access our systems, such as a ransomware attack, were to be successful, the incident could result in the theft, destruction, loss, misappropriation or release of confidential information or intellectual property, and could cause delays or disruptions that may materially impact our ability to provide various healthcare services. Any successful cyber-security attack or other unauthorized attempt to access our systems or operations also could result in negative publicity which could damage our reputation or brand with our patients, referral sources, payors or other third parties and could subject us to substantial regulatory, civil or criminal penalties, fines, investigations and enforcement actions, including under HIPAA and other federal and state privacy laws, including, for example, the California Consumer Privacy Act and Nevada Privacy Law, which includes a private right of action that may expose us to private litigation regarding our privacy practices and significant damages awards or settlements in civil litigation.</w:t>
      </w:r>
    </w:p>
    <w:p>
      <w:pPr>
        <w:spacing w:after="0" w:line="19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State efforts to regulate or deregulate the healthcare services industry or the construction or expansion of the number of home health, hospice or senior living operations could impair our ability to expand or result in increased competition. </w:t>
      </w:r>
      <w:r>
        <w:rPr>
          <w:rFonts w:ascii="Times New Roman" w:cs="Times New Roman" w:eastAsia="Times New Roman" w:hAnsi="Times New Roman"/>
          <w:sz w:val="17"/>
          <w:szCs w:val="17"/>
          <w:color w:val="auto"/>
        </w:rPr>
        <w:t>As discussed in greater detail in Item 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Government Regulation</w:t>
      </w:r>
      <w:r>
        <w:rPr>
          <w:rFonts w:ascii="Times New Roman" w:cs="Times New Roman" w:eastAsia="Times New Roman" w:hAnsi="Times New Roman"/>
          <w:sz w:val="17"/>
          <w:szCs w:val="17"/>
          <w:color w:val="auto"/>
        </w:rPr>
        <w:t>, our ability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acquire or establish new home health, hospice or senior living operations or expand or provide new services at existing operations would be adversely affected if we are unable to obtain the necessary approvals, if there are changes in the standards applicable to those approvals, new laws or changes in</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applicable laws governing CON requirements (or increasing the circumstances where a CON is needed), or if we experience delays and increased expenses associated with obtaining those approvals. We may not be able to obtain licensure, CON approval, Medicare or Medicaid certification, Attorney General approval or other necessary approvals for future expansion projects. In recent years, states have introduced additional regulatory reviews and other barriers to health care transactions. As of December 31, 2025, five (5) of the states we operate in have a state law requiring clearance from state authorities to engage in certain healthcare-related transactions within the state (California, Colorado, Connecticut, Nevada, and Oregon), and more states where our independent operating subsidiaries operate, or in which we seek to expand, may enact similar laws. Moratoriums on hospice or home enrollments or transfers, such as California’s moratorium on hospice licensing, could also be imposed at the federal level. Conversely, and specific to the highly competitive senior living industry, the elimination or reduction of state regulations that limit the construction, expansion or renovation of new or existing communities could result in increased competition to us. In general, regulatory and other barriers to entry in the senior living industry are not prohibitive. Over the last several years, there has been a significant increase in the construction of new senior living communities, including in the markets where we provide services. This has resulted in increased competition in many of our markets. Such new competition may limit our ability to attract new residents, raise rents or otherwise expand our senior living business, which could have a material adverse effect on our revenues, results of operations and cash flow.</w:t>
      </w:r>
    </w:p>
    <w:p>
      <w:pPr>
        <w:spacing w:after="0" w:line="1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Changes in federal and state employment-related laws and regulations could increase our cost of doing business. </w:t>
      </w:r>
      <w:r>
        <w:rPr>
          <w:rFonts w:ascii="Times New Roman" w:cs="Times New Roman" w:eastAsia="Times New Roman" w:hAnsi="Times New Roman"/>
          <w:sz w:val="17"/>
          <w:szCs w:val="17"/>
          <w:color w:val="auto"/>
        </w:rPr>
        <w:t>Our independent operating subsidiaries 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subject to a variety of federal and state employment-related laws and regulations, including, but not limited to, the U.S. Fair Labor Standards Act which governs such matters as minimum wages, overtime and other working conditions, the Americans with Disabilities Act (the “ADA”) and similar state laws that provide civil rights protections to individuals with disabilities in the context of employment, public accommodations and other areas, the National Labor Relations Act, regulations of the Equal Employment Opportunity Commission, regulations of the OCR, regulations of state Attorneys General, family leave mandates and a variety of similar laws. Because labor represents a large portion of our operating costs, changes in federal and state employment-related laws and regulations could increase our cost of doing business. We also may be subject to employee-related claims such as wrongful discharge, discrimination or violation of equal employment law. Employment claims, such as wage and hour claims, frequently are the subject of class action lawsuits in many states in which our independent affiliates operate, including, for example, California.</w:t>
      </w:r>
    </w:p>
    <w:p>
      <w:pPr>
        <w:spacing w:after="0" w:line="1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Required regulatory approvals could delay or prohibit transfers of our healthcare operations, which could result in periods in which we are unable to receive reimbursement for such properties. </w:t>
      </w:r>
      <w:r>
        <w:rPr>
          <w:rFonts w:ascii="Times New Roman" w:cs="Times New Roman" w:eastAsia="Times New Roman" w:hAnsi="Times New Roman"/>
          <w:sz w:val="17"/>
          <w:szCs w:val="17"/>
          <w:color w:val="auto"/>
        </w:rPr>
        <w:t>Our independent operating subsidiaries must be licensed under applicable state law and, depending upon the type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operation, certified or approved as providers under the Medicare and/or Medicaid programs. In the process of acquiring or transferring operating assets, our operations must receive change of ownership approvals from state licensing agencies, Medicare and Medicaid, and third-party payors. If there are any delays in receiving regulatory approvals from the applicable federal, state or local government agencies, or from independent accreditation authorities that may be required by federal, state or local government agencies, or the inability to receive such approvals, such delays could result in delayed or lost reimbursement related to periods of service prior to the receipt of such approvals. As mentioned above, California legislatively prohibited the licensing of new hospices, and limited the transfer of existing licenses through January 1, 2027, and other states where we operate may introduce similar legislation in the future (see </w:t>
      </w:r>
      <w:r>
        <w:rPr>
          <w:rFonts w:ascii="Times New Roman" w:cs="Times New Roman" w:eastAsia="Times New Roman" w:hAnsi="Times New Roman"/>
          <w:sz w:val="17"/>
          <w:szCs w:val="17"/>
          <w:i w:val="1"/>
          <w:iCs w:val="1"/>
          <w:color w:val="auto"/>
        </w:rPr>
        <w:t>Licensure and CON</w:t>
      </w:r>
      <w:r>
        <w:rPr>
          <w:rFonts w:ascii="Times New Roman" w:cs="Times New Roman" w:eastAsia="Times New Roman" w:hAnsi="Times New Roman"/>
          <w:sz w:val="17"/>
          <w:szCs w:val="17"/>
          <w:color w:val="auto"/>
        </w:rPr>
        <w:t>). In 2024, CMS implemented a rule prohibiting Medicare-enrolled hospices from transferring a majority of ownership or engaging in any similar transaction more than once in a 36-month period. States, including Oregon, have also passed or proposed laws inhibiting the corporate ownership or management of health care entities.</w:t>
      </w:r>
    </w:p>
    <w:p>
      <w:pPr>
        <w:spacing w:after="0" w:line="20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Compliance with federal and state fair housing, fire, safety and other regulations may require us to make unanticipated expenditures, which could be costly to us. </w:t>
      </w:r>
      <w:r>
        <w:rPr>
          <w:rFonts w:ascii="Times New Roman" w:cs="Times New Roman" w:eastAsia="Times New Roman" w:hAnsi="Times New Roman"/>
          <w:sz w:val="17"/>
          <w:szCs w:val="17"/>
          <w:color w:val="auto"/>
        </w:rPr>
        <w:t>We must incur the expense of complying with the federal Fair Housing Act and similar state laws, and applicable fire and safety regulations, building codes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other land use regulations and food licensing or certification requirements as they may be adopted by governmental agencies and bodies from time to time and the expense may be substantial. Changes to these laws may require us to close operations, limit occupancy, or make other costly changes.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revenue, financial condition and results of operations could be negatively impacted by any changes in the acuity mix of patients in our affiliated operations as well as payor mix and payment methodologies. </w:t>
      </w:r>
      <w:r>
        <w:rPr>
          <w:rFonts w:ascii="Times New Roman" w:cs="Times New Roman" w:eastAsia="Times New Roman" w:hAnsi="Times New Roman"/>
          <w:sz w:val="17"/>
          <w:szCs w:val="17"/>
          <w:color w:val="auto"/>
        </w:rPr>
        <w:t>Our revenue is determined in part by the acuity of home health and hospice patients and senior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living residents. Changes in the acuity level of patients we attract, as well as our payor mix among Medicare, Medicaid, managed care organizations and private payors, may significantly affect our profitability because we generally receive higher reimbursement rates for high acuity patients and because the payors reimburse us at different rates. For the year ended December 31, 2025, 61.5% of our revenue was provided by government payors that reimburse us at predetermined rates, which is typical for our business. If we fail to maintain our proportion of high acuity patients or if there is any significant increase in the percentage of the patients of our independent operating subsidiaries for whom we receive Medicaid reimbursement, our results of operations may be adversely affected. Among other initiatives, these payors attempt to control healthcare costs by contracting with healthcare providers to obtain services on a discounted basis. We believe that this trend will continue and may limit reimbursements for healthcare services. If insurers or managed care</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companies from whom we receive substantial payments were to reduce the amounts they pay for services, we may lose patients if we choose not to renew our contracts with these insurers at lower rates.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are subject to litigation that could result in significant legal costs and large settlement amounts or damage awards. </w:t>
      </w:r>
      <w:r>
        <w:rPr>
          <w:rFonts w:ascii="Times New Roman" w:cs="Times New Roman" w:eastAsia="Times New Roman" w:hAnsi="Times New Roman"/>
          <w:sz w:val="17"/>
          <w:szCs w:val="17"/>
          <w:color w:val="auto"/>
        </w:rPr>
        <w:t>Our business involves a significant risk</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liability given the age and health of the patients and residents of our independent operating subsidiaries and the services we provide. The frequency and severity of litigation in the healthcare industry has increased, due in part to large verdicts and punitive damage awards. Claims are filed based upon a wide variety of assertions and theories, including deficiencies in conditions of participation under certain state and federal healthcare programs and wage and hour class actions. Plaintiffs’ attorneys have become increasingly aggressive in their pursuit of claims against healthcare providers, including home health, hospice and senior living providers, employing a wide variety of advertising and solicitation activities to generate more claims. Additionally, California, through its passage of AB 35, has increased the non-economic (i.e., pain and suffering) damages that may be recovered by attorneys on claims of professional negligence or malpractice in healthcare cases filed in California, and may embolden plaintiff’s attorneys to be more aggressive in their pursuit of facilities operated by our independent operating subsidiaries and the services provided through them. Since California’s passage of AB 35, Iowa and Nevada have enacted similar laws that increase the non-economic damages that may serve as the basis for the recovery for attorney’s fees in those states, which may stimulate additional litigation in those states and could have an adverse material effect on our financial performance. The defense of lawsuits may result in significant legal costs, regardless of the outcome. Further, such litigation against us or our independent operating subsidiaries may result in increased liability insurance premiums and/or a decline in available insurance coverage levels, which could materially and adversely affect our business, financial condition and results of operations.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Instances of noncompliance can decrease our revenue. </w:t>
      </w:r>
      <w:r>
        <w:rPr>
          <w:rFonts w:ascii="Times New Roman" w:cs="Times New Roman" w:eastAsia="Times New Roman" w:hAnsi="Times New Roman"/>
          <w:sz w:val="17"/>
          <w:szCs w:val="17"/>
          <w:color w:val="auto"/>
        </w:rPr>
        <w:t>As discussed under Item 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i w:val="1"/>
          <w:iCs w:val="1"/>
          <w:color w:val="auto"/>
        </w:rPr>
        <w:t>Monitoring Compliance in our Operations</w:t>
      </w:r>
      <w:r>
        <w:rPr>
          <w:rFonts w:ascii="Times New Roman" w:cs="Times New Roman" w:eastAsia="Times New Roman" w:hAnsi="Times New Roman"/>
          <w:sz w:val="17"/>
          <w:szCs w:val="17"/>
          <w:color w:val="auto"/>
        </w:rPr>
        <w:t>, we have internal compliance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policies and procedures, including ongoing monitoring and controls, pursuant to which we have identified, and may in the future identify, deficiencies in the assessment of and recordkeeping for patients and residents. We must accrue liabilities for claim costs and interest and repay any amounts due in normal course. Failure to refund overpayments within required time frames (as described in greater detail under Item 1., </w:t>
      </w:r>
      <w:r>
        <w:rPr>
          <w:rFonts w:ascii="Times New Roman" w:cs="Times New Roman" w:eastAsia="Times New Roman" w:hAnsi="Times New Roman"/>
          <w:sz w:val="17"/>
          <w:szCs w:val="17"/>
          <w:i w:val="1"/>
          <w:iCs w:val="1"/>
          <w:color w:val="auto"/>
        </w:rPr>
        <w:t>Government Regulation</w:t>
      </w:r>
      <w:r>
        <w:rPr>
          <w:rFonts w:ascii="Times New Roman" w:cs="Times New Roman" w:eastAsia="Times New Roman" w:hAnsi="Times New Roman"/>
          <w:sz w:val="17"/>
          <w:szCs w:val="17"/>
          <w:color w:val="auto"/>
        </w:rPr>
        <w:t>) could result in FCA liability and other penalties, fines, or sanctions. If future investigations ultimately result in findings of significant billing and reimbursement noncompliance, which require us to record significant additional provisions or remit payments, our business, financial condition and results of operations could be materially and adversely affected.</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may be unable to complete future acquisitions at attractive prices or at all, which may adversely affect our revenue growth. </w:t>
      </w:r>
      <w:r>
        <w:rPr>
          <w:rFonts w:ascii="Times New Roman" w:cs="Times New Roman" w:eastAsia="Times New Roman" w:hAnsi="Times New Roman"/>
          <w:sz w:val="17"/>
          <w:szCs w:val="17"/>
          <w:color w:val="auto"/>
        </w:rPr>
        <w:t>To date, our revenue growth has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been significantly accelerated by our acquisition of new operations. Subject to general market conditions and the availability of essential resources and leadership within our company, we continue to seek home health, hospice and senior living acquisition opportunities that are consistent with our geographic, financial and operating objectives. We face competition for the acquisition of operations and businesses and expect this competition to increase. Based upon factors such as our ability to identify suitable acquisition candidates, the purchase price of the operations, prevailing market conditions, the availability of leadership to manage new operations and our own willingness to take on new operations, the rate at which we have historically acquired home health, hospice and senior living operations has fluctuated and we anticipate similar fluctuation in the future. Further, acquisitions may require financing, which may not be available to us or may be available to us only on terms that are not favorable. If funds are raised through the issuance of additional equity securities, the percentage ownership of our stockholders would be diluted, and any newly issued equity securities may have rights, preferences or privileges senior to those of our common stock. We may acquire operations that prove to be non-strategic or less desirable, and we may consider disposing of such operations or exchanging them for operations which are more desirable.</w:t>
      </w:r>
    </w:p>
    <w:p>
      <w:pPr>
        <w:spacing w:after="0" w:line="200" w:lineRule="exact"/>
        <w:rPr>
          <w:sz w:val="20"/>
          <w:szCs w:val="20"/>
          <w:color w:val="auto"/>
        </w:rPr>
      </w:pP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may not be able to successfully integrate acquired operations, and we may not achieve the benefits we expect from our acquisitions. </w:t>
      </w:r>
      <w:r>
        <w:rPr>
          <w:rFonts w:ascii="Times New Roman" w:cs="Times New Roman" w:eastAsia="Times New Roman" w:hAnsi="Times New Roman"/>
          <w:sz w:val="17"/>
          <w:szCs w:val="17"/>
          <w:color w:val="auto"/>
        </w:rPr>
        <w:t>We may not be able to</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successfully or efficiently integrate new acquisitions with our existing independent operating subsidiaries, culture and systems. We also may determine that renovations of acquired operations and changes in staff and operating management personnel are necessary to successfully integrate those acquisitions into our existing operations. We may not be able to recover the costs incurred to reposition or renovate newly independent operating subsidiaries. The financial benefits we expect to realize from many of our acquisitions are largely dependent upon our ability to improve clinical performance, overcome regulatory deficiencies, rehabilitate or improve the reputation of the operations in the community, increase and maintain census, control costs, and in some cases change the patient acuity mix. Growth also places significant demands on our leaders and operational, financial and management information systems. If we are unable to accomplish any of these objectives at the independent operating subsidiaries we acquire, we will not realize the anticipated benefits and we may experience lower than anticipated profits, or even losses.</w:t>
      </w:r>
    </w:p>
    <w:p>
      <w:pPr>
        <w:spacing w:after="0" w:line="19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 undertaking acquisitions, we may be impacted by costs, liabilities and regulatory issues that may adversely affect our operations. </w:t>
      </w:r>
      <w:r>
        <w:rPr>
          <w:rFonts w:ascii="Times New Roman" w:cs="Times New Roman" w:eastAsia="Times New Roman" w:hAnsi="Times New Roman"/>
          <w:sz w:val="17"/>
          <w:szCs w:val="17"/>
          <w:color w:val="auto"/>
        </w:rPr>
        <w:t>In undertaking acquisitions,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also may be adversely impacted by unforeseen liabilities attributable to the prior providers who operated the acquired operations, against whom we may have little or no recourse. Many operations we have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historically acquired were underperforming prior to the acquisition. Even where operations have been improved, we still may face post-acquisition regulatory issues related to pre-acquisition events. These may include, without limitation, payment recoupment related to our predecessors’ prior noncompliance, the imposition of fines, penalties, operational restrictions or special regulatory status. Further, we may incur post-acquisition compliance risk due to the difficulty or impossibility of immediately or quickly bringing non-compliant operations into full compliance. Diligence materials pertaining to acquisition targets, especially the underperforming operations that often represent the greatest opportunity for return, are often inadequate, inaccurate or impossible to obtain, sometimes requiring us to make acquisition decisions with incomplete information. Operations that we have acquired or may acquire in the future may generate unexpectedly low returns, may cause us to incur substantial losses (including sanctions, fines, penalties, and other liabilities that state and federal authorities may seek to impose upon us under various theories of successor liability despite our efforts to prevent such liabilities during our transactions), may require unexpected levels of management time, expenditures or other resources, or may otherwise not meet a risk profile that our investors find acceptable. We also incur regulatory risk in acquiring certain operations due to the licensing, certification and other regulatory requirements affecting our right to operate the acquired operations, which are frequently obtained post-closing. If we were denied licensure or certification for any reason, we might not realize the expected benefits of the acquisition and would likely incur unanticipated costs and other challenges which could cause our business to suffer.</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If our referral sources fail to view us as an attractive provider, or if our referral sources otherwise refer fewer patients or residents, our patient or resident base may decrease. </w:t>
      </w:r>
      <w:r>
        <w:rPr>
          <w:rFonts w:ascii="Times New Roman" w:cs="Times New Roman" w:eastAsia="Times New Roman" w:hAnsi="Times New Roman"/>
          <w:sz w:val="17"/>
          <w:szCs w:val="17"/>
          <w:color w:val="auto"/>
        </w:rPr>
        <w:t>We rely on appropriate referrals from physicians, hospitals and other healthcare providers in the communities we serve to attract appropriate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residents and patients to our affiliated operations. Our referral sources are not obligated to refer business to us and may refer business to other healthcare providers. If we lose, or fail to maintain, existing relationships with our referral resources, fail to develop new relationships, or if we are perceived by our referral sources as not providing high quality patient care, our independent subsidiaries’ respective censuses could decline and our patient mix could change. In addition, if any of our referral sources have a reduction in patients whom they can refer due to a decrease in their business, our census could decline and patient mix could change.</w:t>
      </w:r>
    </w:p>
    <w:p>
      <w:pPr>
        <w:spacing w:after="0" w:line="194"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If we do not achieve and maintain competitive quality of care ratings from CMS and private organizations engaged in similar monitoring activities, our business may be negatively affected. </w:t>
      </w:r>
      <w:r>
        <w:rPr>
          <w:rFonts w:ascii="Times New Roman" w:cs="Times New Roman" w:eastAsia="Times New Roman" w:hAnsi="Times New Roman"/>
          <w:sz w:val="17"/>
          <w:szCs w:val="17"/>
          <w:color w:val="auto"/>
        </w:rPr>
        <w:t>Providing quality patient care is the cornerstone of our business. We believe that referral sources, residents and patients select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 xml:space="preserve">us in large part because of our reputation for delivering quality care. If we should fail to attain our goals regarding acute care hospitalization readmission rates and other quality metrics, we expect our ability to generate referrals would be adversely impacted, which could have a material adverse effect upon our business, financial condition, results of operations and cash flows. In addition, our home health payment rates could be reduced, as described in Item 1., </w:t>
      </w:r>
      <w:r>
        <w:rPr>
          <w:rFonts w:ascii="Times New Roman" w:cs="Times New Roman" w:eastAsia="Times New Roman" w:hAnsi="Times New Roman"/>
          <w:sz w:val="17"/>
          <w:szCs w:val="17"/>
          <w:i w:val="1"/>
          <w:iCs w:val="1"/>
          <w:color w:val="auto"/>
        </w:rPr>
        <w:t>Government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Regulation - Home Health Value Based Purchasing (HHVBP</w:t>
      </w:r>
      <w:r>
        <w:rPr>
          <w:rFonts w:ascii="Times New Roman" w:cs="Times New Roman" w:eastAsia="Times New Roman" w:hAnsi="Times New Roman"/>
          <w:sz w:val="17"/>
          <w:szCs w:val="17"/>
          <w:color w:val="auto"/>
        </w:rPr>
        <w:t>); further, our star ratings measured by CMS on a five-star basis may decrease, resulting in lower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estimation by potential residents and patients and reducing the likelihood of having those potential residents and patients use our services, as described in Item 1., </w:t>
      </w:r>
      <w:r>
        <w:rPr>
          <w:rFonts w:ascii="Times New Roman" w:cs="Times New Roman" w:eastAsia="Times New Roman" w:hAnsi="Times New Roman"/>
          <w:sz w:val="17"/>
          <w:szCs w:val="17"/>
          <w:i w:val="1"/>
          <w:iCs w:val="1"/>
          <w:color w:val="auto"/>
        </w:rPr>
        <w:t xml:space="preserve">Our Competitive Strengths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Superior Clinical Outcomes and Quality Care.</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If we are unable to obtain insurance, or if insurance becomes more costly for us to obtain, our business may be adversely affected. </w:t>
      </w:r>
      <w:r>
        <w:rPr>
          <w:rFonts w:ascii="Times New Roman" w:cs="Times New Roman" w:eastAsia="Times New Roman" w:hAnsi="Times New Roman"/>
          <w:sz w:val="17"/>
          <w:szCs w:val="17"/>
          <w:color w:val="auto"/>
        </w:rPr>
        <w:t>It may become more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difficult and costly for us to obtain coverage for patient care liabilities and other risks, including property and casualty insurance. Our claims history, asset mix, or other factors may adversely affect our ability to obtain insurance at favorable rates. Recent legislation in Nevada that prohibits the reduction of funds available to pay claims based on the costs of defending claims or litigation may result in higher premiums for our operations within that state. Similarly, recent legislation in California, Iowa, and Nevada increasing the amounts of non-economic damages recoverable in actions based on professional negligence against healthcare providers may also result in higher premiums for our operations within those states and limit the options for available coverage. Our insurance carriers may require us to pay substantially higher premiums for the same or reduced coverage for insurance, including workers compensation, property and casualty, automobile, employment practices liability, directors and officers liability, employee healthcare insurance benefits, and general and professional liability coverages. Further, many claims and other risks we face are not insurable. Climate change and the proliferation of natural disasters may increase the cost of coverage or make coverage impossible to obtain.</w:t>
      </w:r>
    </w:p>
    <w:p>
      <w:pPr>
        <w:spacing w:after="0" w:line="20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retain certain risks related to our insurance coverage. </w:t>
      </w:r>
      <w:r>
        <w:rPr>
          <w:rFonts w:ascii="Times New Roman" w:cs="Times New Roman" w:eastAsia="Times New Roman" w:hAnsi="Times New Roman"/>
          <w:sz w:val="17"/>
          <w:szCs w:val="17"/>
          <w:color w:val="auto"/>
        </w:rPr>
        <w:t>Under our insurance policies, we bear the risk of loss up to specified deductible limits, which may be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substantial if there is a surge in the volume of claims subject to the deductible. We recognize obligations associated with these costs in the period in which a claim is incurred, including with respect to both reported claims and claims incurred but not reported. These costs generally are estimated based on our historical claims experience. Projections of self-insured retention losses are estimates that are subject to significant variability, and as a result, our actual losses and expenses may be more or less than recorded liabilities.</w:t>
      </w:r>
    </w:p>
    <w:p>
      <w:pPr>
        <w:spacing w:after="0" w:line="19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Our self-insurance programs may expose us to significant and unexpected costs and losses. </w:t>
      </w:r>
      <w:r>
        <w:rPr>
          <w:rFonts w:ascii="Times New Roman" w:cs="Times New Roman" w:eastAsia="Times New Roman" w:hAnsi="Times New Roman"/>
          <w:sz w:val="17"/>
          <w:szCs w:val="17"/>
          <w:color w:val="auto"/>
        </w:rPr>
        <w:t>Our general liability and workers compensation insurance policies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include self-insured retentions under which we are responsible to pay for a portion of each claim. We establish insurance loss reserves based on an estimation process that use information obtained from both company-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specific and industry data. The estimation process requires us to continually monitor and evaluate the life cycle of claims. Using data obtained from this monitoring and our assumptions about emerging trends, we, along with an independent actuary, develop information about the size of ultimate claims based on historical experience and other available industry information. The most significant assumptions used in the estimation process include determining the trend in costs, the expected cost of claims incurred but not reported and the expected costs to settle or pay damages with respect to unpaid claims. It is possible, however, that the actual liabilities may exceed our estimates of loss. We may also experience an unexpectedly large number of successful claims or claims that result in costs or liability significantly exceeding our projections. For these and other reasons, our self-insurance reserves could prove to be inadequate, resulting in liabilities exceeding our available insurance and self-insurance reserves. If a successful claim is made against us and it is not covered by our insurance or exceeds the insurance policy limits, our business may be negatively and materially impacted. Further, because our self-insured retentions under our general and professional liability and workers’ compensation program apply on a per claim basis, there is no limit to the maximum number of claims or the total amount for which we could be responsible during any policy period. We also self-insure our employee health benefits. With respect to our health benefits self-insurance, our reserves and premiums are computed based on a mix of company-specific and general industry data. Even with a combination of limited company-specific loss data and general industry data, our loss reserves are based on actuarial estimates that may not correlate to actual loss experience in the future. Therefore, our reserves may prove to be insufficient, and we may be exposed to significant and unexpected losses.</w:t>
      </w:r>
    </w:p>
    <w:p>
      <w:pPr>
        <w:spacing w:after="0" w:line="1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The unionization of our workers may adversely affect our revenue and profitability. </w:t>
      </w:r>
      <w:r>
        <w:rPr>
          <w:rFonts w:ascii="Times New Roman" w:cs="Times New Roman" w:eastAsia="Times New Roman" w:hAnsi="Times New Roman"/>
          <w:sz w:val="17"/>
          <w:szCs w:val="17"/>
          <w:color w:val="auto"/>
        </w:rPr>
        <w:t>To date, with the exception of one joint venture, where certain employees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had elected to unionize prior to our acquisition, our employees have chosen not to unionize. In recent years, however, there has been a nationwide trend of increasing union activity, including strikes in the healthcare industry and in states, such as California, in which we operate. Increasing trends of service workers successfully organizing to unionize their workplaces may increase the likelihood of our employees seeking to unionize their activities at one or more additional locations controlled by our independent operating subsidiaries. If union activity among our employees increases, our cost of doing business could increase, our operations could experience disruption, and affected operations may no longer be economical to continue operating. Further, labor disputes and unionization efforts, among our own employees or among the employees of our referral partners, payors, vendors, joint venture partners, acquisition targets, or other parties, could lead to work stoppages, slowdown, strikes, lockouts, and increased costs, which could materially and adversely impact our operations.</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Because we lease most of our affiliated senior living communities, we could experience risks associated with leased property, including risks relating to lease termination, lease extensions and special charges, which could adversely affect our business, financial position or results of operations. </w:t>
      </w:r>
      <w:r>
        <w:rPr>
          <w:rFonts w:ascii="Times New Roman" w:cs="Times New Roman" w:eastAsia="Times New Roman" w:hAnsi="Times New Roman"/>
          <w:sz w:val="17"/>
          <w:szCs w:val="17"/>
          <w:color w:val="auto"/>
        </w:rPr>
        <w:t>As of December 31,</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2025, we leased a majority of our senior living communities. We also leased all of our administrative offices. Most of our leases are triple-net leases, which means that, in addition to rent, we are required to pay for the costs related to the property (including property taxes, insurance, and maintenance and repair costs), the cost of which tend to increase year-over year and may adversely affect us with future increases and operating expense reconciliations due for prior years. Under certain master leases, a breach at a single community could subject one or more of the other communities covered by the same master lease to the same default risk. Failure to comply with provider requirements is a default under several of the leases and master lease agreements. In addition, lease defaults could trigger cross-default provisions in our outstanding debt arrangements and other leases. With an indivisible lease, it is difficult to restructure the composition of the portfolio or economic terms of the lease without the consent of the landlord.</w:t>
      </w:r>
    </w:p>
    <w:p>
      <w:pPr>
        <w:spacing w:after="0" w:line="19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A housing downturn could decrease demand for assisted living services. </w:t>
      </w:r>
      <w:r>
        <w:rPr>
          <w:rFonts w:ascii="Times New Roman" w:cs="Times New Roman" w:eastAsia="Times New Roman" w:hAnsi="Times New Roman"/>
          <w:sz w:val="17"/>
          <w:szCs w:val="17"/>
          <w:color w:val="auto"/>
        </w:rPr>
        <w:t>Seniors often use the proceeds of home sales to fund their admission to assisted living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communities. A downturn in the housing markets, such as the slowdown in activity that was ongoing in 2024 and 2025 as a result of higher-than-normal mortgage interest rates, could adversely affect seniors’ ability to afford our resident fees and entrance fees. If national or local housing markets enter a persistent decline in prices or transaction activity, our occupancy rates, revenues, results of operations and cash flow could be negatively impacted.</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Failure to generate sufficient cash flow to cover required payments or meet operating covenants under our long-term debt and operating leases could result in defaults under such agreements and cross-defaults under other debt or operating lease arrangements, which could harm our independent operating subsidiaries and cause us to lose operations or experience foreclosures. </w:t>
      </w:r>
      <w:r>
        <w:rPr>
          <w:rFonts w:ascii="Times New Roman" w:cs="Times New Roman" w:eastAsia="Times New Roman" w:hAnsi="Times New Roman"/>
          <w:sz w:val="17"/>
          <w:szCs w:val="17"/>
          <w:color w:val="auto"/>
        </w:rPr>
        <w:t>We have significant future operating lease obligations. We intend to continue financing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operations through long-term operating leases, mortgage financing and other types of financing, including borrowings under future credit facilities we may obtain. We may not generate sufficient cash flow from operations to cover required interest, principal and lease payments. If we are unable to generate sufficient cash flow from operations in the future to service our debt or to make lease payments on our operating leases, we may be required, among other things, to seek additional financing in the debt or equity markets, refinance or restructure all or a portion of our indebtedness, sell selected assets, reduce or delay planned capital expenditures or delay or abandon desirable acquisitions. Such measures might not be sufficient to enable us to service our debt or to make lease payments on our operating leases. The failure to make required payments on our debt or operating leases or the delay or abandonment of our planned growth strategy could adversely affect our future ability to generate revenue and sustain profitability and subject us to foreclosure. In addition, any such financing, refinancing or sale of assets might not be available</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on terms that are economically favorable to us, or at all. Our financing arrangements contain restrictions, covenants and events of default that, among other things, could limit our ability to respond to market conditions, provide for capital investment needs or take advantage of business opportunities by restricting our ability to incur or guarantee additional indebtedness or requiring us to offer to repurchase such indebtedness in the event of a change of control or a change of control triggering event; pay dividends or make distributions; make investments or acquisitions; sell, transfer or otherwise dispose of certain assets; create liens; consolidate or merge; enter into transactions with affiliates; and prepay and repurchase or redeem certain indebtedness.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The condition of the financial markets, including volatility and deterioration in the capital and credit markets, could limit the availability of debt and equity financing sources to fund the capital and liquidity requirements of our business, as well as negatively impact or impair the value of our future portfolio of cash, cash equivalents and investments. </w:t>
      </w:r>
      <w:r>
        <w:rPr>
          <w:rFonts w:ascii="Times New Roman" w:cs="Times New Roman" w:eastAsia="Times New Roman" w:hAnsi="Times New Roman"/>
          <w:sz w:val="17"/>
          <w:szCs w:val="17"/>
          <w:color w:val="auto"/>
        </w:rPr>
        <w:t>Credit markets are cyclical. Volatility in financial and credit markets may reduce the availability of certain types of debt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financing and restrict the availability of credit. Further, we anticipate that our future cash, cash equivalents and investments may be held in a variety of interest-bearing instruments. As a result of the uncertain domestic and global political, credit and financial market conditions, investments in these types of instruments pose risks arising from liquidity and credit concerns.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Inflation may negatively impact profitability. </w:t>
      </w:r>
      <w:r>
        <w:rPr>
          <w:rFonts w:ascii="Times New Roman" w:cs="Times New Roman" w:eastAsia="Times New Roman" w:hAnsi="Times New Roman"/>
          <w:sz w:val="17"/>
          <w:szCs w:val="17"/>
          <w:color w:val="auto"/>
        </w:rPr>
        <w:t>The annual inflation rate in recent years has impacted our operations, placing upward pricing pressure on all things</w:t>
      </w:r>
    </w:p>
    <w:p>
      <w:pPr>
        <w:spacing w:after="0" w:line="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from wages to supplies to energy costs. Inflation may continue to affect the Company’s profit in providing services. We have historically derived a substantial portion of our revenue from the Medicare program. We also derive revenue from state Medicaid and similar reimbursement programs. Payments under these programs generally provide for reimbursement levels that are adjusted for inflation annually. These inflation-based increases may not continue in the future, such as in the case of Medicare payments subject to reduction under sequestration required by prior legislation. Even if these reimbursement rate increases continued, such adjustments may not reflect the actual increase in our costs for providing healthcare services. Labor and supply expenses make up a substantial portion of our cost of services. Those expenses are subject to increase in periods of rising inflation and when labor shortages occur in the marketplace. Inflation has led, and may continue to lead, to increased interest rates, which have and could continue to increase our cost of capital, impair consumers’ ability to purchase our services, or otherwise harm us financially.</w:t>
      </w:r>
    </w:p>
    <w:p>
      <w:pPr>
        <w:spacing w:after="0" w:line="19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Changes to immigration law or enforcement could adversely affect our results from operations. </w:t>
      </w:r>
      <w:r>
        <w:rPr>
          <w:rFonts w:ascii="Times New Roman" w:cs="Times New Roman" w:eastAsia="Times New Roman" w:hAnsi="Times New Roman"/>
          <w:sz w:val="17"/>
          <w:szCs w:val="17"/>
          <w:color w:val="auto"/>
        </w:rPr>
        <w:t>Changes to immigration laws and policies, or increased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enforcement of existing laws and regulations, could impact our employees or the labor pool from which we hire future employees. Throughout 2025, enforcement of immigration laws has intensified, and these increased efforts may continue through 2026. Such changes could reduce the number of eligible workers and increase wage costs, including for skilled workers who may work or receive professional training in the United States under various visa programs, making it more difficult or impossible for us to staff our operations.</w:t>
      </w:r>
    </w:p>
    <w:p>
      <w:pPr>
        <w:spacing w:after="0" w:line="1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Extreme weather, natural disasters, or other catastrophic events could adversely affect our results from operations. </w:t>
      </w:r>
      <w:r>
        <w:rPr>
          <w:rFonts w:ascii="Times New Roman" w:cs="Times New Roman" w:eastAsia="Times New Roman" w:hAnsi="Times New Roman"/>
          <w:sz w:val="17"/>
          <w:szCs w:val="17"/>
          <w:color w:val="auto"/>
        </w:rPr>
        <w:t>We operate and are subject to long term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leases in areas particularly susceptible to damage or losses caused by catastrophic or extreme weather and other natural events, including fires, snow, rain or ice storms, windstorms, tornadoes, hurricanes, earthquakes, landslides or mudslides, flooding and other severe weather. Many of our services require our employees to travel to patients’ homes by car. Adverse weather events could impair our ability to provide services and could cause substantial damages or losses to our communities or operations, which may not be covered by insurance. These events may also indirectly affect our business by increasing the cost of (or making unavailable) insurance on terms we find acceptable. Changes in regulations relating to climate change could require us to change the way we provide services and could result in increased costs without a corresponding increase in revenue.</w:t>
      </w:r>
    </w:p>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Delays in reimbursement may cause liquidity problems. </w:t>
      </w:r>
      <w:r>
        <w:rPr>
          <w:rFonts w:ascii="Times New Roman" w:cs="Times New Roman" w:eastAsia="Times New Roman" w:hAnsi="Times New Roman"/>
          <w:sz w:val="17"/>
          <w:szCs w:val="17"/>
          <w:color w:val="auto"/>
        </w:rPr>
        <w:t>If we experience problems with our billing information systems or if payment issues arise with Medicare,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Medicaid or other payors, we may encounter delays in our payment cycle or delays in submitting required cost reports. From time to time, we have experienced such delays as a result of government payors instituting planned reimbursement delays for budget balancing purposes or as a result of prepayment reviews. Some states in which we operate experience or have experienced budget deficits or could have a budget deficit in the future, including as a result of changes to federal funds matching for state Medicaid programs under OBBBA, which may delay reimbursement in a manner that would adversely affect our liquidity. In addition, from time to time, procedural issues require us to resubmit claims before payment is remitted, which contributes to aged receivables. Unanticipated delays in receiving reimbursement from state programs due to changes in their policies or billing or audit procedures may adversely impact our liquidity and working capital. Failure to timely submit required cost reports may result in financial penalties.</w:t>
      </w:r>
    </w:p>
    <w:p>
      <w:pPr>
        <w:spacing w:after="0" w:line="19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Compliance with the regulations of the Department of Housing and Urban Development (“HUD”) may require us to make unanticipated expenditures which could increase our costs. </w:t>
      </w:r>
      <w:r>
        <w:rPr>
          <w:rFonts w:ascii="Times New Roman" w:cs="Times New Roman" w:eastAsia="Times New Roman" w:hAnsi="Times New Roman"/>
          <w:sz w:val="17"/>
          <w:szCs w:val="17"/>
          <w:color w:val="auto"/>
        </w:rPr>
        <w:t>Seventeen of our affiliated senior living communities are currently subject to regulatory agreements with HUD that give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Commissioner of HUD broad authority to have us replaced as the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operator of those communities in the event that the Commissioner determines there are operational deficiencies at such communities under HUD regulations. Compliance with HUD’s requirements can often be difficult because these requirements are not always consistent with the requirements of other federal and state agencies and, in some instances, may require us to make additional capital expenditures to meet HUD’s heightened requirements. Appealing a failed inspection can be costly and time-consuming and, if we do not successfully remediate the failed inspection, we could be precluded from obtaining HUD financing in the future or we may encounter limitations or prohibitions on our operation of HUD-insured communities.</w:t>
      </w:r>
    </w:p>
    <w:p>
      <w:pPr>
        <w:spacing w:after="0" w:line="1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 xml:space="preserve">Failure to comply with existing environmental laws could result in increased expenditures, litigation and potential loss to our business and in our asset value. </w:t>
      </w:r>
      <w:r>
        <w:rPr>
          <w:rFonts w:ascii="Times New Roman" w:cs="Times New Roman" w:eastAsia="Times New Roman" w:hAnsi="Times New Roman"/>
          <w:sz w:val="17"/>
          <w:szCs w:val="17"/>
          <w:color w:val="auto"/>
        </w:rPr>
        <w:t>Our independent operating subsidiaries are subject to regulations under various federal, state and local environmental laws, primarily those relating to the handling, storage, transportation, treatment and disposal of medical waste; the identification and warning of the presence of asbestos-containing materials in buildings, as well as the encapsulation or removal of such materials; and the presence of other substances in the environment. The presence of such materials may be unknown and could result in remediation costs, fines, damages and other material harm to our business.</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We are a holding company with no operations and rely upon our independent operating subsidiaries to provide us with the funds necessary to meet our financial obligations. </w:t>
      </w:r>
      <w:r>
        <w:rPr>
          <w:rFonts w:ascii="Times New Roman" w:cs="Times New Roman" w:eastAsia="Times New Roman" w:hAnsi="Times New Roman"/>
          <w:sz w:val="17"/>
          <w:szCs w:val="17"/>
          <w:color w:val="auto"/>
        </w:rPr>
        <w:t>We are a holding company with no direct operating assets, employees or revenues. Each of our affiliated operations is operated through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separate, independent subsidiary, which has its own management, employees and assets. Our principal assets are the equity interests we directly or indirectly hold in our independent operating subsidiaries. As a result, we are dependent upon distributions from our subsidiaries to generate the funds necessary to meet our financial obligations. Our subsidiaries are legally distinct from us and have no obligation to make funds available to us. The ability of our subsidiaries to make distributions to us will depend substantially on their respective operating results and will be subject to restrictions under, among other things, the laws of their jurisdiction of organization, which may limit the amount of funds available for distribution to investors or stockholders, agreements of those subsidiaries, the terms of our financing arrangements and the terms of any future financing arrangements of our subsidiaries.</w:t>
      </w:r>
    </w:p>
    <w:p>
      <w:pPr>
        <w:spacing w:after="0" w:line="1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Two of our directors continue to serve as a director on the Ensign board of directors, and ownership of shares of Ensign common stock or equity awards of Ensign by our directors and executive officers may create conflicts of interest or the appearance of conflicts of interest. </w:t>
      </w:r>
      <w:r>
        <w:rPr>
          <w:rFonts w:ascii="Times New Roman" w:cs="Times New Roman" w:eastAsia="Times New Roman" w:hAnsi="Times New Roman"/>
          <w:sz w:val="17"/>
          <w:szCs w:val="17"/>
          <w:color w:val="auto"/>
        </w:rPr>
        <w:t>Two of our directors continue to serve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on the Ensign board of directors and a portion of our executive officers and non-employee directors own shares of Ensign common stock. This could create, or appear to create, potential conflicts of interest when our or Ensign’s management or directors face decisions that could have different implications for us and Ensign, including our existing long term leases, any commercial agreements entered into in the future between us and Ensign and the allocation of such directors’ time between us and Ensign.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Ownership of Our Common Stock</w:t>
      </w:r>
    </w:p>
    <w:p>
      <w:pPr>
        <w:spacing w:after="0" w:line="24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Anti-takeover provisions in our organizational documents and Delaware law might discourage or delay acquisition attempts for us that you might consider favorable. </w:t>
      </w:r>
      <w:r>
        <w:rPr>
          <w:rFonts w:ascii="Times New Roman" w:cs="Times New Roman" w:eastAsia="Times New Roman" w:hAnsi="Times New Roman"/>
          <w:sz w:val="17"/>
          <w:szCs w:val="17"/>
          <w:color w:val="auto"/>
        </w:rPr>
        <w:t>Our amended and restated certificate of incorporation and amended and restated bylaws may make the merger or acquisition of our company more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difficult without the approval of our board of directors. Among other things, these provisions: allow us to authorize the issuance of undesignated preferred stock, the terms of which may be established and the shares of which may be issued without stockholder approval, and which may include super voting, special approval, dividend, or other rights or preferences superior to the rights of the holders of common stock; establish advance notice requirements for nominations for elections to our board or for proposing matters that can be acted upon by stockholders at stockholder meetings; create a classified board of directors whose members serve staggered three-year terms; and limit the ability of our stockholders to call and bring business before special meetings. Further, as a Delaware corporation, we are also subject to provisions of Delaware law, which may impair a takeover attempt that our stockholders may find beneficial. These provisions could discourage, delay or prevent a transaction involving a change in control of our company, including actions that our stockholders may deem advantageous, or negatively affect the trading price of our common stock. These provisions could also discourage proxy contests and make it more difficult for our stockholders to elect directors of their choosing and to cause us to take other corporate actions desired.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1B. </w:t>
      </w:r>
      <w:r>
        <w:rPr>
          <w:rFonts w:ascii="Times New Roman" w:cs="Times New Roman" w:eastAsia="Times New Roman" w:hAnsi="Times New Roman"/>
          <w:sz w:val="17"/>
          <w:szCs w:val="17"/>
          <w:b w:val="1"/>
          <w:bCs w:val="1"/>
          <w:i w:val="1"/>
          <w:iCs w:val="1"/>
          <w:color w:val="auto"/>
        </w:rPr>
        <w:t>Unresolved Staff Comments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1C. </w:t>
      </w:r>
      <w:r>
        <w:rPr>
          <w:rFonts w:ascii="Times New Roman" w:cs="Times New Roman" w:eastAsia="Times New Roman" w:hAnsi="Times New Roman"/>
          <w:sz w:val="17"/>
          <w:szCs w:val="17"/>
          <w:b w:val="1"/>
          <w:bCs w:val="1"/>
          <w:i w:val="1"/>
          <w:iCs w:val="1"/>
          <w:color w:val="auto"/>
        </w:rPr>
        <w:t>Cybersecurity</w:t>
      </w:r>
    </w:p>
    <w:p>
      <w:pPr>
        <w:spacing w:after="0" w:line="23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7"/>
          <w:szCs w:val="17"/>
          <w:color w:val="auto"/>
        </w:rPr>
        <w:t>We leverage information technology to enable our teams to share best practices, stay informed, adapt to challenges and opportunities promptly, improve the quality of care, mitigate risks, and enhance both clinical outcomes and financial performance. Additionally, we have invested in specialized healthcare technology systems to support our nursing and support staff. Our software and technology in each operation allows our clinical staff to monitor and deliver patient care and record patient information more efficiently, but the use of information systems also introduces cybersecurity risks, including system disruption, security breaches, ransomware, theft, espionage, and inadvertent release of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 Management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assess and identify security risks to the organization by:</w:t>
      </w:r>
    </w:p>
    <w:p>
      <w:pPr>
        <w:spacing w:after="0" w:line="28" w:lineRule="exact"/>
        <w:rPr>
          <w:sz w:val="20"/>
          <w:szCs w:val="20"/>
          <w:color w:val="auto"/>
        </w:rPr>
      </w:pPr>
    </w:p>
    <w:p>
      <w:pPr>
        <w:ind w:left="620" w:hanging="307"/>
        <w:spacing w:after="0" w:line="253"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Conducting regular risk assessments to determine the likelihood and magnitude of an attack from unauthorized access, use, disclosure, disruption, modification, or destruction of information systems and related information processes, stored, or transmitted;</w:t>
      </w:r>
    </w:p>
    <w:p>
      <w:pPr>
        <w:ind w:left="620" w:hanging="307"/>
        <w:spacing w:after="0" w:line="253" w:lineRule="auto"/>
        <w:tabs>
          <w:tab w:leader="none" w:pos="61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Performing annual security assessments and producing security assessment reports for review by Information Technology (“IT”) senior leadership, including the service center's Chief Information Officer (“CIO”) and Chief Information Security Officer (“CISO”);</w:t>
      </w: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Regularly assessing security controls for effectiveness, proper functioning, and satisfactory results;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Continuously monitoring and addressing vulnerabilities.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Monitoring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established a monitoring strategy and program, which includes:</w:t>
      </w:r>
    </w:p>
    <w:p>
      <w:pPr>
        <w:spacing w:after="0" w:line="28" w:lineRule="exact"/>
        <w:rPr>
          <w:sz w:val="20"/>
          <w:szCs w:val="20"/>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Active, automated threat detection and screening;</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Clearly defined security metrics to be monitored;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Regular security control assessments;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Regular communication about security issues with the executive team and board of directors;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Monitoring information systems to detect attacks and indicators of potential attacks or compromises;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Identifying unauthorized use of information system resources;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Deploying monitoring systems and agents strategically within the information system environment.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Data Protection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implemented policies and programs to secure sensitive data. These include:</w:t>
      </w:r>
    </w:p>
    <w:p>
      <w:pPr>
        <w:spacing w:after="0" w:line="28" w:lineRule="exact"/>
        <w:rPr>
          <w:sz w:val="20"/>
          <w:szCs w:val="20"/>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Data security policies for the Company and its subsidiaries;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Frequent security training;</w:t>
      </w:r>
    </w:p>
    <w:p>
      <w:pPr>
        <w:spacing w:after="0" w:line="10" w:lineRule="exact"/>
        <w:rPr>
          <w:rFonts w:ascii="Times New Roman" w:cs="Times New Roman" w:eastAsia="Times New Roman" w:hAnsi="Times New Roman"/>
          <w:sz w:val="17"/>
          <w:szCs w:val="17"/>
          <w:color w:val="auto"/>
        </w:rPr>
      </w:pPr>
    </w:p>
    <w:p>
      <w:pPr>
        <w:ind w:left="620" w:hanging="307"/>
        <w:spacing w:after="0" w:line="253" w:lineRule="auto"/>
        <w:tabs>
          <w:tab w:leader="none" w:pos="61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controls over network devices, actively tracking, monitoring, and evaluating them for new, missing, or updated software needed to strengthen security, patch known vulnerabilities, or stabilize software or operating system issues;</w:t>
      </w: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Protecting sensitive data through encryption techniques; and</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Utilizing systems with backup and recoverability principles, such as periodic data backups and safeguards in case of a disaster.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Incident Management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cybersecurity incident management plan includes the following five-step process:</w:t>
      </w:r>
    </w:p>
    <w:p>
      <w:pPr>
        <w:spacing w:after="0" w:line="28" w:lineRule="exact"/>
        <w:rPr>
          <w:sz w:val="20"/>
          <w:szCs w:val="20"/>
          <w:color w:val="auto"/>
        </w:rPr>
      </w:pPr>
    </w:p>
    <w:p>
      <w:pPr>
        <w:ind w:left="620" w:hanging="307"/>
        <w:spacing w:after="0" w:line="253"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service center's CIO and CISO lead the Information Security (“IS”) team in developing, documenting, reviewing, and testing security and incident management procedures;</w:t>
      </w:r>
    </w:p>
    <w:p>
      <w:pPr>
        <w:ind w:left="620" w:hanging="307"/>
        <w:spacing w:after="0" w:line="253"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 team works with the executive team to identify, assess, verify, and classify incidents to determine affected stakeholders and appropriate parties for contact;</w:t>
      </w:r>
    </w:p>
    <w:p>
      <w:pPr>
        <w:ind w:left="620" w:hanging="307"/>
        <w:spacing w:after="0" w:line="253"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security incident, the service center's CIO and CISO are responsible for launching an Incident Response Team (“IRT”) if necessary and notifying the executive team, who will contact the board of directors and the Audit Committee to validate the response;</w:t>
      </w:r>
    </w:p>
    <w:p>
      <w:pPr>
        <w:ind w:left="620" w:hanging="307"/>
        <w:spacing w:after="0" w:line="266" w:lineRule="auto"/>
        <w:tabs>
          <w:tab w:leader="none" w:pos="6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IRT, in consultation with outside experts if needed, is responsible for initial containment, analysis, incident containment, incident eradication, and recovery. The IS team also coordinates with our legal and compliance teams as needed; and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620" w:hanging="307"/>
        <w:spacing w:after="0"/>
        <w:tabs>
          <w:tab w:leader="none" w:pos="62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each significant incident, analyses are conducted to improve prevention and make incident response processes more efficient and effective.</w:t>
      </w:r>
    </w:p>
    <w:p>
      <w:pPr>
        <w:spacing w:after="0" w:line="23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 xml:space="preserve">We have not experienced a material cybersecurity breach as an organization in the past five years. Moreover, cybersecurity threats have not materially affected our business strategy, results of operations, or financial condition. While we have implemented processes and procedures to address and mitigate cybersecurity threats, there can be no assurances that such an incident will not occur despite our efforts, as described in Item 1A.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w:t>
      </w:r>
    </w:p>
    <w:p>
      <w:pPr>
        <w:spacing w:after="0" w:line="23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Our Audit Committee receives quarterly reports on our information security and cyber fraud prevention programs from the service center's CIO and CISO, each of whom has over 20 years of experience in IT, including various leadership roles at other large corporations. Directors Scott E. Lamb, Suzanne D. Snapper, and John G. Nackel, Ph.D. provide key oversight on cybersecurity matters. Our executive team is also regularly briefed on any significant security risks during monthly leadership meetings.</w:t>
      </w:r>
    </w:p>
    <w:p>
      <w:pPr>
        <w:spacing w:after="0" w:line="18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7"/>
          <w:szCs w:val="17"/>
          <w:color w:val="auto"/>
        </w:rPr>
        <w:t>The IS team, established by the service center's CIO and CISO, has dedicated cybersecurity staff focusing on security monitoring, vulnerability management, incident response, risk assessments, employee training, security engineering, and management of cybersecurity policies, standards, and regulatory compliance. The Company implements security standards that include SOC 1 and SOC 2 compliance. We align with a Cyber Security Framework and take a risk-based approach during control assessment and implementation, following the National Institute of Standards and Technology (“NIST”) framework. We are committed to protecting our data, systems, and network and continually invest in enhancements to mitigate or reduce the impact of cybersecurity threats. We conduct periodic tests to maintain readiness and resiliency while regularly reviewing policies to protect data security. External companies or agencies may provide consulting, guidance, assistance, or support in response to a cybersecurity incident. Employees receive regular training, at least annually, on cybersecurity threats and best practices to maintain information security.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2. </w:t>
      </w:r>
      <w:r>
        <w:rPr>
          <w:rFonts w:ascii="Times New Roman" w:cs="Times New Roman" w:eastAsia="Times New Roman" w:hAnsi="Times New Roman"/>
          <w:sz w:val="17"/>
          <w:szCs w:val="17"/>
          <w:b w:val="1"/>
          <w:bCs w:val="1"/>
          <w:i w:val="1"/>
          <w:iCs w:val="1"/>
          <w:color w:val="auto"/>
        </w:rPr>
        <w:t>Properties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Service Center</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lease office space to accommodate our Service Center. Our primary Service Center is located in Eagle, Idaho. The leased property consists of approximately 16,794 square feet of office space and the lease term expires March 31, 2030. We also have leased office space for service centers in Sandy, Utah; Farmington, Connecticut; and Nashville, Tennessee.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Home Health and Hospice Agencies and Senior Living Communities</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of December 31, 2025, we operated 172 home health, hospice and home care agencies in Alabama, Arizona, California, Colorado, Georgia, Idaho, Montana, Nevada, Oklahoma, Oregon, Tennessee, Texas, Utah, Washington, Wisconsin and Wyoming. Office space is leased within geographies served by our agencies.</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As of December 31, 2025, we operated 63 affiliated senior living communities in Arizona, California, Idaho, Nevada, Texas, Utah, and Wisconsin with 4,428 Senior Living units. We lease 57 of our communities through long-term, triple-net lease arrangements, and own the remaining 6 properties.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provides summary information regarding the locations of our home health and hospice agencies and our senior living communities and operational units as of December 31, 2025:</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State</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Home Health</w:t>
            </w:r>
          </w:p>
        </w:tc>
        <w:tc>
          <w:tcPr>
            <w:tcW w:w="16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Hospice Services</w:t>
            </w:r>
          </w:p>
        </w:tc>
        <w:tc>
          <w:tcPr>
            <w:tcW w:w="1860" w:type="dxa"/>
            <w:vAlign w:val="bottom"/>
            <w:gridSpan w:val="2"/>
          </w:tcPr>
          <w:p>
            <w:pPr>
              <w:ind w:left="360"/>
              <w:spacing w:after="0"/>
              <w:rPr>
                <w:sz w:val="20"/>
                <w:szCs w:val="20"/>
                <w:color w:val="auto"/>
              </w:rPr>
            </w:pPr>
            <w:r>
              <w:rPr>
                <w:rFonts w:ascii="Times New Roman" w:cs="Times New Roman" w:eastAsia="Times New Roman" w:hAnsi="Times New Roman"/>
                <w:sz w:val="17"/>
                <w:szCs w:val="17"/>
                <w:b w:val="1"/>
                <w:bCs w:val="1"/>
                <w:color w:val="auto"/>
              </w:rPr>
              <w:t>Senior Living</w:t>
            </w:r>
          </w:p>
        </w:tc>
        <w:tc>
          <w:tcPr>
            <w:tcW w:w="1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Senior Living Units</w:t>
            </w:r>
          </w:p>
        </w:tc>
        <w:tc>
          <w:tcPr>
            <w:tcW w:w="0" w:type="dxa"/>
            <w:vAlign w:val="bottom"/>
          </w:tcPr>
          <w:p>
            <w:pPr>
              <w:spacing w:after="0"/>
              <w:rPr>
                <w:sz w:val="1"/>
                <w:szCs w:val="1"/>
                <w:color w:val="auto"/>
              </w:rPr>
            </w:pPr>
          </w:p>
        </w:tc>
      </w:tr>
      <w:tr>
        <w:trPr>
          <w:trHeight w:val="232"/>
        </w:trPr>
        <w:tc>
          <w:tcPr>
            <w:tcW w:w="4660" w:type="dxa"/>
            <w:vAlign w:val="bottom"/>
            <w:gridSpan w:val="2"/>
            <w:vMerge w:val="continue"/>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Services</w:t>
            </w:r>
          </w:p>
        </w:tc>
        <w:tc>
          <w:tcPr>
            <w:tcW w:w="1620" w:type="dxa"/>
            <w:vAlign w:val="bottom"/>
            <w:gridSpan w:val="2"/>
            <w:vMerge w:val="continue"/>
          </w:tcPr>
          <w:p>
            <w:pPr>
              <w:spacing w:after="0"/>
              <w:rPr>
                <w:sz w:val="20"/>
                <w:szCs w:val="20"/>
                <w:color w:val="auto"/>
              </w:rPr>
            </w:pPr>
          </w:p>
        </w:tc>
        <w:tc>
          <w:tcPr>
            <w:tcW w:w="1860" w:type="dxa"/>
            <w:vAlign w:val="bottom"/>
            <w:gridSpan w:val="2"/>
          </w:tcPr>
          <w:p>
            <w:pPr>
              <w:ind w:left="360"/>
              <w:spacing w:after="0"/>
              <w:rPr>
                <w:sz w:val="20"/>
                <w:szCs w:val="20"/>
                <w:color w:val="auto"/>
              </w:rPr>
            </w:pPr>
            <w:r>
              <w:rPr>
                <w:rFonts w:ascii="Times New Roman" w:cs="Times New Roman" w:eastAsia="Times New Roman" w:hAnsi="Times New Roman"/>
                <w:sz w:val="17"/>
                <w:szCs w:val="17"/>
                <w:b w:val="1"/>
                <w:bCs w:val="1"/>
                <w:color w:val="auto"/>
              </w:rPr>
              <w:t>Communities</w:t>
            </w:r>
          </w:p>
        </w:tc>
        <w:tc>
          <w:tcPr>
            <w:tcW w:w="15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Alabama</w:t>
            </w:r>
          </w:p>
        </w:tc>
        <w:tc>
          <w:tcPr>
            <w:tcW w:w="140" w:type="dxa"/>
            <w:vAlign w:val="bottom"/>
          </w:tcPr>
          <w:p>
            <w:pPr>
              <w:spacing w:after="0"/>
              <w:rPr>
                <w:sz w:val="18"/>
                <w:szCs w:val="18"/>
                <w:color w:val="auto"/>
              </w:rPr>
            </w:pPr>
          </w:p>
        </w:tc>
        <w:tc>
          <w:tcPr>
            <w:tcW w:w="1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Arizona</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8</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968</w:t>
            </w:r>
          </w:p>
        </w:tc>
        <w:tc>
          <w:tcPr>
            <w:tcW w:w="0" w:type="dxa"/>
            <w:vAlign w:val="bottom"/>
          </w:tcPr>
          <w:p>
            <w:pPr>
              <w:spacing w:after="0"/>
              <w:rPr>
                <w:sz w:val="1"/>
                <w:szCs w:val="1"/>
                <w:color w:val="auto"/>
              </w:rPr>
            </w:pPr>
          </w:p>
        </w:tc>
      </w:tr>
      <w:tr>
        <w:trPr>
          <w:trHeight w:val="219"/>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California</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1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629</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Colorado</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9</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w:t>
            </w: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19"/>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Georgia</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20" w:type="dxa"/>
            <w:vAlign w:val="bottom"/>
          </w:tcPr>
          <w:p>
            <w:pPr>
              <w:spacing w:after="0"/>
              <w:rPr>
                <w:sz w:val="19"/>
                <w:szCs w:val="19"/>
                <w:color w:val="auto"/>
              </w:rPr>
            </w:pPr>
          </w:p>
        </w:tc>
        <w:tc>
          <w:tcPr>
            <w:tcW w:w="162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Idaho</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340</w:t>
            </w:r>
          </w:p>
        </w:tc>
        <w:tc>
          <w:tcPr>
            <w:tcW w:w="0" w:type="dxa"/>
            <w:vAlign w:val="bottom"/>
          </w:tcPr>
          <w:p>
            <w:pPr>
              <w:spacing w:after="0"/>
              <w:rPr>
                <w:sz w:val="1"/>
                <w:szCs w:val="1"/>
                <w:color w:val="auto"/>
              </w:rPr>
            </w:pPr>
          </w:p>
        </w:tc>
      </w:tr>
      <w:tr>
        <w:trPr>
          <w:trHeight w:val="219"/>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Montana</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40" w:type="dxa"/>
            <w:vAlign w:val="bottom"/>
          </w:tcPr>
          <w:p>
            <w:pPr>
              <w:spacing w:after="0"/>
              <w:rPr>
                <w:sz w:val="19"/>
                <w:szCs w:val="19"/>
                <w:color w:val="auto"/>
              </w:rPr>
            </w:pPr>
          </w:p>
        </w:tc>
        <w:tc>
          <w:tcPr>
            <w:tcW w:w="18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Nevada</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385</w:t>
            </w:r>
          </w:p>
        </w:tc>
        <w:tc>
          <w:tcPr>
            <w:tcW w:w="0" w:type="dxa"/>
            <w:vAlign w:val="bottom"/>
          </w:tcPr>
          <w:p>
            <w:pPr>
              <w:spacing w:after="0"/>
              <w:rPr>
                <w:sz w:val="1"/>
                <w:szCs w:val="1"/>
                <w:color w:val="auto"/>
              </w:rPr>
            </w:pPr>
          </w:p>
        </w:tc>
      </w:tr>
      <w:tr>
        <w:trPr>
          <w:trHeight w:val="219"/>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Oklahoma</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40" w:type="dxa"/>
            <w:vAlign w:val="bottom"/>
          </w:tcPr>
          <w:p>
            <w:pPr>
              <w:spacing w:after="0"/>
              <w:rPr>
                <w:sz w:val="19"/>
                <w:szCs w:val="19"/>
                <w:color w:val="auto"/>
              </w:rPr>
            </w:pPr>
          </w:p>
        </w:tc>
        <w:tc>
          <w:tcPr>
            <w:tcW w:w="18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Oregon</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7</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19"/>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Tennessee</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22</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140" w:type="dxa"/>
            <w:vAlign w:val="bottom"/>
          </w:tcPr>
          <w:p>
            <w:pPr>
              <w:spacing w:after="0"/>
              <w:rPr>
                <w:sz w:val="19"/>
                <w:szCs w:val="19"/>
                <w:color w:val="auto"/>
              </w:rPr>
            </w:pPr>
          </w:p>
        </w:tc>
        <w:tc>
          <w:tcPr>
            <w:tcW w:w="186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Texas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w:t>
            </w:r>
          </w:p>
        </w:tc>
        <w:tc>
          <w:tcPr>
            <w:tcW w:w="14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14</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829</w:t>
            </w:r>
          </w:p>
        </w:tc>
        <w:tc>
          <w:tcPr>
            <w:tcW w:w="0" w:type="dxa"/>
            <w:vAlign w:val="bottom"/>
          </w:tcPr>
          <w:p>
            <w:pPr>
              <w:spacing w:after="0"/>
              <w:rPr>
                <w:sz w:val="1"/>
                <w:szCs w:val="1"/>
                <w:color w:val="auto"/>
              </w:rPr>
            </w:pPr>
          </w:p>
        </w:tc>
      </w:tr>
      <w:tr>
        <w:trPr>
          <w:trHeight w:val="219"/>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Utah</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8</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w:t>
            </w:r>
          </w:p>
        </w:tc>
        <w:tc>
          <w:tcPr>
            <w:tcW w:w="14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188</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Washington</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4</w:t>
            </w: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19"/>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Wisconsin</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20" w:type="dxa"/>
            <w:vAlign w:val="bottom"/>
          </w:tcPr>
          <w:p>
            <w:pPr>
              <w:spacing w:after="0"/>
              <w:rPr>
                <w:sz w:val="19"/>
                <w:szCs w:val="19"/>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4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25</w:t>
            </w:r>
          </w:p>
        </w:tc>
        <w:tc>
          <w:tcPr>
            <w:tcW w:w="1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1,089</w:t>
            </w:r>
          </w:p>
        </w:tc>
        <w:tc>
          <w:tcPr>
            <w:tcW w:w="0" w:type="dxa"/>
            <w:vAlign w:val="bottom"/>
          </w:tcPr>
          <w:p>
            <w:pPr>
              <w:spacing w:after="0"/>
              <w:rPr>
                <w:sz w:val="1"/>
                <w:szCs w:val="1"/>
                <w:color w:val="auto"/>
              </w:rPr>
            </w:pPr>
          </w:p>
        </w:tc>
      </w:tr>
      <w:tr>
        <w:trPr>
          <w:trHeight w:val="219"/>
        </w:trPr>
        <w:tc>
          <w:tcPr>
            <w:tcW w:w="4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Wyoming</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4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r>
        <w:trPr>
          <w:trHeight w:val="212"/>
        </w:trPr>
        <w:tc>
          <w:tcPr>
            <w:tcW w:w="4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3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100</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72</w:t>
            </w:r>
          </w:p>
        </w:tc>
        <w:tc>
          <w:tcPr>
            <w:tcW w:w="140" w:type="dxa"/>
            <w:vAlign w:val="bottom"/>
          </w:tcPr>
          <w:p>
            <w:pPr>
              <w:spacing w:after="0"/>
              <w:rPr>
                <w:sz w:val="18"/>
                <w:szCs w:val="18"/>
                <w:color w:val="auto"/>
              </w:rPr>
            </w:pPr>
          </w:p>
        </w:tc>
        <w:tc>
          <w:tcPr>
            <w:tcW w:w="17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63</w:t>
            </w:r>
          </w:p>
        </w:tc>
        <w:tc>
          <w:tcPr>
            <w:tcW w:w="140" w:type="dxa"/>
            <w:vAlign w:val="bottom"/>
          </w:tcPr>
          <w:p>
            <w:pPr>
              <w:spacing w:after="0"/>
              <w:rPr>
                <w:sz w:val="18"/>
                <w:szCs w:val="18"/>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4,428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24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 xml:space="preserve">We are involved in various claims and lawsuits arising in the ordinary course of business, none of which, in the opinion of management, is expected to have a material adverse effect on our results of operations or financial condition.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 See Note 16,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to the Consolidated Financial Statements for a description of claims and legal actions arising in the ordinary course of our business.</w:t>
      </w:r>
    </w:p>
    <w:p>
      <w:pPr>
        <w:spacing w:after="0" w:line="194"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r>
      <w:r>
        <w:rPr>
          <w:sz w:val="20"/>
          <w:szCs w:val="20"/>
          <w:color w:val="auto"/>
        </w:rPr>
        <w:tab/>
      </w:r>
      <w:r>
        <w:rPr>
          <w:rFonts w:ascii="Times New Roman" w:cs="Times New Roman" w:eastAsia="Times New Roman" w:hAnsi="Times New Roman"/>
          <w:sz w:val="16"/>
          <w:szCs w:val="16"/>
          <w:b w:val="1"/>
          <w:bCs w:val="1"/>
          <w:i w:val="1"/>
          <w:iCs w:val="1"/>
          <w:color w:val="auto"/>
        </w:rPr>
        <w:t>Mine Safety Disclosures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41" w:lineRule="exact"/>
        <w:rPr>
          <w:sz w:val="20"/>
          <w:szCs w:val="20"/>
          <w:color w:val="auto"/>
        </w:rPr>
      </w:pPr>
    </w:p>
    <w:p>
      <w:pPr>
        <w:ind w:right="2540"/>
        <w:spacing w:after="0" w:line="541" w:lineRule="auto"/>
        <w:rPr>
          <w:sz w:val="20"/>
          <w:szCs w:val="20"/>
          <w:color w:val="auto"/>
        </w:rPr>
      </w:pPr>
      <w:r>
        <w:rPr>
          <w:rFonts w:ascii="Times New Roman" w:cs="Times New Roman" w:eastAsia="Times New Roman" w:hAnsi="Times New Roman"/>
          <w:sz w:val="17"/>
          <w:szCs w:val="17"/>
          <w:b w:val="1"/>
          <w:bCs w:val="1"/>
          <w:color w:val="auto"/>
        </w:rPr>
        <w:t xml:space="preserve">Item 5. </w:t>
      </w:r>
      <w:r>
        <w:rPr>
          <w:rFonts w:ascii="Times New Roman" w:cs="Times New Roman" w:eastAsia="Times New Roman" w:hAnsi="Times New Roman"/>
          <w:sz w:val="17"/>
          <w:szCs w:val="17"/>
          <w:b w:val="1"/>
          <w:bCs w:val="1"/>
          <w:i w:val="1"/>
          <w:iCs w:val="1"/>
          <w:color w:val="auto"/>
        </w:rPr>
        <w:t>Market for Registrant's Common Equity, Related Stockholder Matters and Issuer Purchases of Equity Securities</w:t>
      </w:r>
      <w:r>
        <w:rPr>
          <w:rFonts w:ascii="Times New Roman" w:cs="Times New Roman" w:eastAsia="Times New Roman" w:hAnsi="Times New Roman"/>
          <w:sz w:val="17"/>
          <w:szCs w:val="17"/>
          <w:b w:val="1"/>
          <w:bCs w:val="1"/>
          <w:color w:val="auto"/>
        </w:rPr>
        <w:t xml:space="preserve"> Market Information</w:t>
      </w:r>
    </w:p>
    <w:p>
      <w:pPr>
        <w:spacing w:after="0" w:line="1"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Our Common stock trades under the symbol “PNTG” on the NASDAQ Global Select Market. As of February 23, 2026, there are approximately 72 holders of record of our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24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We do not intend to pay dividends on our common stock for the foreseeable future. Instead, we anticipate that all of our future earnings will be retained to support our operations and to finance the growth and development of our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 Repurchases of Equity Securities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did not repurchase any shares in 2025, nor did it approve any share repurchase program.</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Performance Graph</w:t>
      </w:r>
    </w:p>
    <w:p>
      <w:pPr>
        <w:spacing w:after="0" w:line="24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i w:val="1"/>
          <w:iCs w:val="1"/>
          <w:color w:val="auto"/>
        </w:rPr>
        <w:t>The following Stock Performance Graph and related information shall not be deemed “soliciting material” or “filed” with the SEC, nor should such information be incorporated by reference into any future filings under the Securities Act or the Exchange Act except to the extent that we specifically incorporate it by reference in such filing.</w:t>
      </w:r>
    </w:p>
    <w:p>
      <w:pPr>
        <w:spacing w:after="0" w:line="184" w:lineRule="exact"/>
        <w:rPr>
          <w:sz w:val="20"/>
          <w:szCs w:val="20"/>
          <w:color w:val="auto"/>
        </w:rPr>
      </w:pPr>
    </w:p>
    <w:p>
      <w:pPr>
        <w:jc w:val="both"/>
        <w:ind w:firstLine="619"/>
        <w:spacing w:after="0" w:line="247" w:lineRule="auto"/>
        <w:rPr>
          <w:sz w:val="20"/>
          <w:szCs w:val="20"/>
          <w:color w:val="auto"/>
        </w:rPr>
      </w:pPr>
      <w:r>
        <w:rPr>
          <w:rFonts w:ascii="Times New Roman" w:cs="Times New Roman" w:eastAsia="Times New Roman" w:hAnsi="Times New Roman"/>
          <w:sz w:val="17"/>
          <w:szCs w:val="17"/>
          <w:color w:val="auto"/>
        </w:rPr>
        <w:t>The graph below compares the cumulative total stockholder return on our common stock, $0.001 par value per share, during the period from January 1, 2021, through December 31, 2025, with the cumulative total return on the NASDAQ composite index, a new industry peer group of six companies, and an old industry peer group of six companies over the same period (assuming the investment of $100 in our common stock, the NASDAQ composite index, the new industry peer group, and the old industry peer group on January 1, 2021 and the reinvestment of dividends). The new peer group we selected is comprised of: Addus HomeCare Corporation (“ADUS”), Aveanna Healthcare Holdings Inc. (“AVAH”), Brookdale Senior Living Inc. (“BKD”), Chemed Corporation (“CHE”), Enhabit, Inc. (“EHAB”), and Sonida Senior Living, Inc. (“SNDA”). The old peer group is comprised of: Amedisys, Inc. (“AMED”), ADUS, BKD, CHE, Encompass Health Corporation (“EHC”), and SNDA. The changes to the peer group were necessitated by the acquisition of AMED by UnitedHealth Group Incorporated (“UnitedHealth”) and the spin-off of EHAB from EHC. The cumulative total stockholder return on the following graph is historical and is not necessarily indicative of future stock price performance. No cash dividends have been paid on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1802765</wp:posOffset>
            </wp:positionH>
            <wp:positionV relativeFrom="paragraph">
              <wp:posOffset>137795</wp:posOffset>
            </wp:positionV>
            <wp:extent cx="3536315" cy="17354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36315" cy="1735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0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1/1/2021</w:t>
            </w:r>
          </w:p>
        </w:tc>
        <w:tc>
          <w:tcPr>
            <w:tcW w:w="14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12/2021</w:t>
            </w:r>
          </w:p>
        </w:tc>
        <w:tc>
          <w:tcPr>
            <w:tcW w:w="14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12/2022</w:t>
            </w:r>
          </w:p>
        </w:tc>
        <w:tc>
          <w:tcPr>
            <w:tcW w:w="14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12/2023</w:t>
            </w:r>
          </w:p>
        </w:tc>
        <w:tc>
          <w:tcPr>
            <w:tcW w:w="14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12/2024</w:t>
            </w:r>
          </w:p>
        </w:tc>
        <w:tc>
          <w:tcPr>
            <w:tcW w:w="16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12/2025</w:t>
            </w:r>
          </w:p>
        </w:tc>
      </w:tr>
      <w:tr>
        <w:trPr>
          <w:trHeight w:val="212"/>
        </w:trPr>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PNTG</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w:t>
            </w:r>
          </w:p>
        </w:tc>
      </w:tr>
      <w:tr>
        <w:trPr>
          <w:trHeight w:val="219"/>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NASDAQ</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187.1</w:t>
            </w:r>
          </w:p>
        </w:tc>
      </w:tr>
      <w:tr>
        <w:trPr>
          <w:trHeight w:val="219"/>
        </w:trPr>
        <w:tc>
          <w:tcPr>
            <w:tcW w:w="2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New Peer Group</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w:t>
            </w:r>
          </w:p>
        </w:tc>
      </w:tr>
      <w:tr>
        <w:trPr>
          <w:trHeight w:val="223"/>
        </w:trPr>
        <w:tc>
          <w:tcPr>
            <w:tcW w:w="26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Old Peer Group</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92.3</w:t>
            </w:r>
          </w:p>
        </w:tc>
      </w:tr>
      <w:tr>
        <w:trPr>
          <w:trHeight w:val="280"/>
        </w:trPr>
        <w:tc>
          <w:tcPr>
            <w:tcW w:w="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208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i w:val="1"/>
                <w:iCs w:val="1"/>
                <w:color w:val="auto"/>
              </w:rPr>
              <w:t>[Reserved]</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38"/>
        </w:trPr>
        <w:tc>
          <w:tcPr>
            <w:tcW w:w="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7.</w:t>
            </w:r>
          </w:p>
        </w:tc>
        <w:tc>
          <w:tcPr>
            <w:tcW w:w="6640" w:type="dxa"/>
            <w:vAlign w:val="bottom"/>
            <w:gridSpan w:val="12"/>
          </w:tcPr>
          <w:p>
            <w:pPr>
              <w:jc w:val="right"/>
              <w:ind w:right="54"/>
              <w:spacing w:after="0"/>
              <w:rPr>
                <w:sz w:val="20"/>
                <w:szCs w:val="20"/>
                <w:color w:val="auto"/>
              </w:rPr>
            </w:pP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211"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The following discussion should be read in conjunction with the consolidated financial statements and accompanying notes, which appear elsewhere in this Annual Report. This discussion contains forward-looking statements that involve risks and uncertainties. Our actual results could differ materially from those anticipated in these forward-looking statements as a result of various factors, including those discussed below and elsewhere in this Annual Report. See Item 1A., Risk Factors and Cautionary Note Regarding Forward-Looking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are a leading provider of high-quality healthcare services to patients and residents of all ages, including the growing senior population, in the United States. We strive to be the provider of choice in the communities we serve through our innovative operating model. We operate in multiple lines of businesses including home health, hospice and senior living services across Alabama, Arizona, California, Colorado, Georgia, Idaho, Montana, Nevada, Oklahoma, Oregon, Tennessee, Texas, Utah, Washington, Wisconsin and Wyoming. We also provide home health and hospice operational support through a management service agreement in Connecticut. As of December 31, 2025, our home health and hospice business provided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home health, hospice and home care services from 172 agencies operating across 16 states, and our senior living business operated 63 senior living communities throughout seven states.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affiliated home health and hospice agencies and senior living communities as of:</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120" w:type="dxa"/>
            <w:vAlign w:val="bottom"/>
            <w:tcBorders>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2016</w:t>
            </w:r>
          </w:p>
        </w:tc>
        <w:tc>
          <w:tcPr>
            <w:tcW w:w="80" w:type="dxa"/>
            <w:vAlign w:val="bottom"/>
            <w:tcBorders>
              <w:top w:val="single" w:sz="8" w:color="auto"/>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2017</w:t>
            </w:r>
          </w:p>
        </w:tc>
        <w:tc>
          <w:tcPr>
            <w:tcW w:w="100" w:type="dxa"/>
            <w:vAlign w:val="bottom"/>
            <w:tcBorders>
              <w:top w:val="single" w:sz="8" w:color="auto"/>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2018</w:t>
            </w:r>
          </w:p>
        </w:tc>
        <w:tc>
          <w:tcPr>
            <w:tcW w:w="100" w:type="dxa"/>
            <w:vAlign w:val="bottom"/>
            <w:tcBorders>
              <w:top w:val="single" w:sz="8" w:color="auto"/>
              <w:bottom w:val="single" w:sz="8" w:color="CCEEFF"/>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2019</w:t>
            </w:r>
          </w:p>
        </w:tc>
        <w:tc>
          <w:tcPr>
            <w:tcW w:w="80" w:type="dxa"/>
            <w:vAlign w:val="bottom"/>
            <w:tcBorders>
              <w:top w:val="single" w:sz="8" w:color="auto"/>
              <w:bottom w:val="single" w:sz="8" w:color="CCEEFF"/>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2020</w:t>
            </w:r>
          </w:p>
        </w:tc>
        <w:tc>
          <w:tcPr>
            <w:tcW w:w="80" w:type="dxa"/>
            <w:vAlign w:val="bottom"/>
            <w:tcBorders>
              <w:top w:val="single" w:sz="8" w:color="auto"/>
              <w:bottom w:val="single" w:sz="8" w:color="CCEEFF"/>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Borders>
              <w:top w:val="single" w:sz="8" w:color="auto"/>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80" w:type="dxa"/>
            <w:vAlign w:val="bottom"/>
            <w:tcBorders>
              <w:top w:val="single" w:sz="8" w:color="auto"/>
              <w:bottom w:val="single" w:sz="8" w:color="CCEEFF"/>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12"/>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Home health and hospice agencies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219"/>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living communities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19"/>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Senior living units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3,184</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3,963</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4,127</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3,588</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4,428</w:t>
            </w:r>
          </w:p>
        </w:tc>
      </w:tr>
      <w:tr>
        <w:trPr>
          <w:trHeight w:val="168"/>
        </w:trPr>
        <w:tc>
          <w:tcPr>
            <w:tcW w:w="3120" w:type="dxa"/>
            <w:vAlign w:val="bottom"/>
          </w:tcPr>
          <w:p>
            <w:pPr>
              <w:ind w:left="20"/>
              <w:spacing w:after="0" w:line="167" w:lineRule="exact"/>
              <w:rPr>
                <w:sz w:val="20"/>
                <w:szCs w:val="20"/>
                <w:color w:val="auto"/>
              </w:rPr>
            </w:pPr>
            <w:r>
              <w:rPr>
                <w:rFonts w:ascii="Times New Roman" w:cs="Times New Roman" w:eastAsia="Times New Roman" w:hAnsi="Times New Roman"/>
                <w:sz w:val="17"/>
                <w:szCs w:val="17"/>
                <w:b w:val="1"/>
                <w:bCs w:val="1"/>
                <w:color w:val="auto"/>
              </w:rPr>
              <w:t>Total number of home health, hospice,</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32"/>
        </w:trPr>
        <w:tc>
          <w:tcPr>
            <w:tcW w:w="31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and senior living operations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Activities</w:t>
      </w:r>
    </w:p>
    <w:p>
      <w:pPr>
        <w:spacing w:after="0" w:line="243"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Acquisitions. </w:t>
      </w:r>
      <w:r>
        <w:rPr>
          <w:rFonts w:ascii="Times New Roman" w:cs="Times New Roman" w:eastAsia="Times New Roman" w:hAnsi="Times New Roman"/>
          <w:sz w:val="17"/>
          <w:szCs w:val="17"/>
          <w:color w:val="auto"/>
        </w:rPr>
        <w:t>During 2025, we expanded our operations with the addition of 30 home health agencies, nine hospice agencies, four home care agencies,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six senior living communities. A subsidiary of the Company entered into a separate purchase agreements with the prior operator of each acquired operation as part of each transaction.</w:t>
      </w:r>
    </w:p>
    <w:p>
      <w:pPr>
        <w:spacing w:after="0" w:line="186"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Expansion into New States</w:t>
      </w:r>
      <w:r>
        <w:rPr>
          <w:rFonts w:ascii="Times New Roman" w:cs="Times New Roman" w:eastAsia="Times New Roman" w:hAnsi="Times New Roman"/>
          <w:sz w:val="17"/>
          <w:szCs w:val="17"/>
          <w:color w:val="auto"/>
        </w:rPr>
        <w:t>. In the fourth quarter of 2025, we expanded our home health, hospice, and home care operations into the southeastern United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States. This expansion was our largest acquisition to date and included 30 home health, hospice, and home care agencies in Alabama, Georgia, and Tennessee. This expansion is part of our strategy to grow our national presence in the post-acute care continuum across both our existing markets and new markets.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Trends</w:t>
      </w:r>
    </w:p>
    <w:p>
      <w:pPr>
        <w:spacing w:after="0" w:line="24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have experienced improvement in senior living revenue per occupied unit and occupancy through the year ended December 31, 2025, compared to the same period in 2024. Though we have seen improvements in revenue per occupied unit and occupancy year over year, the highly competitive environment for senior living residents and inflationary factors will continue to impact the rate at which our revenue per occupied unit and occupancy levels change in our senior living communities.</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When we acquire turnaround or start-up operations, we expect that our combined metrics may be impacted. We expect these metrics to vary from period to period based upon the maturity of the operations within our portfolio. We have generally experienced lower occupancy rates and higher costs at our senior living communities and lower census and higher costs at our home health and hospice agencies for recently acquired operations; as a result, we generally anticipate lower and/or fluctuating consolidated and segment margins during years of acquisition growth.</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Segments</w:t>
      </w:r>
    </w:p>
    <w:p>
      <w:pPr>
        <w:spacing w:after="0" w:line="247"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We have two reportable segments: (1) home health and hospice services, which includes our home health, hospice, home care, and geriatric primary and palliative care businesses; and (2) senior living services, which includes our assisted living, independent living and memory care services. Our Chief Executive Officer, who is our Chief Operating Decision Maker (“CODM”), reviews financial information at the operating segment level using segment adjusted EBITDAR from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Performance Indicators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manage the fiscal aspects of our business by monitoring key performance indicators that affect our financial performance. These indicators and their definitions include the following: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Home Health and Hospice Services</w:t>
      </w:r>
    </w:p>
    <w:p>
      <w:pPr>
        <w:spacing w:after="0" w:line="243" w:lineRule="exact"/>
        <w:rPr>
          <w:sz w:val="20"/>
          <w:szCs w:val="20"/>
          <w:color w:val="auto"/>
        </w:rPr>
      </w:pPr>
    </w:p>
    <w:p>
      <w:pPr>
        <w:ind w:left="920" w:hanging="298"/>
        <w:spacing w:after="0"/>
        <w:tabs>
          <w:tab w:leader="none" w:pos="920"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b w:val="1"/>
          <w:bCs w:val="1"/>
          <w:i w:val="1"/>
          <w:iCs w:val="1"/>
          <w:color w:val="auto"/>
        </w:rPr>
        <w:t>Total home health admissions</w:t>
      </w:r>
      <w:r>
        <w:rPr>
          <w:rFonts w:ascii="Times New Roman" w:cs="Times New Roman" w:eastAsia="Times New Roman" w:hAnsi="Times New Roman"/>
          <w:sz w:val="17"/>
          <w:szCs w:val="17"/>
          <w:color w:val="auto"/>
        </w:rPr>
        <w:t>. The total admissions of home health patients, including new acquisitions, new admissions and readmissions.</w:t>
      </w:r>
    </w:p>
    <w:p>
      <w:pPr>
        <w:spacing w:after="0" w:line="113" w:lineRule="exact"/>
        <w:rPr>
          <w:rFonts w:ascii="Times New Roman" w:cs="Times New Roman" w:eastAsia="Times New Roman" w:hAnsi="Times New Roman"/>
          <w:sz w:val="17"/>
          <w:szCs w:val="17"/>
          <w:i w:val="1"/>
          <w:iCs w:val="1"/>
          <w:color w:val="auto"/>
        </w:rPr>
      </w:pPr>
    </w:p>
    <w:p>
      <w:pPr>
        <w:ind w:left="940" w:hanging="318"/>
        <w:spacing w:after="0" w:line="294" w:lineRule="auto"/>
        <w:tabs>
          <w:tab w:leader="none" w:pos="936" w:val="left"/>
        </w:tabs>
        <w:numPr>
          <w:ilvl w:val="0"/>
          <w:numId w:val="13"/>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b w:val="1"/>
          <w:bCs w:val="1"/>
          <w:i w:val="1"/>
          <w:iCs w:val="1"/>
          <w:color w:val="auto"/>
        </w:rPr>
        <w:t>Total Medicare home health admissions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Total admissions of home health patients, who are receiving care under Medicare reimbursement programs,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including new acquisitions, new admissions and readmissions.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3" w:lineRule="exact"/>
        <w:rPr>
          <w:sz w:val="20"/>
          <w:szCs w:val="20"/>
          <w:color w:val="auto"/>
        </w:rPr>
      </w:pPr>
    </w:p>
    <w:p>
      <w:pPr>
        <w:ind w:left="940" w:hanging="318"/>
        <w:spacing w:after="0" w:line="294" w:lineRule="auto"/>
        <w:tabs>
          <w:tab w:leader="none" w:pos="936" w:val="left"/>
        </w:tabs>
        <w:numPr>
          <w:ilvl w:val="0"/>
          <w:numId w:val="1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b w:val="1"/>
          <w:bCs w:val="1"/>
          <w:i w:val="1"/>
          <w:iCs w:val="1"/>
          <w:color w:val="auto"/>
        </w:rPr>
        <w:t>Average Medicare revenue per completed 60-day home health episode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average amount of revenue for each completed 60-day home health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episode generated from patients who are receiving care under Medicare reimbursement programs.</w:t>
      </w:r>
    </w:p>
    <w:p>
      <w:pPr>
        <w:spacing w:after="0" w:line="36" w:lineRule="exact"/>
        <w:rPr>
          <w:rFonts w:ascii="Times New Roman" w:cs="Times New Roman" w:eastAsia="Times New Roman" w:hAnsi="Times New Roman"/>
          <w:sz w:val="17"/>
          <w:szCs w:val="17"/>
          <w:i w:val="1"/>
          <w:iCs w:val="1"/>
          <w:color w:val="auto"/>
        </w:rPr>
      </w:pPr>
    </w:p>
    <w:p>
      <w:pPr>
        <w:ind w:left="920" w:hanging="298"/>
        <w:spacing w:after="0"/>
        <w:tabs>
          <w:tab w:leader="none" w:pos="920" w:val="left"/>
        </w:tabs>
        <w:numPr>
          <w:ilvl w:val="0"/>
          <w:numId w:val="1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Total hospice admissions</w:t>
      </w:r>
      <w:r>
        <w:rPr>
          <w:rFonts w:ascii="Times New Roman" w:cs="Times New Roman" w:eastAsia="Times New Roman" w:hAnsi="Times New Roman"/>
          <w:sz w:val="17"/>
          <w:szCs w:val="17"/>
          <w:color w:val="auto"/>
        </w:rPr>
        <w:t>. Total admissions of hospice patients, including new acquisitions, new admissions and recertifications.</w:t>
      </w:r>
    </w:p>
    <w:p>
      <w:pPr>
        <w:spacing w:after="0" w:line="113" w:lineRule="exact"/>
        <w:rPr>
          <w:rFonts w:ascii="Times New Roman" w:cs="Times New Roman" w:eastAsia="Times New Roman" w:hAnsi="Times New Roman"/>
          <w:sz w:val="17"/>
          <w:szCs w:val="17"/>
          <w:b w:val="1"/>
          <w:bCs w:val="1"/>
          <w:i w:val="1"/>
          <w:iCs w:val="1"/>
          <w:color w:val="auto"/>
        </w:rPr>
      </w:pPr>
    </w:p>
    <w:p>
      <w:pPr>
        <w:ind w:left="940" w:hanging="318"/>
        <w:spacing w:after="0" w:line="294" w:lineRule="auto"/>
        <w:tabs>
          <w:tab w:leader="none" w:pos="936" w:val="left"/>
        </w:tabs>
        <w:numPr>
          <w:ilvl w:val="0"/>
          <w:numId w:val="14"/>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Average hospice daily census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average number of patients who are receiving hospice care during any measurement period divided by the number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days during such measurement period.</w:t>
      </w:r>
    </w:p>
    <w:p>
      <w:pPr>
        <w:spacing w:after="0" w:line="36" w:lineRule="exact"/>
        <w:rPr>
          <w:rFonts w:ascii="Times New Roman" w:cs="Times New Roman" w:eastAsia="Times New Roman" w:hAnsi="Times New Roman"/>
          <w:sz w:val="17"/>
          <w:szCs w:val="17"/>
          <w:b w:val="1"/>
          <w:bCs w:val="1"/>
          <w:i w:val="1"/>
          <w:iCs w:val="1"/>
          <w:color w:val="auto"/>
        </w:rPr>
      </w:pPr>
    </w:p>
    <w:p>
      <w:pPr>
        <w:ind w:left="940" w:hanging="318"/>
        <w:spacing w:after="0" w:line="294" w:lineRule="auto"/>
        <w:tabs>
          <w:tab w:leader="none" w:pos="9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Hospice Medicare revenue per day</w:t>
      </w:r>
      <w:r>
        <w:rPr>
          <w:rFonts w:ascii="Times New Roman" w:cs="Times New Roman" w:eastAsia="Times New Roman" w:hAnsi="Times New Roman"/>
          <w:sz w:val="17"/>
          <w:szCs w:val="17"/>
          <w:color w:val="auto"/>
        </w:rPr>
        <w:t>. The average daily Medicare revenue recorded during any measurement period for services provided to hospice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patients.</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overall home health and hospice services statistics for the periods indicated: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560" w:type="dxa"/>
            <w:vAlign w:val="bottom"/>
            <w:tcBorders>
              <w:bottom w:val="single" w:sz="8" w:color="auto"/>
            </w:tcBorders>
          </w:tcPr>
          <w:p>
            <w:pPr>
              <w:spacing w:after="0"/>
              <w:rPr>
                <w:sz w:val="19"/>
                <w:szCs w:val="19"/>
                <w:color w:val="auto"/>
              </w:rPr>
            </w:pPr>
          </w:p>
        </w:tc>
      </w:tr>
      <w:tr>
        <w:trPr>
          <w:trHeight w:val="212"/>
        </w:trPr>
        <w:tc>
          <w:tcPr>
            <w:tcW w:w="8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60" w:type="dxa"/>
            <w:vAlign w:val="bottom"/>
            <w:tcBorders>
              <w:bottom w:val="single" w:sz="8" w:color="auto"/>
            </w:tcBorders>
          </w:tcPr>
          <w:p>
            <w:pPr>
              <w:spacing w:after="0"/>
              <w:rPr>
                <w:sz w:val="18"/>
                <w:szCs w:val="18"/>
                <w:color w:val="auto"/>
              </w:rPr>
            </w:pPr>
          </w:p>
        </w:tc>
      </w:tr>
      <w:tr>
        <w:trPr>
          <w:trHeight w:val="19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Home health services:</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9"/>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home health admissions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86,076</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59,741</w:t>
            </w:r>
          </w:p>
        </w:tc>
      </w:tr>
      <w:tr>
        <w:trPr>
          <w:trHeight w:val="21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Medicare home health admissions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24,598</w:t>
            </w:r>
          </w:p>
        </w:tc>
      </w:tr>
      <w:tr>
        <w:trPr>
          <w:trHeight w:val="219"/>
        </w:trPr>
        <w:tc>
          <w:tcPr>
            <w:tcW w:w="8100" w:type="dxa"/>
            <w:vAlign w:val="bottom"/>
          </w:tcPr>
          <w:p>
            <w:pPr>
              <w:ind w:left="220"/>
              <w:spacing w:after="0" w:line="219" w:lineRule="exact"/>
              <w:rPr>
                <w:sz w:val="20"/>
                <w:szCs w:val="20"/>
                <w:color w:val="auto"/>
              </w:rPr>
            </w:pPr>
            <w:r>
              <w:rPr>
                <w:rFonts w:ascii="Times New Roman" w:cs="Times New Roman" w:eastAsia="Times New Roman" w:hAnsi="Times New Roman"/>
                <w:sz w:val="17"/>
                <w:szCs w:val="17"/>
                <w:color w:val="auto"/>
              </w:rPr>
              <w:t>Average Medicare revenue per completed 60-day home health episode</w:t>
            </w:r>
            <w:r>
              <w:rPr>
                <w:rFonts w:ascii="Times New Roman" w:cs="Times New Roman" w:eastAsia="Times New Roman" w:hAnsi="Times New Roman"/>
                <w:sz w:val="22"/>
                <w:szCs w:val="22"/>
                <w:color w:val="auto"/>
                <w:vertAlign w:val="superscript"/>
              </w:rPr>
              <w:t>(a)</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3,755</w:t>
            </w:r>
          </w:p>
        </w:tc>
        <w:tc>
          <w:tcPr>
            <w:tcW w:w="100" w:type="dxa"/>
            <w:vAlign w:val="bottom"/>
          </w:tcPr>
          <w:p>
            <w:pPr>
              <w:spacing w:after="0"/>
              <w:rPr>
                <w:sz w:val="19"/>
                <w:szCs w:val="19"/>
                <w:color w:val="auto"/>
              </w:rPr>
            </w:pP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3,628</w:t>
            </w: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Hospice services: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19"/>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hospice admissions</w:t>
            </w: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15,189</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12,208</w:t>
            </w:r>
          </w:p>
        </w:tc>
      </w:tr>
      <w:tr>
        <w:trPr>
          <w:trHeight w:val="21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Average hospice daily census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3,268</w:t>
            </w:r>
          </w:p>
        </w:tc>
      </w:tr>
      <w:tr>
        <w:trPr>
          <w:trHeight w:val="223"/>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Hospice Medicare revenue per day</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tcPr>
          <w:p>
            <w:pPr>
              <w:spacing w:after="0"/>
              <w:rPr>
                <w:sz w:val="19"/>
                <w:szCs w:val="19"/>
                <w:color w:val="auto"/>
              </w:rPr>
            </w:pP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w:t>
            </w:r>
          </w:p>
        </w:tc>
      </w:tr>
    </w:tbl>
    <w:p>
      <w:pPr>
        <w:spacing w:after="0" w:line="105" w:lineRule="exact"/>
        <w:rPr>
          <w:sz w:val="20"/>
          <w:szCs w:val="20"/>
          <w:color w:val="auto"/>
        </w:rPr>
      </w:pPr>
    </w:p>
    <w:p>
      <w:pPr>
        <w:ind w:left="460" w:hanging="440"/>
        <w:spacing w:after="0"/>
        <w:tabs>
          <w:tab w:leader="none" w:pos="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 to date average for Medicare revenue per 60-day completed episode includes post period claim adjustments for prior periods.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Senior Living Services</w:t>
      </w:r>
    </w:p>
    <w:p>
      <w:pPr>
        <w:spacing w:after="0" w:line="243" w:lineRule="exact"/>
        <w:rPr>
          <w:sz w:val="20"/>
          <w:szCs w:val="20"/>
          <w:color w:val="auto"/>
        </w:rPr>
      </w:pPr>
    </w:p>
    <w:p>
      <w:pPr>
        <w:ind w:left="940" w:hanging="318"/>
        <w:spacing w:after="0" w:line="294"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Occupancy</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ratio of actual number of days our units are occupied during any measurement period to the number of units available for occupancy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during such measurement period.</w:t>
      </w:r>
    </w:p>
    <w:p>
      <w:pPr>
        <w:spacing w:after="0" w:line="36" w:lineRule="exact"/>
        <w:rPr>
          <w:rFonts w:ascii="Times New Roman" w:cs="Times New Roman" w:eastAsia="Times New Roman" w:hAnsi="Times New Roman"/>
          <w:sz w:val="17"/>
          <w:szCs w:val="17"/>
          <w:color w:val="auto"/>
        </w:rPr>
      </w:pPr>
    </w:p>
    <w:p>
      <w:pPr>
        <w:ind w:left="940" w:hanging="318"/>
        <w:spacing w:after="0" w:line="294" w:lineRule="auto"/>
        <w:tabs>
          <w:tab w:leader="none" w:pos="9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Average monthly revenue per occupied unit</w:t>
      </w:r>
      <w:r>
        <w:rPr>
          <w:rFonts w:ascii="Times New Roman" w:cs="Times New Roman" w:eastAsia="Times New Roman" w:hAnsi="Times New Roman"/>
          <w:sz w:val="17"/>
          <w:szCs w:val="17"/>
          <w:color w:val="auto"/>
        </w:rPr>
        <w:t>. The revenue for senior living services during any measurement period divided by actual occupied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senior living units for such measurement period divided by the number of months for such measurement period.</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senior living statistics for the periods indicated:</w:t>
      </w:r>
    </w:p>
    <w:p>
      <w:pPr>
        <w:spacing w:after="0" w:line="278" w:lineRule="exact"/>
        <w:rPr>
          <w:sz w:val="20"/>
          <w:szCs w:val="20"/>
          <w:color w:val="auto"/>
        </w:rPr>
      </w:pPr>
    </w:p>
    <w:p>
      <w:pPr>
        <w:jc w:val="center"/>
        <w:ind w:left="7840"/>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4995545</wp:posOffset>
            </wp:positionH>
            <wp:positionV relativeFrom="paragraph">
              <wp:posOffset>19685</wp:posOffset>
            </wp:positionV>
            <wp:extent cx="21450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45030" cy="8255"/>
                    </a:xfrm>
                    <a:prstGeom prst="rect">
                      <a:avLst/>
                    </a:prstGeom>
                    <a:noFill/>
                  </pic:spPr>
                </pic:pic>
              </a:graphicData>
            </a:graphic>
          </wp:anchor>
        </w:drawing>
      </w:r>
    </w:p>
    <w:p>
      <w:pPr>
        <w:spacing w:after="0" w:line="17" w:lineRule="exact"/>
        <w:rPr>
          <w:sz w:val="20"/>
          <w:szCs w:val="20"/>
          <w:color w:val="auto"/>
        </w:rPr>
      </w:pPr>
    </w:p>
    <w:p>
      <w:pPr>
        <w:ind w:left="8520"/>
        <w:spacing w:after="0"/>
        <w:tabs>
          <w:tab w:leader="none" w:pos="10240" w:val="left"/>
        </w:tabs>
        <w:rPr>
          <w:sz w:val="20"/>
          <w:szCs w:val="20"/>
          <w:color w:val="auto"/>
        </w:rPr>
      </w:pPr>
      <w:r>
        <w:rPr>
          <w:rFonts w:ascii="Times New Roman" w:cs="Times New Roman" w:eastAsia="Times New Roman" w:hAnsi="Times New Roman"/>
          <w:sz w:val="17"/>
          <w:szCs w:val="17"/>
          <w:b w:val="1"/>
          <w:bCs w:val="1"/>
          <w:color w:val="auto"/>
        </w:rPr>
        <w:t>2025</w:t>
      </w:r>
      <w:r>
        <w:rPr>
          <w:sz w:val="20"/>
          <w:szCs w:val="20"/>
          <w:color w:val="auto"/>
        </w:rPr>
        <w:tab/>
      </w:r>
      <w:r>
        <w:rPr>
          <w:rFonts w:ascii="Times New Roman" w:cs="Times New Roman" w:eastAsia="Times New Roman" w:hAnsi="Times New Roman"/>
          <w:sz w:val="17"/>
          <w:szCs w:val="17"/>
          <w:b w:val="1"/>
          <w:bCs w:val="1"/>
          <w:color w:val="auto"/>
        </w:rPr>
        <w:t>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Occupancy</w:t>
            </w:r>
          </w:p>
        </w:tc>
        <w:tc>
          <w:tcPr>
            <w:tcW w:w="5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79.7 %</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78.8 %</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monthly revenue per occupied unit</w:t>
            </w:r>
          </w:p>
        </w:tc>
        <w:tc>
          <w:tcPr>
            <w:tcW w:w="58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5,195</w:t>
            </w:r>
          </w:p>
        </w:tc>
        <w:tc>
          <w:tcPr>
            <w:tcW w:w="100" w:type="dxa"/>
            <w:vAlign w:val="bottom"/>
          </w:tcPr>
          <w:p>
            <w:pPr>
              <w:spacing w:after="0"/>
              <w:rPr>
                <w:sz w:val="19"/>
                <w:szCs w:val="19"/>
                <w:color w:val="auto"/>
              </w:rPr>
            </w:pPr>
          </w:p>
        </w:tc>
        <w:tc>
          <w:tcPr>
            <w:tcW w:w="580" w:type="dxa"/>
            <w:vAlign w:val="bottom"/>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4,811</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Revenue Sources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Home Health and Hospice Services</w:t>
      </w:r>
    </w:p>
    <w:p>
      <w:pPr>
        <w:spacing w:after="0" w:line="243"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Home Health</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derive the majority of our home health revenue from Medicare and managed care. The Medicare payment is adjusted for differences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between estimated and actual payment amounts, an inability to obtain appropriate billing documentation or authorizations acceptable to the payor and other reasons unrelated to credit risk. Net service revenue is recognized in accordance with PDGM methodology. Under PDGM, Medicare provides agencies with payments for each 30-day period of care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period of care is adjusted to reflect the beneficiary’s health condition and needs, a special outlier provision exists to ensure appropriate payment for those beneficiaries that have the most expensive care needs. The PDGM payment under the Medicare program is also adjusted for certain variables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period of care; (f) changes in the base payments established by the Medicare program; (g) adjustments to the base payments for case mix and geographic wages; and (h) recoveries of overpayments.</w:t>
      </w:r>
    </w:p>
    <w:p>
      <w:pPr>
        <w:spacing w:after="0" w:line="199"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Hospice. </w:t>
      </w:r>
      <w:r>
        <w:rPr>
          <w:rFonts w:ascii="Times New Roman" w:cs="Times New Roman" w:eastAsia="Times New Roman" w:hAnsi="Times New Roman"/>
          <w:sz w:val="17"/>
          <w:szCs w:val="17"/>
          <w:color w:val="auto"/>
        </w:rPr>
        <w:t>We derive the majority of our hospice business revenue from Medicare reimbursement. The estimated payment rates are calculated as daily rates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each of the levels of care we deliver. Rates are set based on specific levels of care, are adjusted by a wage index to reflect healthcare labor costs across the country and are established annually through federal legislation.</w:t>
      </w:r>
    </w:p>
    <w:p>
      <w:pPr>
        <w:spacing w:after="0" w:line="19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CMS has established a two-tiered payment system for RHC. Hospices are reimbursed at a higher rate for RHC services provided from days of service 1 through 60 and a lower rate for all subsequent days of service. CMS also provided for a Service Intensity Add-On, which increases payments for certain RHC services provided by registered nurses and social workers to hospice patients during the final seven days of life.</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Medicare reimbursement is adjusted for an inability to obtain appropriate billing documentation or authorizations acceptable to the payor and other reasons unrelated to credit risk. Additionally, as Medicare hospice revenue is subject to an inpatient cap limit and an overall payment cap, we monitor our provider numbers and based upon empirical experience estimate amounts due back to Medicare to the extent that the cap has been exceeded.</w:t>
      </w:r>
    </w:p>
    <w:p>
      <w:pPr>
        <w:spacing w:after="0" w:line="185" w:lineRule="exact"/>
        <w:rPr>
          <w:sz w:val="20"/>
          <w:szCs w:val="20"/>
          <w:color w:val="auto"/>
        </w:rPr>
      </w:pPr>
    </w:p>
    <w:p>
      <w:pPr>
        <w:jc w:val="both"/>
        <w:ind w:firstLine="61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Senior Living Services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Within our senior living operations, we generate revenue primarily from private pay sources, with a portion earned from</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Medicaid or other state-specific programs.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Primary Components of Expense</w:t>
      </w:r>
    </w:p>
    <w:p>
      <w:pPr>
        <w:spacing w:after="0" w:line="241"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Cost of Services (excluding rent, general and administrative expense and depreciation and amortization)</w:t>
      </w:r>
      <w:r>
        <w:rPr>
          <w:rFonts w:ascii="Times New Roman" w:cs="Times New Roman" w:eastAsia="Times New Roman" w:hAnsi="Times New Roman"/>
          <w:sz w:val="17"/>
          <w:szCs w:val="17"/>
          <w:color w:val="auto"/>
        </w:rPr>
        <w:t>. Our cost of services represents the costs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operating our independent operating subsidiaries, which primarily consists of employee wages and related benefits, share-based compensation, supplies, purchased services, and ancillary expenses such as the cost of pharmacy and therapy services provided to patients or residents. Cost of services also includes the cost of general and professional liability insurance and other general cost of services specifically attributable to our operations.</w:t>
      </w:r>
    </w:p>
    <w:p>
      <w:pPr>
        <w:spacing w:after="0" w:line="161"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Rent—Cost of Services</w:t>
      </w:r>
      <w:r>
        <w:rPr>
          <w:rFonts w:ascii="Times New Roman" w:cs="Times New Roman" w:eastAsia="Times New Roman" w:hAnsi="Times New Roman"/>
          <w:sz w:val="17"/>
          <w:szCs w:val="17"/>
          <w:color w:val="auto"/>
        </w:rPr>
        <w:t>. Rent—cost of services consists solely of base minimum rent amounts payable under lease agreements to our landlords.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subsidiaries lease and operate but do not own the underlying real estate at our operations, and these amounts do not include taxes, insurance, impounds, capital reserves or other charges payable under the applicable lease agreements, which are included in cost of services and general and administrative expense.</w:t>
      </w:r>
    </w:p>
    <w:p>
      <w:pPr>
        <w:spacing w:after="0" w:line="184"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w:t>
      </w:r>
      <w:r>
        <w:rPr>
          <w:rFonts w:ascii="Times New Roman" w:cs="Times New Roman" w:eastAsia="Times New Roman" w:hAnsi="Times New Roman"/>
          <w:sz w:val="17"/>
          <w:szCs w:val="17"/>
          <w:color w:val="auto"/>
        </w:rPr>
        <w:t>. General and administrative expense consists primarily of payroll and related benefits and travel expenses for our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Service Center personnel in providing training and other operational support. General and administrative expense also includes professional fees (such as accounting and legal fees), costs relating to our information systems, share-based compensation and rent for our Service Center offices.</w:t>
      </w:r>
    </w:p>
    <w:p>
      <w:pPr>
        <w:spacing w:after="0" w:line="158" w:lineRule="exact"/>
        <w:rPr>
          <w:sz w:val="20"/>
          <w:szCs w:val="20"/>
          <w:color w:val="auto"/>
        </w:rPr>
      </w:pPr>
    </w:p>
    <w:p>
      <w:pPr>
        <w:jc w:val="both"/>
        <w:ind w:firstLine="61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Depreciation and Amortization</w:t>
      </w:r>
      <w:r>
        <w:rPr>
          <w:rFonts w:ascii="Times New Roman" w:cs="Times New Roman" w:eastAsia="Times New Roman" w:hAnsi="Times New Roman"/>
          <w:sz w:val="17"/>
          <w:szCs w:val="17"/>
          <w:color w:val="auto"/>
        </w:rPr>
        <w:t>. Property and equipment are initially recorded at their historical cost. Depreciation is computed using the straight-line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method over the estimated useful lives of the depreciable assets (ranging from one to 40 years). Leasehold improvements are amortized on a straight-line basis over the shorter of their estimated useful lives or the remaining lease term.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are based on our consolidated financial statements, which have been prepared in accordance with U.S. generally accepted accounting principles (“GAAP”). The preparation of these financial statements and related disclosures requires us to make judgments, estimates and assumptions that affect the reported amounts of assets and liabilities and disclosure of contingent assets and liabilities at the date of the financial statements and the reported amounts of revenue and expenses during the reporting periods. On an ongoing basis we review our judgments and estimates, including but not limited to those related to self-insurance reserves, revenue, and intangible assets and goodwill. We base our estimates and judgments upon our historical experience, knowledge of current conditions and our belief</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of what could occur in the future considering available information, including assumptions that we believe to be reasonable under the circumstances. By their nature, these estimates and judgments are subject to an inherent degree of uncertainty, and actual results could differ materially from the amounts reported. While we believe that our estimates, assumptions, and judgments are reasonable, they are based on information available when the estimate was made. Refer to Note 2, </w:t>
      </w:r>
      <w:r>
        <w:rPr>
          <w:rFonts w:ascii="Times New Roman" w:cs="Times New Roman" w:eastAsia="Times New Roman" w:hAnsi="Times New Roman"/>
          <w:sz w:val="17"/>
          <w:szCs w:val="17"/>
          <w:i w:val="1"/>
          <w:iCs w:val="1"/>
          <w:color w:val="auto"/>
        </w:rPr>
        <w:t>Basis of Presentation and Summary of Significant Accounting Policies</w:t>
      </w:r>
      <w:r>
        <w:rPr>
          <w:rFonts w:ascii="Times New Roman" w:cs="Times New Roman" w:eastAsia="Times New Roman" w:hAnsi="Times New Roman"/>
          <w:sz w:val="17"/>
          <w:szCs w:val="17"/>
          <w:color w:val="auto"/>
        </w:rPr>
        <w:t>, within the Consolidated Financial Statements for further information on our critical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accounting estimates and policies, which are as follows:</w:t>
      </w:r>
    </w:p>
    <w:p>
      <w:pPr>
        <w:spacing w:after="0" w:line="194" w:lineRule="exact"/>
        <w:rPr>
          <w:sz w:val="20"/>
          <w:szCs w:val="20"/>
          <w:color w:val="auto"/>
        </w:rPr>
      </w:pPr>
    </w:p>
    <w:p>
      <w:pPr>
        <w:jc w:val="both"/>
        <w:ind w:left="620" w:hanging="307"/>
        <w:spacing w:after="0" w:line="267"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Self-insurance reserves </w:t>
      </w:r>
      <w:r>
        <w:rPr>
          <w:rFonts w:ascii="Times New Roman" w:cs="Times New Roman" w:eastAsia="Times New Roman" w:hAnsi="Times New Roman"/>
          <w:sz w:val="17"/>
          <w:szCs w:val="17"/>
          <w:color w:val="auto"/>
        </w:rPr>
        <w:t>- The Company is self-insured for general and professional liability, workers’ compensation, automobile, and its employee health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plans while maintaining stop-loss coverage with third-party insurers to limit its total liability exposure. The Company accrues amounts equal to the actuarial estimated costs to settle open claims of insureds, as well as an estimate of the costs of insured claims that have been incurred but not reported. We develop information about the size of the ultimate claims based on historical experience, current industry information, and actuarial analysis;</w:t>
      </w:r>
    </w:p>
    <w:p>
      <w:pPr>
        <w:spacing w:after="0" w:line="58" w:lineRule="exact"/>
        <w:rPr>
          <w:rFonts w:ascii="Times New Roman" w:cs="Times New Roman" w:eastAsia="Times New Roman" w:hAnsi="Times New Roman"/>
          <w:sz w:val="17"/>
          <w:szCs w:val="17"/>
          <w:color w:val="auto"/>
        </w:rPr>
      </w:pPr>
    </w:p>
    <w:p>
      <w:pPr>
        <w:ind w:left="620" w:hanging="307"/>
        <w:spacing w:after="0" w:line="294" w:lineRule="auto"/>
        <w:tabs>
          <w:tab w:leader="none" w:pos="616" w:val="left"/>
        </w:tabs>
        <w:numPr>
          <w:ilvl w:val="0"/>
          <w:numId w:val="1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Revenue recognition </w:t>
      </w:r>
      <w:r>
        <w:rPr>
          <w:rFonts w:ascii="Times New Roman" w:cs="Times New Roman" w:eastAsia="Times New Roman" w:hAnsi="Times New Roman"/>
          <w:sz w:val="17"/>
          <w:szCs w:val="17"/>
          <w:color w:val="auto"/>
        </w:rPr>
        <w:t>- The amounts owed by private pay individuals for services and estimate of variable considerations to arrive at the transaction price,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including methods and assumptions, used to determine settlements with Medicare and Medicaid adjustments due to audits and reviews; and</w:t>
      </w:r>
    </w:p>
    <w:p>
      <w:pPr>
        <w:spacing w:after="0" w:line="36" w:lineRule="exact"/>
        <w:rPr>
          <w:rFonts w:ascii="Times New Roman" w:cs="Times New Roman" w:eastAsia="Times New Roman" w:hAnsi="Times New Roman"/>
          <w:sz w:val="17"/>
          <w:szCs w:val="17"/>
          <w:b w:val="1"/>
          <w:bCs w:val="1"/>
          <w:i w:val="1"/>
          <w:iCs w:val="1"/>
          <w:color w:val="auto"/>
        </w:rPr>
      </w:pPr>
    </w:p>
    <w:p>
      <w:pPr>
        <w:jc w:val="both"/>
        <w:ind w:left="620" w:hanging="307"/>
        <w:spacing w:after="0" w:line="273" w:lineRule="auto"/>
        <w:tabs>
          <w:tab w:leader="none" w:pos="61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Acquisition accounting and goodwill </w:t>
      </w:r>
      <w:r>
        <w:rPr>
          <w:rFonts w:ascii="Times New Roman" w:cs="Times New Roman" w:eastAsia="Times New Roman" w:hAnsi="Times New Roman"/>
          <w:sz w:val="17"/>
          <w:szCs w:val="17"/>
          <w:color w:val="auto"/>
        </w:rPr>
        <w:t>- The assumptions used to allocate the purchase price paid for assets acquired and liabilities assumed in connection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with our acquisitions, and the review of goodwill for impairment at the Company’s annual impairment test date or upon the occurrence of a triggering event.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43" w:lineRule="exact"/>
        <w:rPr>
          <w:sz w:val="20"/>
          <w:szCs w:val="20"/>
          <w:color w:val="auto"/>
        </w:rPr>
      </w:pPr>
    </w:p>
    <w:p>
      <w:pPr>
        <w:ind w:firstLine="223"/>
        <w:spacing w:after="0" w:line="292" w:lineRule="auto"/>
        <w:rPr>
          <w:sz w:val="20"/>
          <w:szCs w:val="20"/>
          <w:color w:val="auto"/>
        </w:rPr>
      </w:pPr>
      <w:r>
        <w:rPr>
          <w:rFonts w:ascii="Times New Roman" w:cs="Times New Roman" w:eastAsia="Times New Roman" w:hAnsi="Times New Roman"/>
          <w:sz w:val="17"/>
          <w:szCs w:val="17"/>
          <w:color w:val="auto"/>
        </w:rPr>
        <w:t xml:space="preserve">Information concerning recently issued accounting pronouncements which are not yet effective is included in Note 2, </w:t>
      </w:r>
      <w:r>
        <w:rPr>
          <w:rFonts w:ascii="Times New Roman" w:cs="Times New Roman" w:eastAsia="Times New Roman" w:hAnsi="Times New Roman"/>
          <w:sz w:val="17"/>
          <w:szCs w:val="17"/>
          <w:i w:val="1"/>
          <w:iCs w:val="1"/>
          <w:color w:val="auto"/>
        </w:rPr>
        <w:t>Basis of Presentation and Summary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Significant Accounting Policies </w:t>
      </w:r>
      <w:r>
        <w:rPr>
          <w:rFonts w:ascii="Times New Roman" w:cs="Times New Roman" w:eastAsia="Times New Roman" w:hAnsi="Times New Roman"/>
          <w:sz w:val="17"/>
          <w:szCs w:val="17"/>
          <w:color w:val="auto"/>
        </w:rPr>
        <w:t>in the Consolidated Financial Statements.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details of our expenses and earnings as a percentage of total revenue for the periods indicated: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40" w:type="dxa"/>
            <w:vAlign w:val="bottom"/>
          </w:tcPr>
          <w:p>
            <w:pPr>
              <w:spacing w:after="0"/>
              <w:rPr>
                <w:sz w:val="19"/>
                <w:szCs w:val="19"/>
                <w:color w:val="auto"/>
              </w:rPr>
            </w:pPr>
          </w:p>
        </w:tc>
        <w:tc>
          <w:tcPr>
            <w:tcW w:w="3220" w:type="dxa"/>
            <w:vAlign w:val="bottom"/>
            <w:tcBorders>
              <w:bottom w:val="single" w:sz="8" w:color="auto"/>
            </w:tcBorders>
            <w:gridSpan w:val="5"/>
          </w:tcPr>
          <w:p>
            <w:pPr>
              <w:ind w:left="114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980" w:type="dxa"/>
            <w:vAlign w:val="bottom"/>
            <w:tcBorders>
              <w:bottom w:val="single" w:sz="8" w:color="auto"/>
            </w:tcBorders>
          </w:tcPr>
          <w:p>
            <w:pPr>
              <w:spacing w:after="0"/>
              <w:rPr>
                <w:sz w:val="19"/>
                <w:szCs w:val="19"/>
                <w:color w:val="auto"/>
              </w:rPr>
            </w:pPr>
          </w:p>
        </w:tc>
      </w:tr>
      <w:tr>
        <w:trPr>
          <w:trHeight w:val="212"/>
        </w:trPr>
        <w:tc>
          <w:tcPr>
            <w:tcW w:w="7040" w:type="dxa"/>
            <w:vAlign w:val="bottom"/>
          </w:tcPr>
          <w:p>
            <w:pPr>
              <w:spacing w:after="0"/>
              <w:rPr>
                <w:sz w:val="18"/>
                <w:szCs w:val="18"/>
                <w:color w:val="auto"/>
              </w:rPr>
            </w:pPr>
          </w:p>
        </w:tc>
        <w:tc>
          <w:tcPr>
            <w:tcW w:w="13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9"/>
        </w:trPr>
        <w:tc>
          <w:tcPr>
            <w:tcW w:w="7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Cost of services</w:t>
            </w: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81.1</w:t>
            </w:r>
          </w:p>
        </w:tc>
        <w:tc>
          <w:tcPr>
            <w:tcW w:w="10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80.3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80.4</w:t>
            </w:r>
          </w:p>
        </w:tc>
      </w:tr>
      <w:tr>
        <w:trPr>
          <w:trHeight w:val="21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Rent—cost of services</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5.1</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7.3</w:t>
            </w:r>
          </w:p>
        </w:tc>
      </w:tr>
      <w:tr>
        <w:trPr>
          <w:trHeight w:val="219"/>
        </w:trPr>
        <w:tc>
          <w:tcPr>
            <w:tcW w:w="70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and administrative expense</w:t>
            </w: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7.5</w:t>
            </w:r>
          </w:p>
        </w:tc>
        <w:tc>
          <w:tcPr>
            <w:tcW w:w="10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7.2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6.7</w:t>
            </w:r>
          </w:p>
        </w:tc>
      </w:tr>
      <w:tr>
        <w:trPr>
          <w:trHeight w:val="219"/>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0.9</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0.9</w:t>
            </w:r>
          </w:p>
        </w:tc>
      </w:tr>
      <w:tr>
        <w:trPr>
          <w:trHeight w:val="219"/>
        </w:trPr>
        <w:tc>
          <w:tcPr>
            <w:tcW w:w="7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Gain on asset dispositions and impairment, net</w:t>
            </w:r>
          </w:p>
        </w:tc>
        <w:tc>
          <w:tcPr>
            <w:tcW w:w="13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(0.1)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70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expenses</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94.5</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94.5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95.3</w:t>
            </w:r>
          </w:p>
        </w:tc>
      </w:tr>
      <w:tr>
        <w:trPr>
          <w:trHeight w:val="219"/>
        </w:trPr>
        <w:tc>
          <w:tcPr>
            <w:tcW w:w="7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3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9"/>
                <w:szCs w:val="19"/>
                <w:color w:val="auto"/>
              </w:rPr>
            </w:pPr>
          </w:p>
        </w:tc>
        <w:tc>
          <w:tcPr>
            <w:tcW w:w="13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5.5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4.7</w:t>
            </w:r>
          </w:p>
        </w:tc>
      </w:tr>
      <w:tr>
        <w:trPr>
          <w:trHeight w:val="21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 net:</w:t>
            </w: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9"/>
        </w:trPr>
        <w:tc>
          <w:tcPr>
            <w:tcW w:w="70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Other income</w:t>
            </w:r>
          </w:p>
        </w:tc>
        <w:tc>
          <w:tcPr>
            <w:tcW w:w="144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gridSpan w:val="3"/>
          </w:tcPr>
          <w:p>
            <w:pPr>
              <w:jc w:val="right"/>
              <w:ind w:right="6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0.1</w:t>
            </w:r>
          </w:p>
        </w:tc>
      </w:tr>
      <w:tr>
        <w:trPr>
          <w:trHeight w:val="219"/>
        </w:trPr>
        <w:tc>
          <w:tcPr>
            <w:tcW w:w="7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Interest expense, net</w:t>
            </w:r>
          </w:p>
        </w:tc>
        <w:tc>
          <w:tcPr>
            <w:tcW w:w="13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(1.2)</w:t>
            </w:r>
          </w:p>
        </w:tc>
      </w:tr>
      <w:tr>
        <w:trPr>
          <w:trHeight w:val="212"/>
        </w:trPr>
        <w:tc>
          <w:tcPr>
            <w:tcW w:w="7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Other expense, net</w:t>
            </w:r>
          </w:p>
        </w:tc>
        <w:tc>
          <w:tcPr>
            <w:tcW w:w="13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(0.7)</w:t>
            </w: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(1.1)</w:t>
            </w:r>
          </w:p>
        </w:tc>
      </w:tr>
      <w:tr>
        <w:trPr>
          <w:trHeight w:val="212"/>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4.8</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3.6</w:t>
            </w:r>
          </w:p>
        </w:tc>
      </w:tr>
      <w:tr>
        <w:trPr>
          <w:trHeight w:val="21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3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1.0</w:t>
            </w:r>
          </w:p>
        </w:tc>
      </w:tr>
      <w:tr>
        <w:trPr>
          <w:trHeight w:val="212"/>
        </w:trPr>
        <w:tc>
          <w:tcPr>
            <w:tcW w:w="70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w:t>
            </w:r>
          </w:p>
        </w:tc>
        <w:tc>
          <w:tcPr>
            <w:tcW w:w="13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3.6</w:t>
            </w: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2.6</w:t>
            </w:r>
          </w:p>
        </w:tc>
      </w:tr>
      <w:tr>
        <w:trPr>
          <w:trHeight w:val="219"/>
        </w:trPr>
        <w:tc>
          <w:tcPr>
            <w:tcW w:w="70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w:t>
            </w:r>
          </w:p>
        </w:tc>
        <w:tc>
          <w:tcPr>
            <w:tcW w:w="13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0.3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0.1</w:t>
            </w:r>
          </w:p>
        </w:tc>
      </w:tr>
      <w:tr>
        <w:trPr>
          <w:trHeight w:val="237"/>
        </w:trPr>
        <w:tc>
          <w:tcPr>
            <w:tcW w:w="70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income attributable to Pennant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1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3.2 %</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2.5 %</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5"/>
        </w:trPr>
        <w:tc>
          <w:tcPr>
            <w:tcW w:w="7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792"/>
        </w:trPr>
        <w:tc>
          <w:tcPr>
            <w:tcW w:w="1220" w:type="dxa"/>
            <w:vAlign w:val="bottom"/>
            <w:tcBorders>
              <w:top w:val="single" w:sz="8" w:color="0000FF"/>
            </w:tcBorders>
          </w:tcPr>
          <w:p>
            <w:pPr>
              <w:spacing w:after="0"/>
              <w:rPr>
                <w:sz w:val="24"/>
                <w:szCs w:val="24"/>
                <w:color w:val="auto"/>
              </w:rPr>
            </w:pPr>
          </w:p>
        </w:tc>
        <w:tc>
          <w:tcPr>
            <w:tcW w:w="6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6"/>
          </w:tcPr>
          <w:p>
            <w:pPr>
              <w:jc w:val="center"/>
              <w:ind w:left="53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r>
      <w:tr>
        <w:trPr>
          <w:trHeight w:val="212"/>
        </w:trPr>
        <w:tc>
          <w:tcPr>
            <w:tcW w:w="12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122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Consolidated GAAP Financial Measures: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9"/>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947,705</w:t>
            </w:r>
          </w:p>
        </w:tc>
        <w:tc>
          <w:tcPr>
            <w:tcW w:w="100" w:type="dxa"/>
            <w:vAlign w:val="bottom"/>
          </w:tcPr>
          <w:p>
            <w:pPr>
              <w:spacing w:after="0"/>
              <w:rPr>
                <w:sz w:val="19"/>
                <w:szCs w:val="19"/>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695,240</w:t>
            </w:r>
          </w:p>
        </w:tc>
        <w:tc>
          <w:tcPr>
            <w:tcW w:w="8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544,891</w:t>
            </w:r>
          </w:p>
        </w:tc>
      </w:tr>
      <w:tr>
        <w:trPr>
          <w:trHeight w:val="219"/>
        </w:trPr>
        <w:tc>
          <w:tcPr>
            <w:tcW w:w="7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expenses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895,819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657,124</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519,722</w:t>
            </w:r>
          </w:p>
        </w:tc>
      </w:tr>
      <w:tr>
        <w:trPr>
          <w:trHeight w:val="216"/>
        </w:trPr>
        <w:tc>
          <w:tcPr>
            <w:tcW w:w="73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51,886</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38,116</w:t>
            </w:r>
          </w:p>
        </w:tc>
        <w:tc>
          <w:tcPr>
            <w:tcW w:w="80" w:type="dxa"/>
            <w:vAlign w:val="bottom"/>
          </w:tcPr>
          <w:p>
            <w:pPr>
              <w:spacing w:after="0"/>
              <w:rPr>
                <w:sz w:val="18"/>
                <w:szCs w:val="18"/>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25,169</w:t>
            </w:r>
          </w:p>
        </w:tc>
      </w:tr>
    </w:tbl>
    <w:p>
      <w:pPr>
        <w:spacing w:after="0" w:line="302"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certain financial information regarding our reportable segments. General and administrative expenses are not allocated to the reportable segments: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Home Health and</w:t>
            </w:r>
          </w:p>
        </w:tc>
        <w:tc>
          <w:tcPr>
            <w:tcW w:w="200" w:type="dxa"/>
            <w:vAlign w:val="bottom"/>
          </w:tcPr>
          <w:p>
            <w:pPr>
              <w:spacing w:after="0"/>
              <w:rPr>
                <w:sz w:val="17"/>
                <w:szCs w:val="17"/>
                <w:color w:val="auto"/>
              </w:rPr>
            </w:pPr>
          </w:p>
        </w:tc>
        <w:tc>
          <w:tcPr>
            <w:tcW w:w="132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Senior Living</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340" w:type="dxa"/>
            <w:vAlign w:val="bottom"/>
          </w:tcPr>
          <w:p>
            <w:pPr>
              <w:spacing w:after="0"/>
              <w:rPr>
                <w:sz w:val="17"/>
                <w:szCs w:val="17"/>
                <w:color w:val="auto"/>
              </w:rPr>
            </w:pPr>
          </w:p>
        </w:tc>
        <w:tc>
          <w:tcPr>
            <w:tcW w:w="1180" w:type="dxa"/>
            <w:vAlign w:val="bottom"/>
            <w:vMerge w:val="restart"/>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2"/>
        </w:trPr>
        <w:tc>
          <w:tcPr>
            <w:tcW w:w="4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Hospice Services</w:t>
            </w:r>
          </w:p>
        </w:tc>
        <w:tc>
          <w:tcPr>
            <w:tcW w:w="200" w:type="dxa"/>
            <w:vAlign w:val="bottom"/>
          </w:tcPr>
          <w:p>
            <w:pPr>
              <w:spacing w:after="0"/>
              <w:rPr>
                <w:sz w:val="20"/>
                <w:szCs w:val="20"/>
                <w:color w:val="auto"/>
              </w:rPr>
            </w:pPr>
          </w:p>
        </w:tc>
        <w:tc>
          <w:tcPr>
            <w:tcW w:w="132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Services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2025</w:t>
            </w: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731,392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210,078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6,235</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947,705</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Segment Cost of Services</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610,561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Adjusted EBITDAR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120,831</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181,356</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515,344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174,767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5,129</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695,240</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Segment Cost of Services</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427,635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Adjusted EBITDAR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87,709</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139,369</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385,652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148,198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11,041</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544,891</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Segment Cost of Services</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320,046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Adjusted EBITDAR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65,606</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110,900</w:t>
            </w:r>
          </w:p>
        </w:tc>
        <w:tc>
          <w:tcPr>
            <w:tcW w:w="0" w:type="dxa"/>
            <w:vAlign w:val="bottom"/>
          </w:tcPr>
          <w:p>
            <w:pPr>
              <w:spacing w:after="0"/>
              <w:rPr>
                <w:sz w:val="1"/>
                <w:szCs w:val="1"/>
                <w:color w:val="auto"/>
              </w:rPr>
            </w:pPr>
          </w:p>
        </w:tc>
      </w:tr>
    </w:tbl>
    <w:p>
      <w:pPr>
        <w:spacing w:after="0" w:line="2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provides a reconciliation of Segment Adjusted EBITDAR from Operations above to income from operations: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98"/>
              </w:rPr>
              <w:t>Year Ended December 31,</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7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12"/>
        </w:trPr>
        <w:tc>
          <w:tcPr>
            <w:tcW w:w="4760" w:type="dxa"/>
            <w:vAlign w:val="bottom"/>
          </w:tcPr>
          <w:p>
            <w:pPr>
              <w:ind w:left="20"/>
              <w:spacing w:after="0" w:line="212" w:lineRule="exact"/>
              <w:rPr>
                <w:sz w:val="20"/>
                <w:szCs w:val="20"/>
                <w:color w:val="auto"/>
              </w:rPr>
            </w:pPr>
            <w:r>
              <w:rPr>
                <w:rFonts w:ascii="Times New Roman" w:cs="Times New Roman" w:eastAsia="Times New Roman" w:hAnsi="Times New Roman"/>
                <w:sz w:val="17"/>
                <w:szCs w:val="17"/>
                <w:color w:val="auto"/>
              </w:rPr>
              <w:t>Segment Adjusted EBITDAR from Operations</w:t>
            </w:r>
            <w:r>
              <w:rPr>
                <w:rFonts w:ascii="Times New Roman" w:cs="Times New Roman" w:eastAsia="Times New Roman" w:hAnsi="Times New Roman"/>
                <w:sz w:val="22"/>
                <w:szCs w:val="22"/>
                <w:color w:val="auto"/>
                <w:vertAlign w:val="superscript"/>
              </w:rPr>
              <w:t>(a)</w:t>
            </w:r>
          </w:p>
        </w:tc>
        <w:tc>
          <w:tcPr>
            <w:tcW w:w="158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181,356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139,369</w:t>
            </w:r>
          </w:p>
        </w:tc>
        <w:tc>
          <w:tcPr>
            <w:tcW w:w="16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110,900</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Unallocated corporate expenses</w:t>
            </w:r>
          </w:p>
        </w:tc>
        <w:tc>
          <w:tcPr>
            <w:tcW w:w="1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60,455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43,587</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31,704</w:t>
            </w:r>
          </w:p>
        </w:tc>
        <w:tc>
          <w:tcPr>
            <w:tcW w:w="0" w:type="dxa"/>
            <w:vAlign w:val="bottom"/>
          </w:tcPr>
          <w:p>
            <w:pPr>
              <w:spacing w:after="0"/>
              <w:rPr>
                <w:sz w:val="1"/>
                <w:szCs w:val="1"/>
                <w:color w:val="auto"/>
              </w:rPr>
            </w:pPr>
          </w:p>
        </w:tc>
      </w:tr>
      <w:tr>
        <w:trPr>
          <w:trHeight w:val="219"/>
        </w:trPr>
        <w:tc>
          <w:tcPr>
            <w:tcW w:w="4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Depreciation and amortization</w:t>
            </w: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6,119</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5,130</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Rent—cost of services</w:t>
            </w:r>
          </w:p>
        </w:tc>
        <w:tc>
          <w:tcPr>
            <w:tcW w:w="1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48,700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43,029</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39,759</w:t>
            </w:r>
          </w:p>
        </w:tc>
        <w:tc>
          <w:tcPr>
            <w:tcW w:w="0" w:type="dxa"/>
            <w:vAlign w:val="bottom"/>
          </w:tcPr>
          <w:p>
            <w:pPr>
              <w:spacing w:after="0"/>
              <w:rPr>
                <w:sz w:val="1"/>
                <w:szCs w:val="1"/>
                <w:color w:val="auto"/>
              </w:rPr>
            </w:pPr>
          </w:p>
        </w:tc>
      </w:tr>
      <w:tr>
        <w:trPr>
          <w:trHeight w:val="219"/>
        </w:trPr>
        <w:tc>
          <w:tcPr>
            <w:tcW w:w="47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Other income</w:t>
            </w: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Segment EBITDAR from Operations:</w:t>
            </w:r>
          </w:p>
        </w:tc>
        <w:tc>
          <w:tcPr>
            <w:tcW w:w="1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76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Less: Start-up operations </w:t>
            </w:r>
            <w:r>
              <w:rPr>
                <w:rFonts w:ascii="Times New Roman" w:cs="Times New Roman" w:eastAsia="Times New Roman" w:hAnsi="Times New Roman"/>
                <w:sz w:val="22"/>
                <w:szCs w:val="22"/>
                <w:color w:val="auto"/>
                <w:vertAlign w:val="superscript"/>
              </w:rPr>
              <w:t>(b)</w:t>
            </w: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440"/>
              <w:spacing w:after="0" w:line="219" w:lineRule="exact"/>
              <w:rPr>
                <w:sz w:val="20"/>
                <w:szCs w:val="20"/>
                <w:color w:val="auto"/>
              </w:rPr>
            </w:pPr>
            <w:r>
              <w:rPr>
                <w:rFonts w:ascii="Times New Roman" w:cs="Times New Roman" w:eastAsia="Times New Roman" w:hAnsi="Times New Roman"/>
                <w:sz w:val="17"/>
                <w:szCs w:val="17"/>
                <w:color w:val="auto"/>
              </w:rPr>
              <w:t>Share-based compensation expense</w:t>
            </w:r>
            <w:r>
              <w:rPr>
                <w:rFonts w:ascii="Times New Roman" w:cs="Times New Roman" w:eastAsia="Times New Roman" w:hAnsi="Times New Roman"/>
                <w:sz w:val="22"/>
                <w:szCs w:val="22"/>
                <w:color w:val="auto"/>
                <w:vertAlign w:val="superscript"/>
              </w:rPr>
              <w:t>(c)</w:t>
            </w:r>
          </w:p>
        </w:tc>
        <w:tc>
          <w:tcPr>
            <w:tcW w:w="1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8,242</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5,565</w:t>
            </w:r>
          </w:p>
        </w:tc>
        <w:tc>
          <w:tcPr>
            <w:tcW w:w="0" w:type="dxa"/>
            <w:vAlign w:val="bottom"/>
          </w:tcPr>
          <w:p>
            <w:pPr>
              <w:spacing w:after="0"/>
              <w:rPr>
                <w:sz w:val="1"/>
                <w:szCs w:val="1"/>
                <w:color w:val="auto"/>
              </w:rPr>
            </w:pPr>
          </w:p>
        </w:tc>
      </w:tr>
      <w:tr>
        <w:trPr>
          <w:trHeight w:val="219"/>
        </w:trPr>
        <w:tc>
          <w:tcPr>
            <w:tcW w:w="4760" w:type="dxa"/>
            <w:vAlign w:val="bottom"/>
          </w:tcPr>
          <w:p>
            <w:pPr>
              <w:ind w:left="440"/>
              <w:spacing w:after="0" w:line="219" w:lineRule="exact"/>
              <w:rPr>
                <w:sz w:val="20"/>
                <w:szCs w:val="20"/>
                <w:color w:val="auto"/>
              </w:rPr>
            </w:pPr>
            <w:r>
              <w:rPr>
                <w:rFonts w:ascii="Times New Roman" w:cs="Times New Roman" w:eastAsia="Times New Roman" w:hAnsi="Times New Roman"/>
                <w:sz w:val="17"/>
                <w:szCs w:val="17"/>
                <w:color w:val="auto"/>
              </w:rPr>
              <w:t>Acquisition related costs</w:t>
            </w:r>
            <w:r>
              <w:rPr>
                <w:rFonts w:ascii="Times New Roman" w:cs="Times New Roman" w:eastAsia="Times New Roman" w:hAnsi="Times New Roman"/>
                <w:sz w:val="22"/>
                <w:szCs w:val="22"/>
                <w:color w:val="auto"/>
                <w:vertAlign w:val="superscript"/>
              </w:rPr>
              <w:t>(d)</w:t>
            </w: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1,278</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440"/>
              <w:spacing w:after="0" w:line="219" w:lineRule="exact"/>
              <w:rPr>
                <w:sz w:val="20"/>
                <w:szCs w:val="20"/>
                <w:color w:val="auto"/>
              </w:rPr>
            </w:pPr>
            <w:r>
              <w:rPr>
                <w:rFonts w:ascii="Times New Roman" w:cs="Times New Roman" w:eastAsia="Times New Roman" w:hAnsi="Times New Roman"/>
                <w:sz w:val="17"/>
                <w:szCs w:val="17"/>
                <w:color w:val="auto"/>
              </w:rPr>
              <w:t>Activities associated with transitioning operations</w:t>
            </w:r>
            <w:r>
              <w:rPr>
                <w:rFonts w:ascii="Times New Roman" w:cs="Times New Roman" w:eastAsia="Times New Roman" w:hAnsi="Times New Roman"/>
                <w:sz w:val="22"/>
                <w:szCs w:val="22"/>
                <w:color w:val="auto"/>
                <w:vertAlign w:val="superscript"/>
              </w:rPr>
              <w:t>(e)</w:t>
            </w:r>
          </w:p>
        </w:tc>
        <w:tc>
          <w:tcPr>
            <w:tcW w:w="1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c>
          <w:tcPr>
            <w:tcW w:w="0" w:type="dxa"/>
            <w:vAlign w:val="bottom"/>
          </w:tcPr>
          <w:p>
            <w:pPr>
              <w:spacing w:after="0"/>
              <w:rPr>
                <w:sz w:val="1"/>
                <w:szCs w:val="1"/>
                <w:color w:val="auto"/>
              </w:rPr>
            </w:pPr>
          </w:p>
        </w:tc>
      </w:tr>
      <w:tr>
        <w:trPr>
          <w:trHeight w:val="219"/>
        </w:trPr>
        <w:tc>
          <w:tcPr>
            <w:tcW w:w="4760" w:type="dxa"/>
            <w:vAlign w:val="bottom"/>
          </w:tcPr>
          <w:p>
            <w:pPr>
              <w:ind w:left="440"/>
              <w:spacing w:after="0" w:line="219" w:lineRule="exact"/>
              <w:rPr>
                <w:sz w:val="20"/>
                <w:szCs w:val="20"/>
                <w:color w:val="auto"/>
              </w:rPr>
            </w:pPr>
            <w:r>
              <w:rPr>
                <w:rFonts w:ascii="Times New Roman" w:cs="Times New Roman" w:eastAsia="Times New Roman" w:hAnsi="Times New Roman"/>
                <w:sz w:val="17"/>
                <w:szCs w:val="17"/>
                <w:color w:val="auto"/>
              </w:rPr>
              <w:t>Transition services costs</w:t>
            </w:r>
            <w:r>
              <w:rPr>
                <w:rFonts w:ascii="Times New Roman" w:cs="Times New Roman" w:eastAsia="Times New Roman" w:hAnsi="Times New Roman"/>
                <w:sz w:val="22"/>
                <w:szCs w:val="22"/>
                <w:color w:val="auto"/>
                <w:vertAlign w:val="superscript"/>
              </w:rPr>
              <w:t>(f)</w:t>
            </w:r>
          </w:p>
        </w:tc>
        <w:tc>
          <w:tcPr>
            <w:tcW w:w="1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4760" w:type="dxa"/>
            <w:vAlign w:val="bottom"/>
            <w:shd w:val="clear" w:color="auto" w:fill="CCEEFF"/>
          </w:tcPr>
          <w:p>
            <w:pPr>
              <w:ind w:left="440"/>
              <w:spacing w:after="0" w:line="219" w:lineRule="exact"/>
              <w:rPr>
                <w:sz w:val="20"/>
                <w:szCs w:val="20"/>
                <w:color w:val="auto"/>
              </w:rPr>
            </w:pPr>
            <w:r>
              <w:rPr>
                <w:rFonts w:ascii="Times New Roman" w:cs="Times New Roman" w:eastAsia="Times New Roman" w:hAnsi="Times New Roman"/>
                <w:sz w:val="17"/>
                <w:szCs w:val="17"/>
                <w:color w:val="auto"/>
              </w:rPr>
              <w:t>Unusual, non-recurring, or redundant charges</w:t>
            </w:r>
            <w:r>
              <w:rPr>
                <w:rFonts w:ascii="Times New Roman" w:cs="Times New Roman" w:eastAsia="Times New Roman" w:hAnsi="Times New Roman"/>
                <w:sz w:val="22"/>
                <w:szCs w:val="22"/>
                <w:color w:val="auto"/>
                <w:vertAlign w:val="superscript"/>
              </w:rPr>
              <w:t>(g)</w:t>
            </w:r>
          </w:p>
        </w:tc>
        <w:tc>
          <w:tcPr>
            <w:tcW w:w="15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2,575</w:t>
            </w:r>
          </w:p>
        </w:tc>
        <w:tc>
          <w:tcPr>
            <w:tcW w:w="0" w:type="dxa"/>
            <w:vAlign w:val="bottom"/>
          </w:tcPr>
          <w:p>
            <w:pPr>
              <w:spacing w:after="0"/>
              <w:rPr>
                <w:sz w:val="1"/>
                <w:szCs w:val="1"/>
                <w:color w:val="auto"/>
              </w:rPr>
            </w:pPr>
          </w:p>
        </w:tc>
      </w:tr>
      <w:tr>
        <w:trPr>
          <w:trHeight w:val="219"/>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Add: Net income attributable to noncontrolling interest</w:t>
            </w:r>
          </w:p>
        </w:tc>
        <w:tc>
          <w:tcPr>
            <w:tcW w:w="15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1,780</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0" w:type="dxa"/>
            <w:vAlign w:val="bottom"/>
          </w:tcPr>
          <w:p>
            <w:pPr>
              <w:spacing w:after="0"/>
              <w:rPr>
                <w:sz w:val="1"/>
                <w:szCs w:val="1"/>
                <w:color w:val="auto"/>
              </w:rPr>
            </w:pPr>
          </w:p>
        </w:tc>
      </w:tr>
      <w:tr>
        <w:trPr>
          <w:trHeight w:val="237"/>
        </w:trPr>
        <w:tc>
          <w:tcPr>
            <w:tcW w:w="4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15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51,886</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38,116</w:t>
            </w:r>
          </w:p>
        </w:tc>
        <w:tc>
          <w:tcPr>
            <w:tcW w:w="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25,169</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jc w:val="right"/>
              <w:ind w:right="554"/>
              <w:spacing w:after="0"/>
              <w:rPr>
                <w:sz w:val="20"/>
                <w:szCs w:val="20"/>
                <w:color w:val="auto"/>
              </w:rPr>
            </w:pPr>
            <w:r>
              <w:rPr>
                <w:rFonts w:ascii="Times New Roman" w:cs="Times New Roman" w:eastAsia="Times New Roman" w:hAnsi="Times New Roman"/>
                <w:sz w:val="17"/>
                <w:szCs w:val="17"/>
                <w:color w:val="auto"/>
              </w:rPr>
              <w:t>35</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476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76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74" w:lineRule="exact"/>
        <w:rPr>
          <w:sz w:val="20"/>
          <w:szCs w:val="20"/>
          <w:color w:val="auto"/>
        </w:rPr>
      </w:pPr>
    </w:p>
    <w:p>
      <w:pPr>
        <w:jc w:val="both"/>
        <w:ind w:left="460" w:right="180" w:hanging="440"/>
        <w:spacing w:after="0" w:line="213" w:lineRule="auto"/>
        <w:tabs>
          <w:tab w:leader="none" w:pos="4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Segment Adjusted EBITDAR from Operations is net income attributable to the Company's reportable segments excluding interest expense, provision for income taxes, depreciation and amortization expense, rent, unallocated corporate and administrative expenses, and, in order to view the operations’ performance on a comparable basis from period to period, certain adjustments including: (1) activities associated with start-up operations, (2) share-based compensation expense, (3) acquisition related costs, (4) activities associated with transitioning operations, (5) transition services costs, (6) unusual, non-recurring, or redundant charges, and (7) net income attributable to noncontrolling interest. “All Other” consists of revenues generated at operating locations not included in the segment financial information reviewed by the CODM. Revenue included in the “All Other” category is insignificant individually, and therefore does not constitute a reportable segment. General and administrative expenses are not allocated to the reportable segments, and are included as “Unallocated corporate expenses”,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spacing w:after="0" w:line="4" w:lineRule="exact"/>
        <w:rPr>
          <w:rFonts w:ascii="Times New Roman" w:cs="Times New Roman" w:eastAsia="Times New Roman" w:hAnsi="Times New Roman"/>
          <w:sz w:val="14"/>
          <w:szCs w:val="14"/>
          <w:color w:val="auto"/>
        </w:rPr>
      </w:pPr>
    </w:p>
    <w:p>
      <w:pPr>
        <w:ind w:left="460" w:hanging="440"/>
        <w:spacing w:after="0"/>
        <w:tabs>
          <w:tab w:leader="none" w:pos="4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results related to start-up operations. This amount excludes rent and depreciation and amortization expense related to such operations.</w:t>
      </w:r>
    </w:p>
    <w:p>
      <w:pPr>
        <w:spacing w:after="0" w:line="45" w:lineRule="exact"/>
        <w:rPr>
          <w:rFonts w:ascii="Times New Roman" w:cs="Times New Roman" w:eastAsia="Times New Roman" w:hAnsi="Times New Roman"/>
          <w:sz w:val="14"/>
          <w:szCs w:val="14"/>
          <w:color w:val="auto"/>
        </w:rPr>
      </w:pPr>
    </w:p>
    <w:p>
      <w:pPr>
        <w:ind w:left="460" w:right="180" w:hanging="440"/>
        <w:spacing w:after="0" w:line="275" w:lineRule="auto"/>
        <w:tabs>
          <w:tab w:leader="none" w:pos="4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expense and related payroll taxes incurred. Share-based compensation expense and related payroll taxes are included in cost of services and general and administrative expense.</w:t>
      </w:r>
    </w:p>
    <w:p>
      <w:pPr>
        <w:spacing w:after="0" w:line="17" w:lineRule="exact"/>
        <w:rPr>
          <w:rFonts w:ascii="Times New Roman" w:cs="Times New Roman" w:eastAsia="Times New Roman" w:hAnsi="Times New Roman"/>
          <w:sz w:val="14"/>
          <w:szCs w:val="14"/>
          <w:color w:val="auto"/>
        </w:rPr>
      </w:pPr>
    </w:p>
    <w:p>
      <w:pPr>
        <w:ind w:left="460" w:hanging="440"/>
        <w:spacing w:after="0"/>
        <w:tabs>
          <w:tab w:leader="none" w:pos="4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Non-capitalizable costs associated with acquisitions and write-offs for amounts in dispute with the prior owners of certain acquired operations.</w:t>
      </w:r>
    </w:p>
    <w:p>
      <w:pPr>
        <w:spacing w:after="0" w:line="58" w:lineRule="exact"/>
        <w:rPr>
          <w:rFonts w:ascii="Times New Roman" w:cs="Times New Roman" w:eastAsia="Times New Roman" w:hAnsi="Times New Roman"/>
          <w:sz w:val="14"/>
          <w:szCs w:val="14"/>
          <w:color w:val="auto"/>
        </w:rPr>
      </w:pPr>
    </w:p>
    <w:p>
      <w:pPr>
        <w:jc w:val="both"/>
        <w:ind w:left="460" w:right="200" w:hanging="440"/>
        <w:spacing w:after="0" w:line="262" w:lineRule="auto"/>
        <w:tabs>
          <w:tab w:leader="none" w:pos="4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2023, an affiliate of the Company placed its memory care units into transition and is converting the facility into an assisted living community. We received insurance proceeds related to the property in 2024 and 2025 which were recorded in gain on disposition of property and equipment, net on the consolidated statements of income. The amounts reported exclude rent and depreciation and amortization expense related to such operations.</w:t>
      </w:r>
    </w:p>
    <w:p>
      <w:pPr>
        <w:spacing w:after="0" w:line="14" w:lineRule="exact"/>
        <w:rPr>
          <w:rFonts w:ascii="Times New Roman" w:cs="Times New Roman" w:eastAsia="Times New Roman" w:hAnsi="Times New Roman"/>
          <w:sz w:val="14"/>
          <w:szCs w:val="14"/>
          <w:color w:val="auto"/>
        </w:rPr>
      </w:pPr>
    </w:p>
    <w:p>
      <w:pPr>
        <w:ind w:left="460" w:right="200" w:hanging="440"/>
        <w:spacing w:after="0" w:line="275" w:lineRule="auto"/>
        <w:tabs>
          <w:tab w:leader="none" w:pos="4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identified as redundant or non-recurring incurred by the Company as a result of the transition services agreement between the Company and UnitedHealth entered into as part of the acquisition agreement. All amounts are included in Cost of services. Fees incurred under the transition services agreement were $3,001 for the year ended December 31, 2025.</w:t>
      </w:r>
    </w:p>
    <w:p>
      <w:pPr>
        <w:spacing w:after="0" w:line="17" w:lineRule="exact"/>
        <w:rPr>
          <w:rFonts w:ascii="Times New Roman" w:cs="Times New Roman" w:eastAsia="Times New Roman" w:hAnsi="Times New Roman"/>
          <w:sz w:val="14"/>
          <w:szCs w:val="14"/>
          <w:color w:val="auto"/>
        </w:rPr>
      </w:pPr>
    </w:p>
    <w:p>
      <w:pPr>
        <w:ind w:left="460" w:right="200" w:hanging="440"/>
        <w:spacing w:after="0" w:line="275" w:lineRule="auto"/>
        <w:tabs>
          <w:tab w:leader="none" w:pos="4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unusual, non-recurring, or redundant charges for legal services, implementation costs, integration costs, and consulting fees in general and administrative and cost of services expenses.</w:t>
      </w:r>
    </w:p>
    <w:p>
      <w:pPr>
        <w:sectPr>
          <w:pgSz w:w="11900" w:h="16838" w:orient="portrait"/>
          <w:cols w:equalWidth="0" w:num="1">
            <w:col w:w="11180"/>
          </w:cols>
          <w:pgMar w:left="320" w:top="123" w:right="399" w:bottom="1440" w:gutter="0" w:footer="0" w:header="0"/>
        </w:sectPr>
      </w:pPr>
    </w:p>
    <w:p>
      <w:pPr>
        <w:spacing w:after="0" w:line="3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Performance and Valuation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Consolidated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7138670" cy="1390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Consolidated EBITDA</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Consolidated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138670" cy="1390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Valuation Metric</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Consolidated Adjusted EBITDAR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Segment Non-GAAP Measures:</w:t>
      </w:r>
      <w:r>
        <w:rPr>
          <w:rFonts w:ascii="Times New Roman" w:cs="Times New Roman" w:eastAsia="Times New Roman" w:hAnsi="Times New Roman"/>
          <w:sz w:val="22"/>
          <w:szCs w:val="22"/>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138670" cy="139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color w:val="auto"/>
        </w:rPr>
        <w:t>Segment Adjusted EBITDA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7138670" cy="1390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7"/>
          <w:szCs w:val="17"/>
          <w:color w:val="auto"/>
        </w:rPr>
        <w:t>Home health and hospice services</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Senior living services</w:t>
      </w:r>
    </w:p>
    <w:p>
      <w:pPr>
        <w:spacing w:after="0" w:line="132" w:lineRule="exact"/>
        <w:rPr>
          <w:sz w:val="20"/>
          <w:szCs w:val="20"/>
          <w:color w:val="auto"/>
        </w:rPr>
      </w:pPr>
    </w:p>
    <w:p>
      <w:pPr>
        <w:ind w:left="760" w:hanging="430"/>
        <w:spacing w:after="0"/>
        <w:tabs>
          <w:tab w:leader="none" w:pos="76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and administrative expenses are not allocated to any segment for purposes of determining segment profit or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226758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7" w:lineRule="exact"/>
        <w:rPr>
          <w:sz w:val="20"/>
          <w:szCs w:val="20"/>
          <w:color w:val="auto"/>
        </w:rPr>
      </w:pPr>
    </w:p>
    <w:p>
      <w:pPr>
        <w:jc w:val="both"/>
        <w:ind w:left="369"/>
        <w:spacing w:after="0"/>
        <w:tabs>
          <w:tab w:leader="none" w:pos="1569" w:val="left"/>
          <w:tab w:leader="none" w:pos="2809" w:val="left"/>
        </w:tabs>
        <w:rPr>
          <w:sz w:val="20"/>
          <w:szCs w:val="20"/>
          <w:color w:val="auto"/>
        </w:rPr>
      </w:pPr>
      <w:r>
        <w:rPr>
          <w:rFonts w:ascii="Times New Roman" w:cs="Times New Roman" w:eastAsia="Times New Roman" w:hAnsi="Times New Roman"/>
          <w:sz w:val="17"/>
          <w:szCs w:val="17"/>
          <w:b w:val="1"/>
          <w:bCs w:val="1"/>
          <w:color w:val="auto"/>
        </w:rPr>
        <w:t>2025</w:t>
      </w:r>
      <w:r>
        <w:rPr>
          <w:sz w:val="20"/>
          <w:szCs w:val="20"/>
          <w:color w:val="auto"/>
        </w:rPr>
        <w:tab/>
      </w:r>
      <w:r>
        <w:rPr>
          <w:rFonts w:ascii="Times New Roman" w:cs="Times New Roman" w:eastAsia="Times New Roman" w:hAnsi="Times New Roman"/>
          <w:sz w:val="17"/>
          <w:szCs w:val="17"/>
          <w:b w:val="1"/>
          <w:bCs w:val="1"/>
          <w:color w:val="auto"/>
        </w:rPr>
        <w:t>2024</w:t>
      </w:r>
      <w:r>
        <w:rPr>
          <w:sz w:val="20"/>
          <w:szCs w:val="20"/>
          <w:color w:val="auto"/>
        </w:rPr>
        <w:tab/>
      </w:r>
      <w:r>
        <w:rPr>
          <w:rFonts w:ascii="Times New Roman" w:cs="Times New Roman" w:eastAsia="Times New Roman" w:hAnsi="Times New Roman"/>
          <w:sz w:val="17"/>
          <w:szCs w:val="17"/>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22675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7" w:lineRule="exact"/>
        <w:rPr>
          <w:sz w:val="20"/>
          <w:szCs w:val="20"/>
          <w:color w:val="auto"/>
        </w:rPr>
      </w:pPr>
    </w:p>
    <w:p>
      <w:pPr>
        <w:ind w:left="122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00" w:lineRule="exact"/>
        <w:rPr>
          <w:sz w:val="20"/>
          <w:szCs w:val="20"/>
          <w:color w:val="auto"/>
        </w:rPr>
      </w:pPr>
    </w:p>
    <w:p>
      <w:pPr>
        <w:spacing w:after="0" w:line="266" w:lineRule="exact"/>
        <w:rPr>
          <w:sz w:val="20"/>
          <w:szCs w:val="20"/>
          <w:color w:val="auto"/>
        </w:rPr>
      </w:pPr>
    </w:p>
    <w:tbl>
      <w:tblPr>
        <w:tblLayout w:type="fixed"/>
        <w:tblInd w:w="9" w:type="dxa"/>
        <w:tblCellMar>
          <w:top w:w="0" w:type="dxa"/>
          <w:left w:w="0" w:type="dxa"/>
          <w:bottom w:w="0" w:type="dxa"/>
          <w:right w:w="0" w:type="dxa"/>
        </w:tblCellMar>
      </w:tblPr>
      <w:tr>
        <w:trPr>
          <w:trHeight w:val="219"/>
        </w:trPr>
        <w:tc>
          <w:tcPr>
            <w:tcW w:w="3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56,660</w:t>
            </w:r>
          </w:p>
        </w:tc>
        <w:tc>
          <w:tcPr>
            <w:tcW w:w="4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42,662</w:t>
            </w:r>
          </w:p>
        </w:tc>
        <w:tc>
          <w:tcPr>
            <w:tcW w:w="4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30,107</w:t>
            </w:r>
          </w:p>
        </w:tc>
      </w:tr>
      <w:tr>
        <w:trPr>
          <w:trHeight w:val="223"/>
        </w:trPr>
        <w:tc>
          <w:tcPr>
            <w:tcW w:w="3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72,466</w:t>
            </w:r>
          </w:p>
        </w:tc>
        <w:tc>
          <w:tcPr>
            <w:tcW w:w="4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53,286</w:t>
            </w:r>
          </w:p>
        </w:tc>
        <w:tc>
          <w:tcPr>
            <w:tcW w:w="4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40,716</w:t>
            </w:r>
          </w:p>
        </w:tc>
      </w:tr>
    </w:tbl>
    <w:p>
      <w:pPr>
        <w:spacing w:after="0" w:line="215" w:lineRule="exact"/>
        <w:rPr>
          <w:sz w:val="20"/>
          <w:szCs w:val="20"/>
          <w:color w:val="auto"/>
        </w:rPr>
      </w:pPr>
    </w:p>
    <w:p>
      <w:pPr>
        <w:ind w:left="469" w:hanging="469"/>
        <w:spacing w:after="0"/>
        <w:tabs>
          <w:tab w:leader="none" w:pos="469"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120,901</w:t>
      </w:r>
    </w:p>
    <w:p>
      <w:pPr>
        <w:spacing w:after="0" w:line="355"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17"/>
          <w:szCs w:val="17"/>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22675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7" w:lineRule="exact"/>
        <w:rPr>
          <w:sz w:val="20"/>
          <w:szCs w:val="20"/>
          <w:color w:val="auto"/>
        </w:rPr>
      </w:pPr>
    </w:p>
    <w:p>
      <w:pPr>
        <w:jc w:val="both"/>
        <w:ind w:left="369"/>
        <w:spacing w:after="0"/>
        <w:tabs>
          <w:tab w:leader="none" w:pos="1569" w:val="left"/>
          <w:tab w:leader="none" w:pos="2809" w:val="left"/>
        </w:tabs>
        <w:rPr>
          <w:sz w:val="20"/>
          <w:szCs w:val="20"/>
          <w:color w:val="auto"/>
        </w:rPr>
      </w:pPr>
      <w:r>
        <w:rPr>
          <w:rFonts w:ascii="Times New Roman" w:cs="Times New Roman" w:eastAsia="Times New Roman" w:hAnsi="Times New Roman"/>
          <w:sz w:val="17"/>
          <w:szCs w:val="17"/>
          <w:b w:val="1"/>
          <w:bCs w:val="1"/>
          <w:color w:val="auto"/>
        </w:rPr>
        <w:t>2025</w:t>
      </w:r>
      <w:r>
        <w:rPr>
          <w:sz w:val="20"/>
          <w:szCs w:val="20"/>
          <w:color w:val="auto"/>
        </w:rPr>
        <w:tab/>
      </w:r>
      <w:r>
        <w:rPr>
          <w:rFonts w:ascii="Times New Roman" w:cs="Times New Roman" w:eastAsia="Times New Roman" w:hAnsi="Times New Roman"/>
          <w:sz w:val="17"/>
          <w:szCs w:val="17"/>
          <w:b w:val="1"/>
          <w:bCs w:val="1"/>
          <w:color w:val="auto"/>
        </w:rPr>
        <w:t>2024</w:t>
      </w:r>
      <w:r>
        <w:rPr>
          <w:sz w:val="20"/>
          <w:szCs w:val="20"/>
          <w:color w:val="auto"/>
        </w:rPr>
        <w:tab/>
      </w:r>
      <w:r>
        <w:rPr>
          <w:rFonts w:ascii="Times New Roman" w:cs="Times New Roman" w:eastAsia="Times New Roman" w:hAnsi="Times New Roman"/>
          <w:sz w:val="17"/>
          <w:szCs w:val="17"/>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19685</wp:posOffset>
            </wp:positionV>
            <wp:extent cx="22675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67585" cy="8255"/>
                    </a:xfrm>
                    <a:prstGeom prst="rect">
                      <a:avLst/>
                    </a:prstGeom>
                    <a:noFill/>
                  </pic:spPr>
                </pic:pic>
              </a:graphicData>
            </a:graphic>
          </wp:anchor>
        </w:drawing>
      </w:r>
    </w:p>
    <w:p>
      <w:pPr>
        <w:spacing w:after="0" w:line="17" w:lineRule="exact"/>
        <w:rPr>
          <w:sz w:val="20"/>
          <w:szCs w:val="20"/>
          <w:color w:val="auto"/>
        </w:rPr>
      </w:pPr>
    </w:p>
    <w:p>
      <w:pPr>
        <w:ind w:left="122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00" w:lineRule="exact"/>
        <w:rPr>
          <w:sz w:val="20"/>
          <w:szCs w:val="20"/>
          <w:color w:val="auto"/>
        </w:rPr>
      </w:pPr>
    </w:p>
    <w:p>
      <w:pPr>
        <w:spacing w:after="0" w:line="266" w:lineRule="exact"/>
        <w:rPr>
          <w:sz w:val="20"/>
          <w:szCs w:val="20"/>
          <w:color w:val="auto"/>
        </w:rPr>
      </w:pPr>
    </w:p>
    <w:tbl>
      <w:tblPr>
        <w:tblLayout w:type="fixed"/>
        <w:tblInd w:w="9" w:type="dxa"/>
        <w:tblCellMar>
          <w:top w:w="0" w:type="dxa"/>
          <w:left w:w="0" w:type="dxa"/>
          <w:bottom w:w="0" w:type="dxa"/>
          <w:right w:w="0" w:type="dxa"/>
        </w:tblCellMar>
      </w:tblPr>
      <w:tr>
        <w:trPr>
          <w:trHeight w:val="219"/>
        </w:trPr>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111,135</w:t>
            </w:r>
          </w:p>
        </w:tc>
        <w:tc>
          <w:tcPr>
            <w:tcW w:w="4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80,660</w:t>
            </w:r>
          </w:p>
        </w:tc>
        <w:tc>
          <w:tcPr>
            <w:tcW w:w="4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60,128</w:t>
            </w:r>
          </w:p>
        </w:tc>
      </w:tr>
      <w:tr>
        <w:trPr>
          <w:trHeight w:val="223"/>
        </w:trPr>
        <w:tc>
          <w:tcPr>
            <w:tcW w:w="2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21,785</w:t>
            </w:r>
          </w:p>
        </w:tc>
        <w:tc>
          <w:tcPr>
            <w:tcW w:w="4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16,213</w:t>
            </w:r>
          </w:p>
        </w:tc>
        <w:tc>
          <w:tcPr>
            <w:tcW w:w="42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12,293</w:t>
            </w:r>
          </w:p>
        </w:tc>
      </w:tr>
    </w:tbl>
    <w:p>
      <w:pPr>
        <w:spacing w:after="0" w:line="457" w:lineRule="exact"/>
        <w:rPr>
          <w:sz w:val="20"/>
          <w:szCs w:val="20"/>
          <w:color w:val="auto"/>
        </w:rPr>
      </w:pPr>
    </w:p>
    <w:p>
      <w:pPr>
        <w:sectPr>
          <w:pgSz w:w="11900" w:h="16838" w:orient="portrait"/>
          <w:cols w:equalWidth="0" w:num="2">
            <w:col w:w="7420" w:space="271"/>
            <w:col w:w="3489"/>
          </w:cols>
          <w:pgMar w:left="320" w:top="123"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77470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table below reconciles Consolidated Net Income to Consolidated EBITDA, Consolidated Adjusted EBITDA and Consolidated Adjusted EBITDAR for the periods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780" w:type="dxa"/>
            <w:vAlign w:val="bottom"/>
            <w:tcBorders>
              <w:bottom w:val="single" w:sz="8" w:color="auto"/>
            </w:tcBorders>
          </w:tcPr>
          <w:p>
            <w:pPr>
              <w:spacing w:after="0"/>
              <w:rPr>
                <w:sz w:val="19"/>
                <w:szCs w:val="19"/>
                <w:color w:val="auto"/>
              </w:rPr>
            </w:pPr>
          </w:p>
        </w:tc>
      </w:tr>
      <w:tr>
        <w:trPr>
          <w:trHeight w:val="212"/>
        </w:trPr>
        <w:tc>
          <w:tcPr>
            <w:tcW w:w="76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7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Consolidated Net income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33,764</w:t>
            </w:r>
          </w:p>
        </w:tc>
        <w:tc>
          <w:tcPr>
            <w:tcW w:w="3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13,910</w:t>
            </w:r>
          </w:p>
        </w:tc>
      </w:tr>
      <w:tr>
        <w:trPr>
          <w:trHeight w:val="219"/>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 Provision for income taxes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5,674</w:t>
            </w:r>
          </w:p>
        </w:tc>
      </w:tr>
      <w:tr>
        <w:trPr>
          <w:trHeight w:val="219"/>
        </w:trPr>
        <w:tc>
          <w:tcPr>
            <w:tcW w:w="768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Net interest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5,924</w:t>
            </w:r>
          </w:p>
        </w:tc>
      </w:tr>
      <w:tr>
        <w:trPr>
          <w:trHeight w:val="219"/>
        </w:trPr>
        <w:tc>
          <w:tcPr>
            <w:tcW w:w="7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5,130</w:t>
            </w:r>
          </w:p>
        </w:tc>
      </w:tr>
      <w:tr>
        <w:trPr>
          <w:trHeight w:val="212"/>
        </w:trPr>
        <w:tc>
          <w:tcPr>
            <w:tcW w:w="76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Consolidated EBITDA</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30,107</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Consolidated EBITDA</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9"/>
        </w:trPr>
        <w:tc>
          <w:tcPr>
            <w:tcW w:w="768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Add: Start-up operations</w:t>
            </w:r>
            <w:r>
              <w:rPr>
                <w:rFonts w:ascii="Times New Roman" w:cs="Times New Roman" w:eastAsia="Times New Roman" w:hAnsi="Times New Roman"/>
                <w:sz w:val="22"/>
                <w:szCs w:val="22"/>
                <w:color w:val="auto"/>
                <w:vertAlign w:val="superscript"/>
              </w:rPr>
              <w:t>(a)</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19"/>
        </w:trPr>
        <w:tc>
          <w:tcPr>
            <w:tcW w:w="7680" w:type="dxa"/>
            <w:vAlign w:val="bottom"/>
            <w:shd w:val="clear" w:color="auto" w:fill="CCEEFF"/>
          </w:tcPr>
          <w:p>
            <w:pPr>
              <w:ind w:left="440"/>
              <w:spacing w:after="0" w:line="219" w:lineRule="exact"/>
              <w:rPr>
                <w:sz w:val="20"/>
                <w:szCs w:val="20"/>
                <w:color w:val="auto"/>
              </w:rPr>
            </w:pPr>
            <w:r>
              <w:rPr>
                <w:rFonts w:ascii="Times New Roman" w:cs="Times New Roman" w:eastAsia="Times New Roman" w:hAnsi="Times New Roman"/>
                <w:sz w:val="17"/>
                <w:szCs w:val="17"/>
                <w:color w:val="auto"/>
              </w:rPr>
              <w:t>Share-based compensation expense</w:t>
            </w:r>
            <w:r>
              <w:rPr>
                <w:rFonts w:ascii="Times New Roman" w:cs="Times New Roman" w:eastAsia="Times New Roman" w:hAnsi="Times New Roman"/>
                <w:sz w:val="22"/>
                <w:szCs w:val="22"/>
                <w:color w:val="auto"/>
                <w:vertAlign w:val="superscript"/>
              </w:rPr>
              <w:t>(b)</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5,565</w:t>
            </w:r>
          </w:p>
        </w:tc>
      </w:tr>
      <w:tr>
        <w:trPr>
          <w:trHeight w:val="219"/>
        </w:trPr>
        <w:tc>
          <w:tcPr>
            <w:tcW w:w="7680" w:type="dxa"/>
            <w:vAlign w:val="bottom"/>
          </w:tcPr>
          <w:p>
            <w:pPr>
              <w:ind w:left="440"/>
              <w:spacing w:after="0" w:line="219" w:lineRule="exact"/>
              <w:rPr>
                <w:sz w:val="20"/>
                <w:szCs w:val="20"/>
                <w:color w:val="auto"/>
              </w:rPr>
            </w:pPr>
            <w:r>
              <w:rPr>
                <w:rFonts w:ascii="Times New Roman" w:cs="Times New Roman" w:eastAsia="Times New Roman" w:hAnsi="Times New Roman"/>
                <w:sz w:val="17"/>
                <w:szCs w:val="17"/>
                <w:color w:val="auto"/>
              </w:rPr>
              <w:t>Acquisition related costs</w:t>
            </w:r>
            <w:r>
              <w:rPr>
                <w:rFonts w:ascii="Times New Roman" w:cs="Times New Roman" w:eastAsia="Times New Roman" w:hAnsi="Times New Roman"/>
                <w:sz w:val="22"/>
                <w:szCs w:val="22"/>
                <w:color w:val="auto"/>
                <w:vertAlign w:val="superscript"/>
              </w:rPr>
              <w:t>(c)</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w:t>
            </w:r>
          </w:p>
        </w:tc>
      </w:tr>
      <w:tr>
        <w:trPr>
          <w:trHeight w:val="219"/>
        </w:trPr>
        <w:tc>
          <w:tcPr>
            <w:tcW w:w="7680" w:type="dxa"/>
            <w:vAlign w:val="bottom"/>
            <w:shd w:val="clear" w:color="auto" w:fill="CCEEFF"/>
          </w:tcPr>
          <w:p>
            <w:pPr>
              <w:ind w:left="440"/>
              <w:spacing w:after="0" w:line="219" w:lineRule="exact"/>
              <w:rPr>
                <w:sz w:val="20"/>
                <w:szCs w:val="20"/>
                <w:color w:val="auto"/>
              </w:rPr>
            </w:pPr>
            <w:r>
              <w:rPr>
                <w:rFonts w:ascii="Times New Roman" w:cs="Times New Roman" w:eastAsia="Times New Roman" w:hAnsi="Times New Roman"/>
                <w:sz w:val="17"/>
                <w:szCs w:val="17"/>
                <w:color w:val="auto"/>
              </w:rPr>
              <w:t>Activities associated with transitioning operations</w:t>
            </w:r>
            <w:r>
              <w:rPr>
                <w:rFonts w:ascii="Times New Roman" w:cs="Times New Roman" w:eastAsia="Times New Roman" w:hAnsi="Times New Roman"/>
                <w:sz w:val="22"/>
                <w:szCs w:val="22"/>
                <w:color w:val="auto"/>
                <w:vertAlign w:val="superscript"/>
              </w:rPr>
              <w:t>(d)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r>
      <w:tr>
        <w:trPr>
          <w:trHeight w:val="219"/>
        </w:trPr>
        <w:tc>
          <w:tcPr>
            <w:tcW w:w="7680" w:type="dxa"/>
            <w:vAlign w:val="bottom"/>
          </w:tcPr>
          <w:p>
            <w:pPr>
              <w:ind w:left="440"/>
              <w:spacing w:after="0" w:line="219" w:lineRule="exact"/>
              <w:rPr>
                <w:sz w:val="20"/>
                <w:szCs w:val="20"/>
                <w:color w:val="auto"/>
              </w:rPr>
            </w:pPr>
            <w:r>
              <w:rPr>
                <w:rFonts w:ascii="Times New Roman" w:cs="Times New Roman" w:eastAsia="Times New Roman" w:hAnsi="Times New Roman"/>
                <w:sz w:val="17"/>
                <w:szCs w:val="17"/>
                <w:color w:val="auto"/>
              </w:rPr>
              <w:t>Transition services costs</w:t>
            </w:r>
            <w:r>
              <w:rPr>
                <w:rFonts w:ascii="Times New Roman" w:cs="Times New Roman" w:eastAsia="Times New Roman" w:hAnsi="Times New Roman"/>
                <w:sz w:val="22"/>
                <w:szCs w:val="22"/>
                <w:color w:val="auto"/>
                <w:vertAlign w:val="superscript"/>
              </w:rPr>
              <w:t>(e)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7680" w:type="dxa"/>
            <w:vAlign w:val="bottom"/>
            <w:shd w:val="clear" w:color="auto" w:fill="CCEEFF"/>
          </w:tcPr>
          <w:p>
            <w:pPr>
              <w:ind w:left="440"/>
              <w:spacing w:after="0" w:line="219" w:lineRule="exact"/>
              <w:rPr>
                <w:sz w:val="20"/>
                <w:szCs w:val="20"/>
                <w:color w:val="auto"/>
              </w:rPr>
            </w:pPr>
            <w:r>
              <w:rPr>
                <w:rFonts w:ascii="Times New Roman" w:cs="Times New Roman" w:eastAsia="Times New Roman" w:hAnsi="Times New Roman"/>
                <w:sz w:val="17"/>
                <w:szCs w:val="17"/>
                <w:color w:val="auto"/>
              </w:rPr>
              <w:t>Unusual, non-recurring, or redundant charges</w:t>
            </w:r>
            <w:r>
              <w:rPr>
                <w:rFonts w:ascii="Times New Roman" w:cs="Times New Roman" w:eastAsia="Times New Roman" w:hAnsi="Times New Roman"/>
                <w:sz w:val="22"/>
                <w:szCs w:val="22"/>
                <w:color w:val="auto"/>
                <w:vertAlign w:val="superscript"/>
              </w:rPr>
              <w:t>(f)</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2,575</w:t>
            </w:r>
          </w:p>
        </w:tc>
      </w:tr>
      <w:tr>
        <w:trPr>
          <w:trHeight w:val="219"/>
        </w:trPr>
        <w:tc>
          <w:tcPr>
            <w:tcW w:w="76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7"/>
                <w:szCs w:val="17"/>
                <w:color w:val="auto"/>
              </w:rPr>
              <w:t>Rent related to items (a) and (e) above</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1,279</w:t>
            </w:r>
          </w:p>
        </w:tc>
      </w:tr>
      <w:tr>
        <w:trPr>
          <w:trHeight w:val="212"/>
        </w:trPr>
        <w:tc>
          <w:tcPr>
            <w:tcW w:w="7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Consolidated Adjusted EBITDA</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72,466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53,286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40,716</w:t>
            </w:r>
          </w:p>
        </w:tc>
      </w:tr>
      <w:tr>
        <w:trPr>
          <w:trHeight w:val="212"/>
        </w:trPr>
        <w:tc>
          <w:tcPr>
            <w:tcW w:w="76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Rent—cost of services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39,759</w:t>
            </w:r>
          </w:p>
        </w:tc>
      </w:tr>
      <w:tr>
        <w:trPr>
          <w:trHeight w:val="219"/>
        </w:trPr>
        <w:tc>
          <w:tcPr>
            <w:tcW w:w="76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Rent related to items (a) and (e) above</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w:t>
            </w:r>
          </w:p>
        </w:tc>
      </w:tr>
      <w:tr>
        <w:trPr>
          <w:trHeight w:val="212"/>
        </w:trPr>
        <w:tc>
          <w:tcPr>
            <w:tcW w:w="7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Adjusted rent—cost of services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48,435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42,496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38,480</w:t>
            </w:r>
          </w:p>
        </w:tc>
      </w:tr>
      <w:tr>
        <w:trPr>
          <w:trHeight w:val="237"/>
        </w:trPr>
        <w:tc>
          <w:tcPr>
            <w:tcW w:w="7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Consolidated Adjusted EBITDAR</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341" w:lineRule="exact"/>
        <w:rPr>
          <w:sz w:val="20"/>
          <w:szCs w:val="20"/>
          <w:color w:val="auto"/>
        </w:rPr>
      </w:pPr>
    </w:p>
    <w:p>
      <w:pPr>
        <w:ind w:left="460" w:hanging="440"/>
        <w:spacing w:after="0"/>
        <w:tabs>
          <w:tab w:leader="none" w:pos="4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results related to start-up operations. This amount excludes rent and depreciation and amortization expense related to such operations.</w:t>
      </w:r>
    </w:p>
    <w:p>
      <w:pPr>
        <w:spacing w:after="0" w:line="45" w:lineRule="exact"/>
        <w:rPr>
          <w:rFonts w:ascii="Times New Roman" w:cs="Times New Roman" w:eastAsia="Times New Roman" w:hAnsi="Times New Roman"/>
          <w:sz w:val="14"/>
          <w:szCs w:val="14"/>
          <w:color w:val="auto"/>
        </w:rPr>
      </w:pPr>
    </w:p>
    <w:p>
      <w:pPr>
        <w:ind w:left="460" w:right="20" w:hanging="440"/>
        <w:spacing w:after="0" w:line="256" w:lineRule="auto"/>
        <w:tabs>
          <w:tab w:leader="none" w:pos="4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expense and related payroll taxes incurred. Share-based compensation expense and related payroll taxes are included in cost of services and general and administrative expense.</w:t>
      </w:r>
    </w:p>
    <w:p>
      <w:pPr>
        <w:spacing w:after="0" w:line="43" w:lineRule="exact"/>
        <w:rPr>
          <w:rFonts w:ascii="Times New Roman" w:cs="Times New Roman" w:eastAsia="Times New Roman" w:hAnsi="Times New Roman"/>
          <w:sz w:val="14"/>
          <w:szCs w:val="14"/>
          <w:color w:val="auto"/>
        </w:rPr>
      </w:pPr>
    </w:p>
    <w:p>
      <w:pPr>
        <w:ind w:left="460" w:hanging="440"/>
        <w:spacing w:after="0"/>
        <w:tabs>
          <w:tab w:leader="none" w:pos="4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Non-capitalizable costs associated with acquisitions and write-offs for amounts in dispute with the prior owners of certain acquired operations.</w:t>
      </w:r>
    </w:p>
    <w:p>
      <w:pPr>
        <w:spacing w:after="0" w:line="58" w:lineRule="exact"/>
        <w:rPr>
          <w:rFonts w:ascii="Times New Roman" w:cs="Times New Roman" w:eastAsia="Times New Roman" w:hAnsi="Times New Roman"/>
          <w:sz w:val="14"/>
          <w:szCs w:val="14"/>
          <w:color w:val="auto"/>
        </w:rPr>
      </w:pPr>
    </w:p>
    <w:p>
      <w:pPr>
        <w:jc w:val="both"/>
        <w:ind w:left="460" w:right="20" w:hanging="440"/>
        <w:spacing w:after="0" w:line="253" w:lineRule="auto"/>
        <w:tabs>
          <w:tab w:leader="none" w:pos="4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2023, an affiliate of the Company placed its memory care units into transition and is converting the facility into an assisted living community. We received insurance proceeds related to the property in 2024 and 2025 which were recorded in gain on disposition of property and equipment, net on the consolidated statements of income. The amounts reported exclude rent and depreciation and amortization expense related to such operations.</w:t>
      </w:r>
    </w:p>
    <w:p>
      <w:pPr>
        <w:spacing w:after="0" w:line="32" w:lineRule="exact"/>
        <w:rPr>
          <w:rFonts w:ascii="Times New Roman" w:cs="Times New Roman" w:eastAsia="Times New Roman" w:hAnsi="Times New Roman"/>
          <w:sz w:val="14"/>
          <w:szCs w:val="14"/>
          <w:color w:val="auto"/>
        </w:rPr>
      </w:pPr>
    </w:p>
    <w:p>
      <w:pPr>
        <w:ind w:left="460" w:right="20" w:hanging="440"/>
        <w:spacing w:after="0" w:line="256" w:lineRule="auto"/>
        <w:tabs>
          <w:tab w:leader="none" w:pos="4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identified as redundant or non-recurring incurred by the Company as a result of the transition services agreement between the Company and UnitedHealth entered into as part of the acquisition agreement. All amounts are included in Cost of services. Fees incurred under the transition services agreement were $3,001 for the year ended December 31, 2025.</w:t>
      </w:r>
    </w:p>
    <w:p>
      <w:pPr>
        <w:spacing w:after="0" w:line="43" w:lineRule="exact"/>
        <w:rPr>
          <w:rFonts w:ascii="Times New Roman" w:cs="Times New Roman" w:eastAsia="Times New Roman" w:hAnsi="Times New Roman"/>
          <w:sz w:val="14"/>
          <w:szCs w:val="14"/>
          <w:color w:val="auto"/>
        </w:rPr>
      </w:pPr>
    </w:p>
    <w:p>
      <w:pPr>
        <w:ind w:left="460" w:hanging="440"/>
        <w:spacing w:after="0"/>
        <w:tabs>
          <w:tab w:leader="none" w:pos="460"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unusual, non-recurring, or redundant charges for legal services, implementation costs, integration costs, and consulting fees in general and administrative and cost of services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reconciles Segment Adjusted EBITDAR from Operations to Segment Adjusted EBITDA from Operations for the periods presented: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212"/>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8"/>
          </w:tcPr>
          <w:p>
            <w:pPr>
              <w:ind w:left="320"/>
              <w:spacing w:after="0"/>
              <w:rPr>
                <w:sz w:val="20"/>
                <w:szCs w:val="20"/>
                <w:color w:val="auto"/>
              </w:rPr>
            </w:pPr>
            <w:r>
              <w:rPr>
                <w:rFonts w:ascii="Times New Roman" w:cs="Times New Roman" w:eastAsia="Times New Roman" w:hAnsi="Times New Roman"/>
                <w:sz w:val="17"/>
                <w:szCs w:val="17"/>
                <w:b w:val="1"/>
                <w:bCs w:val="1"/>
                <w:color w:val="auto"/>
              </w:rPr>
              <w:t>Home Health and Hospice</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gridSpan w:val="4"/>
          </w:tcPr>
          <w:p>
            <w:pPr>
              <w:ind w:left="60"/>
              <w:spacing w:after="0"/>
              <w:rPr>
                <w:sz w:val="20"/>
                <w:szCs w:val="20"/>
                <w:color w:val="auto"/>
              </w:rPr>
            </w:pPr>
            <w:r>
              <w:rPr>
                <w:rFonts w:ascii="Times New Roman" w:cs="Times New Roman" w:eastAsia="Times New Roman" w:hAnsi="Times New Roman"/>
                <w:sz w:val="17"/>
                <w:szCs w:val="17"/>
                <w:b w:val="1"/>
                <w:bCs w:val="1"/>
                <w:color w:val="auto"/>
              </w:rPr>
              <w:t>Senior Living</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2"/>
        </w:trPr>
        <w:tc>
          <w:tcPr>
            <w:tcW w:w="52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5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4"/>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Adjusted EBITDAR from Operations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87,709</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60,525</w:t>
            </w:r>
          </w:p>
        </w:tc>
        <w:tc>
          <w:tcPr>
            <w:tcW w:w="3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51,660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45,294</w:t>
            </w:r>
          </w:p>
        </w:tc>
      </w:tr>
      <w:tr>
        <w:trPr>
          <w:trHeight w:val="219"/>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Rent—cost of services</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33,967</w:t>
            </w:r>
          </w:p>
        </w:tc>
      </w:tr>
      <w:tr>
        <w:trPr>
          <w:trHeight w:val="219"/>
        </w:trPr>
        <w:tc>
          <w:tcPr>
            <w:tcW w:w="5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Rent related to start-up and transitioning operations</w:t>
            </w: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w:t>
            </w:r>
          </w:p>
        </w:tc>
      </w:tr>
      <w:tr>
        <w:trPr>
          <w:trHeight w:val="212"/>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Adjusted EBITDA from Operations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111,135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80,660</w:t>
            </w:r>
          </w:p>
        </w:tc>
        <w:tc>
          <w:tcPr>
            <w:tcW w:w="10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60,128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21,785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16,213</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12,293</w:t>
            </w:r>
          </w:p>
        </w:tc>
      </w:tr>
      <w:tr>
        <w:trPr>
          <w:trHeight w:val="20"/>
        </w:trPr>
        <w:tc>
          <w:tcPr>
            <w:tcW w:w="5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following discussion includes references to certain performance and valuation measures, which are non-GAAP financial measures, including Consolidated EBITDA, Consolidated Adjusted EBITDA, Segment Adjusted EBITDA from Operations, and Consolidated Adjusted EBITDAR (collectively, “Non-GAAP Financial Measures”). Non-GAAP Financial Measures are used in addition to, and in conjunction with, results presented in accordance with GAAP and should not be relied upon to the exclusion of GAAP financial measures. Non-GAAP Financial Measures reflect an additional way of viewing aspects of our operations and company that, when viewed with our GAAP results and the accompanying reconciliations to corresponding GAAP financial measures, we believe can provide a more comprehensive understanding of factors and trends affecting our business.</w:t>
      </w:r>
    </w:p>
    <w:p>
      <w:pPr>
        <w:spacing w:after="0" w:line="199"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believe these Non-GAAP Financial Measures are useful to investors and other external users of our financial statements regarding our results of operations because:</w:t>
      </w:r>
    </w:p>
    <w:p>
      <w:pPr>
        <w:spacing w:after="0" w:line="177" w:lineRule="exact"/>
        <w:rPr>
          <w:sz w:val="20"/>
          <w:szCs w:val="20"/>
          <w:color w:val="auto"/>
        </w:rPr>
      </w:pPr>
    </w:p>
    <w:p>
      <w:pPr>
        <w:jc w:val="both"/>
        <w:ind w:left="620" w:hanging="307"/>
        <w:spacing w:after="0" w:line="264"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are widely used by investors and analysts in our industry as a supplemental measure to evaluate the overall performance of companies in our industry without regard to items such as interest expense, rent expense and depreciation and amortization, which can vary substantially from company to company depending on the book value of assets, the length of the lease to which the asset applies, the method by which assets were acquired, and differences in capital structures;</w:t>
      </w:r>
    </w:p>
    <w:p>
      <w:pPr>
        <w:spacing w:after="0" w:line="6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help investors evaluate and compare the results of our operations from period to period by removing the impact of our asset base and capital structure from our operating results; and</w:t>
      </w:r>
    </w:p>
    <w:p>
      <w:pPr>
        <w:spacing w:after="0" w:line="48"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Adjusted EBITDAR is used by investors and analysts in our industry to value the companies in our industry without regard to capital structures.</w:t>
      </w:r>
    </w:p>
    <w:p>
      <w:pPr>
        <w:spacing w:after="0" w:line="177"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use Non-GAAP Financial Measures:</w:t>
      </w:r>
    </w:p>
    <w:p>
      <w:pPr>
        <w:spacing w:after="0" w:line="229"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measurements of our operating performance to assist us in comparing our operating performance on a consistent basis from period to period;</w:t>
      </w:r>
    </w:p>
    <w:p>
      <w:pPr>
        <w:spacing w:after="0" w:line="7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allocate resources to enhance the financial performance of our business;</w:t>
      </w:r>
    </w:p>
    <w:p>
      <w:pPr>
        <w:spacing w:after="0" w:line="7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assess the value of a potential acquisition;</w:t>
      </w:r>
    </w:p>
    <w:p>
      <w:pPr>
        <w:spacing w:after="0" w:line="88"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assess the value of a transformed operation’s performance;</w:t>
      </w:r>
    </w:p>
    <w:p>
      <w:pPr>
        <w:spacing w:after="0" w:line="7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evaluate the effectiveness of our operational strategies; and</w:t>
      </w:r>
    </w:p>
    <w:p>
      <w:pPr>
        <w:spacing w:after="0" w:line="7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compare our operating performance to that of our competitors.</w:t>
      </w:r>
    </w:p>
    <w:p>
      <w:pPr>
        <w:spacing w:after="0" w:line="16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We typically use Non-GAAP Financial Measures to compare the operating performance of each operation from period to period. We find that Non-GAAP Financial Measures are useful for this purpose because they do not include such costs as interest expense, income taxes, depreciation and amortization expense, which may vary from period-to-period depending upon various factors, including the method used to finance operations, the date of acquisition of a community or business, and the tax law of the state in which a business unit operates.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Non-GAAP Financial Measures have no standardized meaning defined by GAAP. Therefore, our Non-GAAP Financial Measures have limitations as analytical tools, and they should not be considered in isolation, or as a substitute for analysis of our results as reported in accordance with GAAP. Some of these limitations are:</w:t>
      </w:r>
    </w:p>
    <w:p>
      <w:pPr>
        <w:spacing w:after="0" w:line="191" w:lineRule="exact"/>
        <w:rPr>
          <w:sz w:val="20"/>
          <w:szCs w:val="20"/>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our current or future cash requirements for capital expenditures or contractual commitments;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changes in, or cash requirements for, our working capital needs;</w:t>
      </w:r>
    </w:p>
    <w:p>
      <w:pPr>
        <w:spacing w:after="0" w:line="10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the net interest expense, or the cash requirements necessary to service interest or principal payments, on our debt;</w:t>
      </w:r>
    </w:p>
    <w:p>
      <w:pPr>
        <w:spacing w:after="0" w:line="75" w:lineRule="exact"/>
        <w:rPr>
          <w:rFonts w:ascii="Times New Roman" w:cs="Times New Roman" w:eastAsia="Times New Roman" w:hAnsi="Times New Roman"/>
          <w:sz w:val="17"/>
          <w:szCs w:val="17"/>
          <w:color w:val="auto"/>
        </w:rPr>
      </w:pPr>
    </w:p>
    <w:p>
      <w:pPr>
        <w:ind w:left="620" w:hanging="307"/>
        <w:spacing w:after="0" w:line="255"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Consolidated Adjusted EBITDAR, it does not reflect rent expenses, which are normal and recurring operating expenses that are necessary to operate our leased operations;</w:t>
      </w:r>
    </w:p>
    <w:p>
      <w:pPr>
        <w:spacing w:after="0" w:line="35"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do not reflect any income tax payments we may be required to make;</w:t>
      </w:r>
    </w:p>
    <w:p>
      <w:pPr>
        <w:spacing w:after="0" w:line="75" w:lineRule="exact"/>
        <w:rPr>
          <w:rFonts w:ascii="Times New Roman" w:cs="Times New Roman" w:eastAsia="Times New Roman" w:hAnsi="Times New Roman"/>
          <w:sz w:val="17"/>
          <w:szCs w:val="17"/>
          <w:color w:val="auto"/>
        </w:rPr>
      </w:pPr>
    </w:p>
    <w:p>
      <w:pPr>
        <w:ind w:left="620" w:hanging="307"/>
        <w:spacing w:after="0" w:line="255"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depreciation and amortization are non-cash charges, the assets being depreciated and amortized will often have to be replaced in the future, and these non-cash charges do not reflect any cash requirements for such replacements; and</w:t>
      </w:r>
    </w:p>
    <w:p>
      <w:pPr>
        <w:spacing w:after="0" w:line="35" w:lineRule="exact"/>
        <w:rPr>
          <w:rFonts w:ascii="Times New Roman" w:cs="Times New Roman" w:eastAsia="Times New Roman" w:hAnsi="Times New Roman"/>
          <w:sz w:val="17"/>
          <w:szCs w:val="17"/>
          <w:color w:val="auto"/>
        </w:rPr>
      </w:pPr>
    </w:p>
    <w:p>
      <w:pPr>
        <w:ind w:left="620" w:hanging="307"/>
        <w:spacing w:after="0" w:line="239" w:lineRule="auto"/>
        <w:tabs>
          <w:tab w:leader="none" w:pos="61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companies in our industry may calculate the same Non-GAAP Financial Measures differently than we do, which may limit their usefulness as comparative measures.</w:t>
      </w:r>
    </w:p>
    <w:p>
      <w:pPr>
        <w:spacing w:after="0" w:line="204"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compensate for these limitations by using Non-GAAP Financial Measures only to supplement net income on a basis prepared in accordance with GAAP in order to provide a more complete understanding of the factors and trends affecting our business.</w:t>
      </w:r>
    </w:p>
    <w:p>
      <w:pPr>
        <w:spacing w:after="0" w:line="17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We strongly encourage investors to review our Consolidated Financial Statements, included in this report in their entirety and to not rely on any single financial measure. Because these Non-GAAP Financial Measures are not standardized, it may not be possible to compare these financial measures with other companies’ Non-GAAP financial measures having the same or similar names. These Non-GAAP Financial Measures should not be considered a substitute for, nor superior to, financial results and measures determined or calculated in accordance with GAAP. We strongly urge you to review the reconciliation of income from operations to the Non-GAAP Financial Measures in the table presented above, along with our Consolidated Financial Statements and related notes included elsewhere in this report.</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believe the following Non-GAAP Financial Measures are useful to investors as key operating performance measures and valuation measures: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 Measures: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Consolidated EBITDA</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believe Consolidated EBITDA is useful to investors in evaluating our operating performance because it helps investors evaluate and compare the results of our operations from period to period by removing the impact of our asset base (depreciation and amortization expense) from our operating results.</w:t>
      </w:r>
    </w:p>
    <w:p>
      <w:pPr>
        <w:spacing w:after="0" w:line="177"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We calculate Consolidated EBITDA as net income, adjusted for net income (loss) attributable to noncontrolling interest, before (a) interest expense (b) provision for income taxes and (c) depreciation and amortization.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Consolidated Adjusted EBITDA</w:t>
      </w:r>
    </w:p>
    <w:p>
      <w:pPr>
        <w:spacing w:after="0" w:line="247"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We adjust Consolidated EBITDA when evaluating our performance because we believe that the exclusion of certain additional items described below provides useful supplemental information to investors regarding our ongoing operating performance. We believe that the presentation of Consolidated Adjusted EBITDA, when considered with Consolidated EBITDA and GAAP net income, is beneficial to an investor’s complete understanding of our operating performance.</w:t>
      </w:r>
    </w:p>
    <w:p>
      <w:pPr>
        <w:spacing w:after="0" w:line="200" w:lineRule="exact"/>
        <w:rPr>
          <w:sz w:val="20"/>
          <w:szCs w:val="20"/>
          <w:color w:val="auto"/>
        </w:rPr>
      </w:pPr>
    </w:p>
    <w:p>
      <w:pPr>
        <w:spacing w:after="0" w:line="20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calculate Consolidated Adjusted EBITDA by adjusting Consolidated EBITDA to exclude the effects of non-core business items, which for the reported periods includes, to the extent applicable:</w:t>
      </w:r>
    </w:p>
    <w:p>
      <w:pPr>
        <w:spacing w:after="0" w:line="177" w:lineRule="exact"/>
        <w:rPr>
          <w:sz w:val="20"/>
          <w:szCs w:val="20"/>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at start-up operations;</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share-based compensation expense;</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 related costs;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activities associated with transitioning operations; and</w:t>
      </w:r>
    </w:p>
    <w:p>
      <w:pPr>
        <w:spacing w:after="0" w:line="113"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unusual, non-recurring, or redundant charges.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Segment Adjusted EBITDA from Operations</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We calculate Segment Adjusted EBITDA from Operations by adjusting Segment Adjusted EBITDAR from Operations to include rent-cost of services. We believe that the inclusion of rent-cost of services provides useful supplemental information to investors regarding our ongoing operating performance for each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Valuation Measure</w:t>
      </w:r>
      <w:r>
        <w:rPr>
          <w:rFonts w:ascii="Times New Roman" w:cs="Times New Roman" w:eastAsia="Times New Roman" w:hAnsi="Times New Roman"/>
          <w:sz w:val="17"/>
          <w:szCs w:val="17"/>
          <w:b w:val="1"/>
          <w:bCs w:val="1"/>
          <w:color w:val="auto"/>
        </w:rPr>
        <w: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Consolidated Adjusted EBITDAR</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We use Consolidated Adjusted EBITDAR as one measure in determining the value of prospective acquisitions. It is also a measure commonly used by us, research analysts and investors to compare the enterprise value of different companies in the healthcare industry, without regard to differences in capital structures. Additionally, we believe the use of Consolidated Adjusted EBITDAR allows us, research analysts and investors, to compare operational results of companies without regard to operating or financed leases. A significant portion of financed lease expenditures are recorded in interest, whereas operating lease expenditures are recorded in rent expense.</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This measure is not displayed as a performance measure as it excludes rent expense, which is a normal and recurring operating expense and, as such, does not reflect our cash requirements for leasing commitments. Our presentation of Consolidated Adjusted EBITDAR should not be construed as a financial performance measure.</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adjustments made and previously described in the computation of Consolidated Adjusted EBITDA are also made when computing Consolidated Adjusted EBITDAR. We calculate Consolidated Adjusted EBITDAR by excluding rent-cost of services and rent related to start-up operations from Consolidated Adjusted EBITDA.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Year Ended December 31, 2025 Compared to the Year Ended December 31, 2024</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Revenue</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477"/>
        </w:trPr>
        <w:tc>
          <w:tcPr>
            <w:tcW w:w="4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212"/>
        </w:trPr>
        <w:tc>
          <w:tcPr>
            <w:tcW w:w="4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354"/>
              <w:spacing w:after="0"/>
              <w:rPr>
                <w:sz w:val="20"/>
                <w:szCs w:val="20"/>
                <w:color w:val="auto"/>
              </w:rPr>
            </w:pPr>
            <w:r>
              <w:rPr>
                <w:rFonts w:ascii="Times New Roman" w:cs="Times New Roman" w:eastAsia="Times New Roman" w:hAnsi="Times New Roman"/>
                <w:sz w:val="17"/>
                <w:szCs w:val="17"/>
                <w:b w:val="1"/>
                <w:bCs w:val="1"/>
                <w:color w:val="auto"/>
                <w:w w:val="99"/>
              </w:rPr>
              <w:t>2025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1334"/>
              <w:spacing w:after="0"/>
              <w:rPr>
                <w:sz w:val="20"/>
                <w:szCs w:val="20"/>
                <w:color w:val="auto"/>
              </w:rPr>
            </w:pPr>
            <w:r>
              <w:rPr>
                <w:rFonts w:ascii="Times New Roman" w:cs="Times New Roman" w:eastAsia="Times New Roman" w:hAnsi="Times New Roman"/>
                <w:sz w:val="17"/>
                <w:szCs w:val="17"/>
                <w:b w:val="1"/>
                <w:bCs w:val="1"/>
                <w:color w:val="auto"/>
                <w:w w:val="99"/>
              </w:rPr>
              <w:t>2024</w:t>
            </w:r>
          </w:p>
        </w:tc>
      </w:tr>
      <w:tr>
        <w:trPr>
          <w:trHeight w:val="212"/>
        </w:trPr>
        <w:tc>
          <w:tcPr>
            <w:tcW w:w="4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Revenue Dollars</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Revenue Percentage</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Revenue Dollars</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Revenue Percentage</w:t>
            </w:r>
          </w:p>
        </w:tc>
      </w:tr>
      <w:tr>
        <w:trPr>
          <w:trHeight w:val="212"/>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4"/>
          </w:tcPr>
          <w:p>
            <w:pPr>
              <w:jc w:val="right"/>
              <w:ind w:right="85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Home health and hospice services</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9"/>
        </w:trPr>
        <w:tc>
          <w:tcPr>
            <w:tcW w:w="47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Home health</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351,240</w:t>
            </w: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37.1 %</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239,539</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34.5 %</w:t>
            </w:r>
          </w:p>
        </w:tc>
      </w:tr>
      <w:tr>
        <w:trPr>
          <w:trHeight w:val="219"/>
        </w:trPr>
        <w:tc>
          <w:tcPr>
            <w:tcW w:w="4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Hospice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317,801</w:t>
            </w:r>
          </w:p>
        </w:tc>
        <w:tc>
          <w:tcPr>
            <w:tcW w:w="1800" w:type="dxa"/>
            <w:vAlign w:val="bottom"/>
            <w:gridSpan w:val="3"/>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240,102</w:t>
            </w:r>
          </w:p>
        </w:tc>
        <w:tc>
          <w:tcPr>
            <w:tcW w:w="1780" w:type="dxa"/>
            <w:vAlign w:val="bottom"/>
            <w:gridSpan w:val="3"/>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34.5</w:t>
            </w:r>
          </w:p>
        </w:tc>
      </w:tr>
      <w:tr>
        <w:trPr>
          <w:trHeight w:val="219"/>
        </w:trPr>
        <w:tc>
          <w:tcPr>
            <w:tcW w:w="4740" w:type="dxa"/>
            <w:vAlign w:val="bottom"/>
          </w:tcPr>
          <w:p>
            <w:pPr>
              <w:ind w:left="140"/>
              <w:spacing w:after="0" w:line="219" w:lineRule="exact"/>
              <w:rPr>
                <w:sz w:val="20"/>
                <w:szCs w:val="20"/>
                <w:color w:val="auto"/>
              </w:rPr>
            </w:pPr>
            <w:r>
              <w:rPr>
                <w:rFonts w:ascii="Times New Roman" w:cs="Times New Roman" w:eastAsia="Times New Roman" w:hAnsi="Times New Roman"/>
                <w:sz w:val="17"/>
                <w:szCs w:val="17"/>
                <w:color w:val="auto"/>
              </w:rPr>
              <w:t>Home care and other</w:t>
            </w:r>
            <w:r>
              <w:rPr>
                <w:rFonts w:ascii="Times New Roman" w:cs="Times New Roman" w:eastAsia="Times New Roman" w:hAnsi="Times New Roman"/>
                <w:sz w:val="22"/>
                <w:szCs w:val="22"/>
                <w:color w:val="auto"/>
                <w:vertAlign w:val="superscript"/>
              </w:rPr>
              <w:t>(a)</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63,686</w:t>
            </w:r>
          </w:p>
        </w:tc>
        <w:tc>
          <w:tcPr>
            <w:tcW w:w="180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39,843</w:t>
            </w:r>
          </w:p>
        </w:tc>
        <w:tc>
          <w:tcPr>
            <w:tcW w:w="1780" w:type="dxa"/>
            <w:vAlign w:val="bottom"/>
            <w:gridSpan w:val="3"/>
          </w:tcPr>
          <w:p>
            <w:pPr>
              <w:jc w:val="right"/>
              <w:ind w:right="114"/>
              <w:spacing w:after="0"/>
              <w:rPr>
                <w:sz w:val="20"/>
                <w:szCs w:val="20"/>
                <w:color w:val="auto"/>
              </w:rPr>
            </w:pPr>
            <w:r>
              <w:rPr>
                <w:rFonts w:ascii="Times New Roman" w:cs="Times New Roman" w:eastAsia="Times New Roman" w:hAnsi="Times New Roman"/>
                <w:sz w:val="17"/>
                <w:szCs w:val="17"/>
                <w:color w:val="auto"/>
              </w:rPr>
              <w:t>5.7</w:t>
            </w:r>
          </w:p>
        </w:tc>
      </w:tr>
      <w:tr>
        <w:trPr>
          <w:trHeight w:val="212"/>
        </w:trPr>
        <w:tc>
          <w:tcPr>
            <w:tcW w:w="47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home health and hospice services</w:t>
            </w:r>
          </w:p>
        </w:tc>
        <w:tc>
          <w:tcPr>
            <w:tcW w:w="1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732,727</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77.3</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519,484</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74.7</w:t>
            </w:r>
          </w:p>
        </w:tc>
      </w:tr>
      <w:tr>
        <w:trPr>
          <w:trHeight w:val="219"/>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Senior living services</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214,978</w:t>
            </w:r>
          </w:p>
        </w:tc>
        <w:tc>
          <w:tcPr>
            <w:tcW w:w="1800" w:type="dxa"/>
            <w:vAlign w:val="bottom"/>
            <w:gridSpan w:val="3"/>
          </w:tcPr>
          <w:p>
            <w:pPr>
              <w:jc w:val="right"/>
              <w:ind w:right="134"/>
              <w:spacing w:after="0"/>
              <w:rPr>
                <w:sz w:val="20"/>
                <w:szCs w:val="20"/>
                <w:color w:val="auto"/>
              </w:rPr>
            </w:pPr>
            <w:r>
              <w:rPr>
                <w:rFonts w:ascii="Times New Roman" w:cs="Times New Roman" w:eastAsia="Times New Roman" w:hAnsi="Times New Roman"/>
                <w:sz w:val="17"/>
                <w:szCs w:val="17"/>
                <w:color w:val="auto"/>
              </w:rPr>
              <w:t>22.7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175,756</w:t>
            </w:r>
          </w:p>
        </w:tc>
        <w:tc>
          <w:tcPr>
            <w:tcW w:w="1780" w:type="dxa"/>
            <w:vAlign w:val="bottom"/>
            <w:gridSpan w:val="3"/>
          </w:tcPr>
          <w:p>
            <w:pPr>
              <w:jc w:val="right"/>
              <w:ind w:right="114"/>
              <w:spacing w:after="0"/>
              <w:rPr>
                <w:sz w:val="20"/>
                <w:szCs w:val="20"/>
                <w:color w:val="auto"/>
              </w:rPr>
            </w:pPr>
            <w:r>
              <w:rPr>
                <w:rFonts w:ascii="Times New Roman" w:cs="Times New Roman" w:eastAsia="Times New Roman" w:hAnsi="Times New Roman"/>
                <w:sz w:val="17"/>
                <w:szCs w:val="17"/>
                <w:color w:val="auto"/>
              </w:rPr>
              <w:t>25.3</w:t>
            </w:r>
          </w:p>
        </w:tc>
      </w:tr>
      <w:tr>
        <w:trPr>
          <w:trHeight w:val="237"/>
        </w:trPr>
        <w:tc>
          <w:tcPr>
            <w:tcW w:w="47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947,705</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695,240</w:t>
            </w:r>
          </w:p>
        </w:tc>
        <w:tc>
          <w:tcPr>
            <w:tcW w:w="6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460" w:hanging="440"/>
        <w:spacing w:after="0"/>
        <w:tabs>
          <w:tab w:leader="none" w:pos="4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Home care and other revenue is included with home health revenue in other disclosures in this report.</w:t>
      </w:r>
    </w:p>
    <w:p>
      <w:pPr>
        <w:spacing w:after="0" w:line="333"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Our consolidated revenue increased $252.5 million, or 36.3%, driven by the net organic growth of existing operations across all segments of $67.5 million or 9.7% as well as increased revenue from acquired operations of $185.0 million, or 26.6%, during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95"/>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4"/>
        </w:trPr>
        <w:tc>
          <w:tcPr>
            <w:tcW w:w="538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Home Health and Hospice Services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12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50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2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Home health and hospice revenue</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Home health services</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351,240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239,539</w:t>
            </w:r>
          </w:p>
        </w:tc>
        <w:tc>
          <w:tcPr>
            <w:tcW w:w="12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111,701</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46.6 %</w:t>
            </w:r>
          </w:p>
        </w:tc>
        <w:tc>
          <w:tcPr>
            <w:tcW w:w="0" w:type="dxa"/>
            <w:vAlign w:val="bottom"/>
          </w:tcPr>
          <w:p>
            <w:pPr>
              <w:spacing w:after="0"/>
              <w:rPr>
                <w:sz w:val="1"/>
                <w:szCs w:val="1"/>
                <w:color w:val="auto"/>
              </w:rPr>
            </w:pPr>
          </w:p>
        </w:tc>
      </w:tr>
      <w:tr>
        <w:trPr>
          <w:trHeight w:val="219"/>
        </w:trPr>
        <w:tc>
          <w:tcPr>
            <w:tcW w:w="5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Hospice services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317,801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240,102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77,699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32.4</w:t>
            </w:r>
          </w:p>
        </w:tc>
        <w:tc>
          <w:tcPr>
            <w:tcW w:w="0" w:type="dxa"/>
            <w:vAlign w:val="bottom"/>
          </w:tcPr>
          <w:p>
            <w:pPr>
              <w:spacing w:after="0"/>
              <w:rPr>
                <w:sz w:val="1"/>
                <w:szCs w:val="1"/>
                <w:color w:val="auto"/>
              </w:rPr>
            </w:pPr>
          </w:p>
        </w:tc>
      </w:tr>
      <w:tr>
        <w:trPr>
          <w:trHeight w:val="219"/>
        </w:trPr>
        <w:tc>
          <w:tcPr>
            <w:tcW w:w="53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Home care and other</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63,686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39,843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23,843</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ind w:right="114"/>
              <w:spacing w:after="0"/>
              <w:rPr>
                <w:sz w:val="20"/>
                <w:szCs w:val="20"/>
                <w:color w:val="auto"/>
              </w:rPr>
            </w:pPr>
            <w:r>
              <w:rPr>
                <w:rFonts w:ascii="Times New Roman" w:cs="Times New Roman" w:eastAsia="Times New Roman" w:hAnsi="Times New Roman"/>
                <w:sz w:val="17"/>
                <w:szCs w:val="17"/>
                <w:color w:val="auto"/>
              </w:rPr>
              <w:t>59.8</w:t>
            </w:r>
          </w:p>
        </w:tc>
        <w:tc>
          <w:tcPr>
            <w:tcW w:w="0" w:type="dxa"/>
            <w:vAlign w:val="bottom"/>
          </w:tcPr>
          <w:p>
            <w:pPr>
              <w:spacing w:after="0"/>
              <w:rPr>
                <w:sz w:val="1"/>
                <w:szCs w:val="1"/>
                <w:color w:val="auto"/>
              </w:rPr>
            </w:pPr>
          </w:p>
        </w:tc>
      </w:tr>
      <w:tr>
        <w:trPr>
          <w:trHeight w:val="237"/>
        </w:trPr>
        <w:tc>
          <w:tcPr>
            <w:tcW w:w="538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home health and hospice revenue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732,727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519,484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213,243</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41.0 %</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12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4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Home health services:</w:t>
            </w: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50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 Change</w:t>
            </w:r>
          </w:p>
        </w:tc>
        <w:tc>
          <w:tcPr>
            <w:tcW w:w="0" w:type="dxa"/>
            <w:vAlign w:val="bottom"/>
          </w:tcPr>
          <w:p>
            <w:pPr>
              <w:spacing w:after="0"/>
              <w:rPr>
                <w:sz w:val="1"/>
                <w:szCs w:val="1"/>
                <w:color w:val="auto"/>
              </w:rPr>
            </w:pPr>
          </w:p>
        </w:tc>
      </w:tr>
      <w:tr>
        <w:trPr>
          <w:trHeight w:val="199"/>
        </w:trPr>
        <w:tc>
          <w:tcPr>
            <w:tcW w:w="5380" w:type="dxa"/>
            <w:vAlign w:val="bottom"/>
            <w:gridSpan w:val="2"/>
            <w:vMerge w:val="continue"/>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home health admissions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26,335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44.1 %</w:t>
            </w:r>
          </w:p>
        </w:tc>
        <w:tc>
          <w:tcPr>
            <w:tcW w:w="0" w:type="dxa"/>
            <w:vAlign w:val="bottom"/>
          </w:tcPr>
          <w:p>
            <w:pPr>
              <w:spacing w:after="0"/>
              <w:rPr>
                <w:sz w:val="1"/>
                <w:szCs w:val="1"/>
                <w:color w:val="auto"/>
              </w:rPr>
            </w:pPr>
          </w:p>
        </w:tc>
      </w:tr>
      <w:tr>
        <w:trPr>
          <w:trHeight w:val="219"/>
        </w:trPr>
        <w:tc>
          <w:tcPr>
            <w:tcW w:w="5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Total Medicare home health admissions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24,598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10,284</w:t>
            </w:r>
          </w:p>
        </w:tc>
        <w:tc>
          <w:tcPr>
            <w:tcW w:w="100" w:type="dxa"/>
            <w:vAlign w:val="bottom"/>
          </w:tcPr>
          <w:p>
            <w:pPr>
              <w:spacing w:after="0"/>
              <w:rPr>
                <w:sz w:val="19"/>
                <w:szCs w:val="19"/>
                <w:color w:val="auto"/>
              </w:rPr>
            </w:pPr>
          </w:p>
        </w:tc>
        <w:tc>
          <w:tcPr>
            <w:tcW w:w="15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41.8</w:t>
            </w:r>
          </w:p>
        </w:tc>
        <w:tc>
          <w:tcPr>
            <w:tcW w:w="0" w:type="dxa"/>
            <w:vAlign w:val="bottom"/>
          </w:tcPr>
          <w:p>
            <w:pPr>
              <w:spacing w:after="0"/>
              <w:rPr>
                <w:sz w:val="1"/>
                <w:szCs w:val="1"/>
                <w:color w:val="auto"/>
              </w:rPr>
            </w:pPr>
          </w:p>
        </w:tc>
      </w:tr>
      <w:tr>
        <w:trPr>
          <w:trHeight w:val="219"/>
        </w:trPr>
        <w:tc>
          <w:tcPr>
            <w:tcW w:w="5380" w:type="dxa"/>
            <w:vAlign w:val="bottom"/>
            <w:gridSpan w:val="2"/>
            <w:shd w:val="clear" w:color="auto" w:fill="CCEEFF"/>
          </w:tcPr>
          <w:p>
            <w:pPr>
              <w:ind w:left="340"/>
              <w:spacing w:after="0" w:line="219" w:lineRule="exact"/>
              <w:rPr>
                <w:sz w:val="20"/>
                <w:szCs w:val="20"/>
                <w:color w:val="auto"/>
              </w:rPr>
            </w:pPr>
            <w:r>
              <w:rPr>
                <w:rFonts w:ascii="Times New Roman" w:cs="Times New Roman" w:eastAsia="Times New Roman" w:hAnsi="Times New Roman"/>
                <w:sz w:val="17"/>
                <w:szCs w:val="17"/>
                <w:color w:val="auto"/>
              </w:rPr>
              <w:t>Average Medicare revenue per 60-day completed episode</w:t>
            </w:r>
            <w:r>
              <w:rPr>
                <w:rFonts w:ascii="Times New Roman" w:cs="Times New Roman" w:eastAsia="Times New Roman" w:hAnsi="Times New Roman"/>
                <w:sz w:val="22"/>
                <w:szCs w:val="22"/>
                <w:color w:val="auto"/>
                <w:vertAlign w:val="superscript"/>
              </w:rPr>
              <w:t>(a)</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19"/>
        </w:trPr>
        <w:tc>
          <w:tcPr>
            <w:tcW w:w="5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Hospice services: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hospice admissions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15,189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12,208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24.4</w:t>
            </w:r>
          </w:p>
        </w:tc>
        <w:tc>
          <w:tcPr>
            <w:tcW w:w="0" w:type="dxa"/>
            <w:vAlign w:val="bottom"/>
          </w:tcPr>
          <w:p>
            <w:pPr>
              <w:spacing w:after="0"/>
              <w:rPr>
                <w:sz w:val="1"/>
                <w:szCs w:val="1"/>
                <w:color w:val="auto"/>
              </w:rPr>
            </w:pPr>
          </w:p>
        </w:tc>
      </w:tr>
      <w:tr>
        <w:trPr>
          <w:trHeight w:val="219"/>
        </w:trPr>
        <w:tc>
          <w:tcPr>
            <w:tcW w:w="53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Average daily census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w:t>
            </w:r>
          </w:p>
        </w:tc>
        <w:tc>
          <w:tcPr>
            <w:tcW w:w="100" w:type="dxa"/>
            <w:vAlign w:val="bottom"/>
          </w:tcPr>
          <w:p>
            <w:pPr>
              <w:spacing w:after="0"/>
              <w:rPr>
                <w:sz w:val="19"/>
                <w:szCs w:val="19"/>
                <w:color w:val="auto"/>
              </w:rPr>
            </w:pPr>
          </w:p>
        </w:tc>
        <w:tc>
          <w:tcPr>
            <w:tcW w:w="15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28.6</w:t>
            </w:r>
          </w:p>
        </w:tc>
        <w:tc>
          <w:tcPr>
            <w:tcW w:w="0" w:type="dxa"/>
            <w:vAlign w:val="bottom"/>
          </w:tcPr>
          <w:p>
            <w:pPr>
              <w:spacing w:after="0"/>
              <w:rPr>
                <w:sz w:val="1"/>
                <w:szCs w:val="1"/>
                <w:color w:val="auto"/>
              </w:rPr>
            </w:pPr>
          </w:p>
        </w:tc>
      </w:tr>
      <w:tr>
        <w:trPr>
          <w:trHeight w:val="219"/>
        </w:trPr>
        <w:tc>
          <w:tcPr>
            <w:tcW w:w="5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Hospice Medicare revenue per day</w:t>
            </w: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223"/>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Number of home health and hospice agencies at period end</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39.8 %</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460" w:hanging="440"/>
        <w:spacing w:after="0"/>
        <w:tabs>
          <w:tab w:leader="none" w:pos="4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year to date average for Medicare revenue per 60-day completed episode includes post period claim adjustments for prior periods.</w:t>
      </w:r>
    </w:p>
    <w:p>
      <w:pPr>
        <w:spacing w:after="0" w:line="33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Home health and hospice revenue increased $213.2 million, or 41.0%. Revenue grew due to an increase in all key performance indicators including an increase in total home health admissions of 44.1%, an increase in Medicare home health admissions of 41.8%, an increase in average Medicare revenue per 60-day completed episode of 3.5%, an increase of 24.4% in total hospice admissions, and an increase of 28.6% in hospice average daily census, and an increase in Hospice Medicare revenue per day of 4.9%. The improvement in these metrics resulted in net organic revenue growth of $52.8 million for the year ended December 31, 2025. Growth was also driven by the acquisition of forty-three home health, home care and hospice operations during the year ended December 31, 2025, and the acquisition of eleven home health, home care, and hospice operations during the year ended December 31, 2024, resulting in an increase in revenue of $160.5 million, or 30.9% overall.</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Senior Living Services</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77"/>
        </w:trPr>
        <w:tc>
          <w:tcPr>
            <w:tcW w:w="5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5"/>
          </w:tcPr>
          <w:p>
            <w:pPr>
              <w:ind w:left="22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2"/>
        </w:trPr>
        <w:tc>
          <w:tcPr>
            <w:tcW w:w="5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40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2"/>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(in thousands)</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214,978</w:t>
            </w: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175,756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39,222</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22.3 %</w:t>
            </w:r>
          </w:p>
        </w:tc>
      </w:tr>
      <w:tr>
        <w:trPr>
          <w:trHeight w:val="219"/>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Number of communities at period end</w:t>
            </w:r>
          </w:p>
        </w:tc>
        <w:tc>
          <w:tcPr>
            <w:tcW w:w="300" w:type="dxa"/>
            <w:vAlign w:val="bottom"/>
          </w:tcPr>
          <w:p>
            <w:pPr>
              <w:spacing w:after="0"/>
              <w:rPr>
                <w:sz w:val="19"/>
                <w:szCs w:val="19"/>
                <w:color w:val="auto"/>
              </w:rPr>
            </w:pP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Pr>
          <w:p>
            <w:pPr>
              <w:spacing w:after="0"/>
              <w:rPr>
                <w:sz w:val="19"/>
                <w:szCs w:val="19"/>
                <w:color w:val="auto"/>
              </w:rPr>
            </w:pPr>
          </w:p>
        </w:tc>
        <w:tc>
          <w:tcPr>
            <w:tcW w:w="14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10.5</w:t>
            </w: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Occupancy</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79.7 %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Average monthly revenue per occupied unit</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5,195</w:t>
            </w:r>
          </w:p>
        </w:tc>
        <w:tc>
          <w:tcPr>
            <w:tcW w:w="12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4,811</w:t>
            </w:r>
          </w:p>
        </w:tc>
        <w:tc>
          <w:tcPr>
            <w:tcW w:w="12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384</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8.0 %</w:t>
            </w:r>
          </w:p>
        </w:tc>
      </w:tr>
    </w:tbl>
    <w:p>
      <w:pPr>
        <w:spacing w:after="0" w:line="302"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Senior living revenue increased $39.2 million, or 22.3%, for the year ended December 31, 2025 when compared to the same period in the prior year primarily due to an 8.0% increase in average monthly revenue per occupied unit and a 90 basis point increase in occupancy rate. Growth in revenue was also driven by the acquisition of six senior living communities during the year ended December 31, 2025, and the acquisition of six senior living communities during the year ended December 31, 2024, resulting in an increase of $24.6 million, or 14.0% overall.</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Cost of Services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total cost of services by each of our reportable segments for the periods indicated: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6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2"/>
        </w:trPr>
        <w:tc>
          <w:tcPr>
            <w:tcW w:w="56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00" w:type="dxa"/>
            <w:vAlign w:val="bottom"/>
          </w:tcPr>
          <w:p>
            <w:pPr>
              <w:spacing w:after="0"/>
              <w:rPr>
                <w:sz w:val="18"/>
                <w:szCs w:val="18"/>
                <w:color w:val="auto"/>
              </w:rPr>
            </w:pPr>
          </w:p>
        </w:tc>
        <w:tc>
          <w:tcPr>
            <w:tcW w:w="14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2"/>
        </w:trPr>
        <w:tc>
          <w:tcPr>
            <w:tcW w:w="5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Home Health and Hospice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612,460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433,474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178,986</w:t>
            </w:r>
          </w:p>
        </w:tc>
        <w:tc>
          <w:tcPr>
            <w:tcW w:w="154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w w:val="99"/>
              </w:rPr>
              <w:t>41.3 %</w:t>
            </w:r>
          </w:p>
        </w:tc>
      </w:tr>
      <w:tr>
        <w:trPr>
          <w:trHeight w:val="219"/>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Senior Living</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156,043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124,975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31,068</w:t>
            </w:r>
          </w:p>
        </w:tc>
        <w:tc>
          <w:tcPr>
            <w:tcW w:w="1540" w:type="dxa"/>
            <w:vAlign w:val="bottom"/>
            <w:tcBorders>
              <w:bottom w:val="single" w:sz="8" w:color="CCEEFF"/>
            </w:tcBorders>
            <w:gridSpan w:val="2"/>
          </w:tcPr>
          <w:p>
            <w:pPr>
              <w:ind w:left="1040"/>
              <w:spacing w:after="0"/>
              <w:rPr>
                <w:sz w:val="20"/>
                <w:szCs w:val="20"/>
                <w:color w:val="auto"/>
              </w:rPr>
            </w:pPr>
            <w:r>
              <w:rPr>
                <w:rFonts w:ascii="Times New Roman" w:cs="Times New Roman" w:eastAsia="Times New Roman" w:hAnsi="Times New Roman"/>
                <w:sz w:val="17"/>
                <w:szCs w:val="17"/>
                <w:color w:val="auto"/>
              </w:rPr>
              <w:t>24.9</w:t>
            </w:r>
          </w:p>
        </w:tc>
      </w:tr>
      <w:tr>
        <w:trPr>
          <w:trHeight w:val="237"/>
        </w:trPr>
        <w:tc>
          <w:tcPr>
            <w:tcW w:w="5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cost of services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768,503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558,449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210,054</w:t>
            </w:r>
          </w:p>
        </w:tc>
        <w:tc>
          <w:tcPr>
            <w:tcW w:w="1540" w:type="dxa"/>
            <w:vAlign w:val="bottom"/>
            <w:tcBorders>
              <w:bottom w:val="single" w:sz="8" w:color="CCEEFF"/>
            </w:tcBorders>
            <w:gridSpan w:val="2"/>
            <w:shd w:val="clear" w:color="auto" w:fill="CCEEFF"/>
          </w:tcPr>
          <w:p>
            <w:pPr>
              <w:ind w:left="1040"/>
              <w:spacing w:after="0"/>
              <w:rPr>
                <w:sz w:val="20"/>
                <w:szCs w:val="20"/>
                <w:color w:val="auto"/>
              </w:rPr>
            </w:pPr>
            <w:r>
              <w:rPr>
                <w:rFonts w:ascii="Times New Roman" w:cs="Times New Roman" w:eastAsia="Times New Roman" w:hAnsi="Times New Roman"/>
                <w:sz w:val="17"/>
                <w:szCs w:val="17"/>
                <w:color w:val="auto"/>
                <w:w w:val="99"/>
              </w:rPr>
              <w:t>37.6 %</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Consolidated cost of services increased $210.1 million, or 37.6%, for the year ended December 31, 2025 when compared to the year ended December 31, 2024. The increase in the amount of cost of services was driven primarily by volume of services provided and increased wages and benefits. Cost of services as a percentage of revenue increased by 80 basis points from 80.3% to 81.1% over the same time period.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0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Home Health and Hospice Services</w:t>
            </w: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77"/>
        </w:trPr>
        <w:tc>
          <w:tcPr>
            <w:tcW w:w="5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20" w:type="dxa"/>
            <w:vAlign w:val="bottom"/>
            <w:gridSpan w:val="4"/>
          </w:tcPr>
          <w:p>
            <w:pPr>
              <w:ind w:left="24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2"/>
        </w:trPr>
        <w:tc>
          <w:tcPr>
            <w:tcW w:w="50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2025</w:t>
            </w:r>
          </w:p>
        </w:tc>
        <w:tc>
          <w:tcPr>
            <w:tcW w:w="5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2"/>
        </w:trPr>
        <w:tc>
          <w:tcPr>
            <w:tcW w:w="50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ind w:left="66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service</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612,460</w:t>
            </w:r>
          </w:p>
        </w:tc>
        <w:tc>
          <w:tcPr>
            <w:tcW w:w="58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433,474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178,986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41.3 %</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services as a percentage of revenue</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83.6 %</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28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Cost of services related to our Home Health and Hospice services segment increased $179.0 million, or 41.3%, primarily due to increased volume of services from the growth in admissions and average daily census as well as increased wages and benefits. Cost of services as a percentage of revenue for the year ended December 31, 2025 increased by 20 basis points compared to the year ended December 31, 2024 primarily due to increased wages and benefits.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10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Senior Living Services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477"/>
        </w:trPr>
        <w:tc>
          <w:tcPr>
            <w:tcW w:w="5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gridSpan w:val="4"/>
          </w:tcPr>
          <w:p>
            <w:pPr>
              <w:ind w:left="22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12"/>
        </w:trPr>
        <w:tc>
          <w:tcPr>
            <w:tcW w:w="5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1460" w:type="dxa"/>
            <w:vAlign w:val="bottom"/>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 Change</w:t>
            </w:r>
          </w:p>
        </w:tc>
      </w:tr>
      <w:tr>
        <w:trPr>
          <w:trHeight w:val="212"/>
        </w:trPr>
        <w:tc>
          <w:tcPr>
            <w:tcW w:w="5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64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service</w:t>
            </w: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156,043</w:t>
            </w:r>
          </w:p>
        </w:tc>
        <w:tc>
          <w:tcPr>
            <w:tcW w:w="56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124,975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31,068</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24.9 %</w:t>
            </w: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services as a percentage of revenue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72.6 %</w:t>
            </w:r>
          </w:p>
        </w:tc>
        <w:tc>
          <w:tcPr>
            <w:tcW w:w="5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bl>
    <w:p>
      <w:pPr>
        <w:spacing w:after="0" w:line="302"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Cost of services related to our Senior Living services segment increased $31.1 million, or 24.9%, during the year ended December 31, 2025 in response to higher occupancy, acquisitions and wage rate increases. As a percentage of revenue, costs of service increased by 150 basis points during the year ended December 31, 2025 when compared to the year ended December 31, 2024 primarily due to increased wages and benefits.</w:t>
      </w:r>
    </w:p>
    <w:p>
      <w:pPr>
        <w:spacing w:after="0" w:line="187"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Rent—Cost of Services</w:t>
      </w:r>
      <w:r>
        <w:rPr>
          <w:rFonts w:ascii="Times New Roman" w:cs="Times New Roman" w:eastAsia="Times New Roman" w:hAnsi="Times New Roman"/>
          <w:sz w:val="17"/>
          <w:szCs w:val="17"/>
          <w:color w:val="auto"/>
        </w:rPr>
        <w:t>. Rent increased 13.2% from $43.0 million to $48.7 million for the year ended December 31, 2025 compared to the year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December 31, 2024, primarily as a result of the newly acquired senior living communities. As a percentage of revenue, rent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cost of services decreased 110 basis points when compared to the year ended December 31, 2024 due to improved overall sales leverage and performance.</w:t>
      </w:r>
    </w:p>
    <w:p>
      <w:pPr>
        <w:spacing w:after="0" w:line="186"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General and Administrative Expense. </w:t>
      </w:r>
      <w:r>
        <w:rPr>
          <w:rFonts w:ascii="Times New Roman" w:cs="Times New Roman" w:eastAsia="Times New Roman" w:hAnsi="Times New Roman"/>
          <w:sz w:val="17"/>
          <w:szCs w:val="17"/>
          <w:color w:val="auto"/>
        </w:rPr>
        <w:t>General and administrative expense increased $20.9 million, or 41.6%, from $50.2 million to $71.1 million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year ended December 31, 2025 when compared to the year ended December 31, 2024. The increase in general and administrative expense was primarily due to an increase of $18.8 million in wages and benefits for the year ended December 31, 2025 when compared to the year ended December 31, 2024.</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 xml:space="preserve">Depreciation and Amortization. </w:t>
      </w:r>
      <w:r>
        <w:rPr>
          <w:rFonts w:ascii="Times New Roman" w:cs="Times New Roman" w:eastAsia="Times New Roman" w:hAnsi="Times New Roman"/>
          <w:sz w:val="17"/>
          <w:szCs w:val="17"/>
          <w:color w:val="auto"/>
        </w:rPr>
        <w:t>Depreciation and amortization expense stayed flat as a percentage of total revenue.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Gain on Asset Dispositions and Impairment, Net. </w:t>
      </w:r>
      <w:r>
        <w:rPr>
          <w:rFonts w:ascii="Times New Roman" w:cs="Times New Roman" w:eastAsia="Times New Roman" w:hAnsi="Times New Roman"/>
          <w:sz w:val="17"/>
          <w:szCs w:val="17"/>
          <w:color w:val="auto"/>
        </w:rPr>
        <w:t>Gain on asset dispositions and impairment, net was $1.0 million for the year ended December 31, 2025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compared to $0.7 million for the year ended December 31, 2024 primarily due to insurance proceeds related to one of our senior living communities.</w:t>
      </w:r>
    </w:p>
    <w:p>
      <w:pPr>
        <w:spacing w:after="0" w:line="169"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Provision for Income Taxes</w:t>
      </w:r>
      <w:r>
        <w:rPr>
          <w:rFonts w:ascii="Times New Roman" w:cs="Times New Roman" w:eastAsia="Times New Roman" w:hAnsi="Times New Roman"/>
          <w:sz w:val="17"/>
          <w:szCs w:val="17"/>
          <w:color w:val="auto"/>
        </w:rPr>
        <w:t>. Our effective tax rate for the year ended December 31, 2025 was 26.0% of earnings before income taxes compared with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effective tax rate of 22.4% for the year ended December 31, 2024. The increase in the effective tax rate is primarily driven by the change in discrete tax effects of share-based compensation. See Note 14</w:t>
      </w:r>
      <w:r>
        <w:rPr>
          <w:rFonts w:ascii="Times New Roman" w:cs="Times New Roman" w:eastAsia="Times New Roman" w:hAnsi="Times New Roman"/>
          <w:sz w:val="17"/>
          <w:szCs w:val="17"/>
          <w:i w:val="1"/>
          <w:iCs w:val="1"/>
          <w:color w:val="auto"/>
        </w:rPr>
        <w:t>, Income Taxes</w:t>
      </w:r>
      <w:r>
        <w:rPr>
          <w:rFonts w:ascii="Times New Roman" w:cs="Times New Roman" w:eastAsia="Times New Roman" w:hAnsi="Times New Roman"/>
          <w:sz w:val="17"/>
          <w:szCs w:val="17"/>
          <w:color w:val="auto"/>
        </w:rPr>
        <w:t>, to the Consolidated Financial Statements included elsewhere in this report filed on Form 10-K for further discussion.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Prior Year Information</w:t>
      </w:r>
    </w:p>
    <w:p>
      <w:pPr>
        <w:spacing w:after="0" w:line="249" w:lineRule="exact"/>
        <w:rPr>
          <w:sz w:val="20"/>
          <w:szCs w:val="20"/>
          <w:color w:val="auto"/>
        </w:rPr>
      </w:pPr>
    </w:p>
    <w:p>
      <w:pPr>
        <w:jc w:val="both"/>
        <w:ind w:firstLine="619"/>
        <w:spacing w:after="0" w:line="271" w:lineRule="auto"/>
        <w:rPr>
          <w:sz w:val="20"/>
          <w:szCs w:val="20"/>
          <w:color w:val="auto"/>
        </w:rPr>
      </w:pPr>
      <w:r>
        <w:rPr>
          <w:rFonts w:ascii="Times New Roman" w:cs="Times New Roman" w:eastAsia="Times New Roman" w:hAnsi="Times New Roman"/>
          <w:sz w:val="17"/>
          <w:szCs w:val="17"/>
          <w:color w:val="auto"/>
        </w:rPr>
        <w:t>For a comparison of our results of operations of the fiscal year ended December 31, 2024 as compared to the year ended December 31, 2023 refer to Item 7. Management's Discussion and Analysis of Financial Condition and Results of Operations on Form 10-K filed with the SEC on February 27,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primary sources of liquidity are cash generated through operating activities and borrowings under our credit agreement.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Credit Agreement</w:t>
      </w:r>
    </w:p>
    <w:p>
      <w:pPr>
        <w:spacing w:after="0" w:line="247" w:lineRule="exact"/>
        <w:rPr>
          <w:sz w:val="20"/>
          <w:szCs w:val="20"/>
          <w:color w:val="auto"/>
        </w:rPr>
      </w:pPr>
    </w:p>
    <w:p>
      <w:pPr>
        <w:jc w:val="both"/>
        <w:ind w:firstLine="619"/>
        <w:spacing w:after="0" w:line="249" w:lineRule="auto"/>
        <w:rPr>
          <w:sz w:val="20"/>
          <w:szCs w:val="20"/>
          <w:color w:val="auto"/>
        </w:rPr>
      </w:pPr>
      <w:r>
        <w:rPr>
          <w:rFonts w:ascii="Times New Roman" w:cs="Times New Roman" w:eastAsia="Times New Roman" w:hAnsi="Times New Roman"/>
          <w:sz w:val="17"/>
          <w:szCs w:val="17"/>
          <w:color w:val="auto"/>
        </w:rPr>
        <w:t>On July 31, 2024, Pennant amended and restated its existing credit agreement (as amended, the “Amended Credit Agreement”), which provides for an increased revolving credit facility with a syndicate of banks with a borrowing capacity of $250.0 million (the “Amended Revolving Credit Facility”). The Amended Revolving Credit Facility is not subject to interim amortization and the Company will not be required to repay any loans under the Amended Revolving Credit Facility prior to maturity in 2029. The Company is permitted to prepay all or any portion of the loans under the Amended Revolving Credit Facility prior to maturity without premium or penalty, subject to reimbursement of any SOFR breakage costs of the lenders.</w:t>
      </w:r>
    </w:p>
    <w:p>
      <w:pPr>
        <w:spacing w:after="0" w:line="198"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On November 3, 2025, Pennant entered into the First Amendment to Amended and Restated Credit Agreement (the “First Amendment”), pursuant to which, Pennant obtained an incremental term loan facility in an aggregate principal amount of $100 million (the “Incremental Term Loans”). The Incremental Term Loans constitute term loans under, and are subject to the terms and provisions of, the Amended Credit Agreement, including bearing interest at the same interest rate, and having the same maturity date, as the Amended Revolving Credit Facility. In conjunction with the First Amendment, the Company incurred additional debt issuance costs of $1,203. The Company used the proceeds of the Incremental Term Loans to refinance a portion of the outstanding revolving loans under the Amended Revolving Credit Facility and to pay fees and expenses incurred in connection with the First Amendment.</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Amended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December 31, 2025, the Company was compliant with all such financial covenants.</w:t>
      </w:r>
    </w:p>
    <w:p>
      <w:pPr>
        <w:spacing w:after="0" w:line="19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 October 2, 2024, the Company closed the public offering (the “Offering”) of 4,025 shares of its common stock, $0.001 par value per share (“common stock”). The net proceeds to the Company from the offering, after underwriting discounts, commissions, and expenses, was approximately $118.1 million. The majority of the proceeds were subsequently used to pay the outstanding balance on our Amended Revolving Credit Facility.</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December 31, 2025 we had $17.0 million of cash and $171.6 million of available borrowing capacity on our Amended Revolving Credit Facility.</w:t>
      </w:r>
    </w:p>
    <w:p>
      <w:pPr>
        <w:spacing w:after="0" w:line="24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We believe that our existing cash, cash generated through operations, and access to available borrowing capacity under our Amended Credit Agreement, will be sufficient to provide adequate liquidity for the next twelve months for both our operating activities and opportunities for acquisition growth.</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95"/>
        </w:trPr>
        <w:tc>
          <w:tcPr>
            <w:tcW w:w="86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
        </w:trPr>
        <w:tc>
          <w:tcPr>
            <w:tcW w:w="1220" w:type="dxa"/>
            <w:vAlign w:val="bottom"/>
            <w:shd w:val="clear" w:color="auto" w:fill="0000FF"/>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754"/>
        </w:trPr>
        <w:tc>
          <w:tcPr>
            <w:tcW w:w="864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The following table presents selected data from our statement of cash flows for the periods presented:</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77"/>
        </w:trPr>
        <w:tc>
          <w:tcPr>
            <w:tcW w:w="12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12"/>
        </w:trPr>
        <w:tc>
          <w:tcPr>
            <w:tcW w:w="12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12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4"/>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(In thousands)</w:t>
            </w:r>
          </w:p>
        </w:tc>
      </w:tr>
      <w:tr>
        <w:trPr>
          <w:trHeight w:val="219"/>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39,298</w:t>
            </w:r>
          </w:p>
        </w:tc>
      </w:tr>
      <w:tr>
        <w:trPr>
          <w:trHeight w:val="219"/>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(227,971)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(70,684)</w:t>
            </w:r>
          </w:p>
        </w:tc>
      </w:tr>
      <w:tr>
        <w:trPr>
          <w:trHeight w:val="219"/>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172,455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49,573</w:t>
            </w:r>
          </w:p>
        </w:tc>
      </w:tr>
      <w:tr>
        <w:trPr>
          <w:trHeight w:val="212"/>
        </w:trPr>
        <w:tc>
          <w:tcPr>
            <w:tcW w:w="86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Net change in cash</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18,187</w:t>
            </w:r>
          </w:p>
        </w:tc>
      </w:tr>
      <w:tr>
        <w:trPr>
          <w:trHeight w:val="219"/>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at beginning of year</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6,059</w:t>
            </w:r>
          </w:p>
        </w:tc>
      </w:tr>
      <w:tr>
        <w:trPr>
          <w:trHeight w:val="212"/>
        </w:trPr>
        <w:tc>
          <w:tcPr>
            <w:tcW w:w="864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Cash at end of year</w:t>
            </w: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17,024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24,246</w:t>
            </w:r>
          </w:p>
        </w:tc>
      </w:tr>
      <w:tr>
        <w:trPr>
          <w:trHeight w:val="20"/>
        </w:trPr>
        <w:tc>
          <w:tcPr>
            <w:tcW w:w="12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Year Ended December 31, 2025 Compared to the Year Ended December 31, 2024</w:t>
      </w:r>
    </w:p>
    <w:p>
      <w:pPr>
        <w:spacing w:after="0" w:line="22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net cash flow from operating activities for the year ended December 31, 2025 increased by $9.0 million when compared to the year ended December 31, 2024. The primary drivers of this difference were a $9.4 million increase in net income and a $2.5 million net decrease in cash flows from the change in operating assets and liabilities.</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net cash used in investing activities for the year ended December 31, 2025 increased by $157.3 million compared to the year ended December 31, 2024, primarily driven by a $154.7 million increase in business acquisitions, asset acquisitions, and escrow deposits and a $3.0 million increase in purchases of property and equipment during the year ended December 31, 2025 compared to the year ended December 31, 2024.</w:t>
      </w:r>
    </w:p>
    <w:p>
      <w:pPr>
        <w:spacing w:after="0" w:line="191" w:lineRule="exact"/>
        <w:rPr>
          <w:sz w:val="20"/>
          <w:szCs w:val="20"/>
          <w:color w:val="auto"/>
        </w:rPr>
      </w:pPr>
    </w:p>
    <w:p>
      <w:pPr>
        <w:jc w:val="both"/>
        <w:ind w:firstLine="203"/>
        <w:spacing w:after="0" w:line="264" w:lineRule="auto"/>
        <w:rPr>
          <w:sz w:val="20"/>
          <w:szCs w:val="20"/>
          <w:color w:val="auto"/>
        </w:rPr>
      </w:pPr>
      <w:r>
        <w:rPr>
          <w:rFonts w:ascii="Times New Roman" w:cs="Times New Roman" w:eastAsia="Times New Roman" w:hAnsi="Times New Roman"/>
          <w:sz w:val="17"/>
          <w:szCs w:val="17"/>
          <w:color w:val="auto"/>
        </w:rPr>
        <w:t>Our net cash provided by financing activities increased by $122.9 million for the year ended December 31, 2025 when compared to the year ended December 31, 2024, primarily driven by an increase in net proceeds from our Amended Revolving Credit Facility of $140.0 million and an increase in proceeds from our Incremental Term Loans of $100.0 million. During the year ended December 31, 2024, we received $118.1 million through a secondary offering. Payments for deferred financing costs decreased $2.7 million during the year ended December 31, 2025 compared to the year ended December 31, 2024.</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7A. </w:t>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45"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Interest Rate Risk</w:t>
      </w:r>
      <w:r>
        <w:rPr>
          <w:rFonts w:ascii="Times New Roman" w:cs="Times New Roman" w:eastAsia="Times New Roman" w:hAnsi="Times New Roman"/>
          <w:sz w:val="17"/>
          <w:szCs w:val="17"/>
          <w:color w:val="auto"/>
        </w:rPr>
        <w:t>. We are exposed to risks associated with market changes in interest rates. On July 31, 2024, Pennant entered into the Amended Credit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which provides for a revolving credit facility with a syndicate of banks with a borrowing capacity of $250.0 million. A 1.0% interest rate change would cause interest expense to change by approximately $1.8 million annually based upon our outstanding long-term debt as of December 31, 2025. We manage our exposure to this market risk by monitoring available financing alternatives.</w:t>
      </w:r>
    </w:p>
    <w:p>
      <w:pPr>
        <w:spacing w:after="0" w:line="188"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8.</w:t>
      </w:r>
      <w:r>
        <w:rPr>
          <w:sz w:val="20"/>
          <w:szCs w:val="20"/>
          <w:color w:val="auto"/>
        </w:rPr>
        <w:tab/>
      </w:r>
      <w:r>
        <w:rPr>
          <w:rFonts w:ascii="Times New Roman" w:cs="Times New Roman" w:eastAsia="Times New Roman" w:hAnsi="Times New Roman"/>
          <w:sz w:val="17"/>
          <w:szCs w:val="17"/>
          <w:b w:val="1"/>
          <w:bCs w:val="1"/>
          <w:i w:val="1"/>
          <w:iCs w:val="1"/>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95"/>
        </w:trPr>
        <w:tc>
          <w:tcPr>
            <w:tcW w:w="1046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80" w:type="dxa"/>
            <w:vAlign w:val="bottom"/>
          </w:tcPr>
          <w:p>
            <w:pPr>
              <w:spacing w:after="0"/>
              <w:rPr>
                <w:sz w:val="17"/>
                <w:szCs w:val="17"/>
                <w:color w:val="auto"/>
              </w:rPr>
            </w:pPr>
          </w:p>
        </w:tc>
      </w:tr>
      <w:tr>
        <w:trPr>
          <w:trHeight w:val="733"/>
        </w:trPr>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0" w:type="dxa"/>
            <w:vAlign w:val="bottom"/>
            <w:tcBorders>
              <w:top w:val="single" w:sz="8" w:color="0000FF"/>
            </w:tcBorders>
          </w:tcPr>
          <w:p>
            <w:pPr>
              <w:spacing w:after="0"/>
              <w:rPr>
                <w:sz w:val="24"/>
                <w:szCs w:val="24"/>
                <w:color w:val="auto"/>
              </w:rPr>
            </w:pPr>
          </w:p>
        </w:tc>
        <w:tc>
          <w:tcPr>
            <w:tcW w:w="2260" w:type="dxa"/>
            <w:vAlign w:val="bottom"/>
          </w:tcPr>
          <w:p>
            <w:pPr>
              <w:spacing w:after="0"/>
              <w:rPr>
                <w:sz w:val="24"/>
                <w:szCs w:val="24"/>
                <w:color w:val="auto"/>
              </w:rPr>
            </w:pPr>
          </w:p>
        </w:tc>
        <w:tc>
          <w:tcPr>
            <w:tcW w:w="6980" w:type="dxa"/>
            <w:vAlign w:val="bottom"/>
            <w:gridSpan w:val="7"/>
          </w:tcPr>
          <w:p>
            <w:pPr>
              <w:jc w:val="center"/>
              <w:ind w:right="2700"/>
              <w:spacing w:after="0"/>
              <w:rPr>
                <w:sz w:val="20"/>
                <w:szCs w:val="20"/>
                <w:color w:val="auto"/>
              </w:rPr>
            </w:pPr>
            <w:r>
              <w:rPr>
                <w:rFonts w:ascii="Times New Roman" w:cs="Times New Roman" w:eastAsia="Times New Roman" w:hAnsi="Times New Roman"/>
                <w:sz w:val="17"/>
                <w:szCs w:val="17"/>
                <w:b w:val="1"/>
                <w:bCs w:val="1"/>
                <w:color w:val="auto"/>
              </w:rPr>
              <w:t>THE PENNANT GROUP, INC.</w:t>
            </w:r>
          </w:p>
        </w:tc>
        <w:tc>
          <w:tcPr>
            <w:tcW w:w="18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40" w:type="dxa"/>
            <w:vAlign w:val="bottom"/>
            <w:gridSpan w:val="8"/>
          </w:tcPr>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INDEX TO THE CONSOLIDATED FINANCIAL STATEMENTS</w:t>
            </w:r>
          </w:p>
        </w:tc>
        <w:tc>
          <w:tcPr>
            <w:tcW w:w="180" w:type="dxa"/>
            <w:vAlign w:val="bottom"/>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980" w:type="dxa"/>
            <w:vAlign w:val="bottom"/>
            <w:gridSpan w:val="7"/>
          </w:tcPr>
          <w:p>
            <w:pPr>
              <w:jc w:val="center"/>
              <w:ind w:right="2700"/>
              <w:spacing w:after="0"/>
              <w:rPr>
                <w:sz w:val="20"/>
                <w:szCs w:val="20"/>
                <w:color w:val="auto"/>
              </w:rPr>
            </w:pPr>
            <w:r>
              <w:rPr>
                <w:rFonts w:ascii="Times New Roman" w:cs="Times New Roman" w:eastAsia="Times New Roman" w:hAnsi="Times New Roman"/>
                <w:sz w:val="17"/>
                <w:szCs w:val="17"/>
                <w:b w:val="1"/>
                <w:bCs w:val="1"/>
                <w:color w:val="auto"/>
              </w:rPr>
              <w:t>AND FINANCIAL STATEMENT SCHEDULE</w:t>
            </w:r>
          </w:p>
        </w:tc>
        <w:tc>
          <w:tcPr>
            <w:tcW w:w="180" w:type="dxa"/>
            <w:vAlign w:val="bottom"/>
          </w:tcPr>
          <w:p>
            <w:pPr>
              <w:spacing w:after="0"/>
              <w:rPr>
                <w:sz w:val="19"/>
                <w:szCs w:val="19"/>
                <w:color w:val="auto"/>
              </w:rPr>
            </w:pPr>
          </w:p>
        </w:tc>
      </w:tr>
      <w:tr>
        <w:trPr>
          <w:trHeight w:val="902"/>
        </w:trPr>
        <w:tc>
          <w:tcPr>
            <w:tcW w:w="20" w:type="dxa"/>
            <w:vAlign w:val="bottom"/>
          </w:tcPr>
          <w:p>
            <w:pPr>
              <w:spacing w:after="0"/>
              <w:rPr>
                <w:sz w:val="24"/>
                <w:szCs w:val="24"/>
                <w:color w:val="auto"/>
              </w:rPr>
            </w:pPr>
          </w:p>
        </w:tc>
        <w:tc>
          <w:tcPr>
            <w:tcW w:w="1044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 xml:space="preserve">Report of Independent Registered Public Accounting Firm (PCAOB ID No. </w:t>
            </w:r>
            <w:r>
              <w:rPr>
                <w:rFonts w:ascii="Times New Roman" w:cs="Times New Roman" w:eastAsia="Times New Roman" w:hAnsi="Times New Roman"/>
                <w:sz w:val="17"/>
                <w:szCs w:val="17"/>
                <w:color w:val="0E32E1"/>
              </w:rPr>
              <w:t>34)</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3"/>
              </w:rPr>
              <w:t>46</w:t>
            </w:r>
          </w:p>
        </w:tc>
      </w:tr>
      <w:tr>
        <w:trPr>
          <w:trHeight w:val="234"/>
        </w:trPr>
        <w:tc>
          <w:tcPr>
            <w:tcW w:w="20" w:type="dxa"/>
            <w:vAlign w:val="bottom"/>
          </w:tcPr>
          <w:p>
            <w:pPr>
              <w:spacing w:after="0"/>
              <w:rPr>
                <w:sz w:val="20"/>
                <w:szCs w:val="20"/>
                <w:color w:val="auto"/>
              </w:rPr>
            </w:pPr>
          </w:p>
        </w:tc>
        <w:tc>
          <w:tcPr>
            <w:tcW w:w="52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auto"/>
              </w:rPr>
              <w:t>Consolidated Financial Statements:</w:t>
            </w:r>
          </w:p>
        </w:tc>
        <w:tc>
          <w:tcPr>
            <w:tcW w:w="240" w:type="dxa"/>
            <w:vAlign w:val="bottom"/>
            <w:tcBorders>
              <w:top w:val="single" w:sz="8" w:color="0E32E1"/>
            </w:tcBorders>
          </w:tcPr>
          <w:p>
            <w:pPr>
              <w:spacing w:after="0"/>
              <w:rPr>
                <w:sz w:val="20"/>
                <w:szCs w:val="20"/>
                <w:color w:val="auto"/>
              </w:rPr>
            </w:pPr>
          </w:p>
        </w:tc>
        <w:tc>
          <w:tcPr>
            <w:tcW w:w="4940" w:type="dxa"/>
            <w:vAlign w:val="bottom"/>
            <w:gridSpan w:val="4"/>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r>
      <w:tr>
        <w:trPr>
          <w:trHeight w:val="18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40" w:type="dxa"/>
            <w:vAlign w:val="bottom"/>
            <w:gridSpan w:val="9"/>
          </w:tcPr>
          <w:p>
            <w:pPr>
              <w:spacing w:after="0" w:line="184" w:lineRule="exact"/>
              <w:rPr>
                <w:sz w:val="20"/>
                <w:szCs w:val="20"/>
                <w:color w:val="auto"/>
              </w:rPr>
            </w:pPr>
            <w:r>
              <w:rPr>
                <w:rFonts w:ascii="Times New Roman" w:cs="Times New Roman" w:eastAsia="Times New Roman" w:hAnsi="Times New Roman"/>
                <w:sz w:val="17"/>
                <w:szCs w:val="17"/>
                <w:color w:val="0000FF"/>
              </w:rPr>
              <w:t>Consolidated Balance Sheets as of December 31, 2025 and 2024</w:t>
            </w:r>
          </w:p>
        </w:tc>
        <w:tc>
          <w:tcPr>
            <w:tcW w:w="180" w:type="dxa"/>
            <w:vAlign w:val="bottom"/>
          </w:tcPr>
          <w:p>
            <w:pPr>
              <w:jc w:val="right"/>
              <w:spacing w:after="0" w:line="184" w:lineRule="exact"/>
              <w:rPr>
                <w:sz w:val="20"/>
                <w:szCs w:val="20"/>
                <w:color w:val="auto"/>
              </w:rPr>
            </w:pPr>
            <w:r>
              <w:rPr>
                <w:rFonts w:ascii="Times New Roman" w:cs="Times New Roman" w:eastAsia="Times New Roman" w:hAnsi="Times New Roman"/>
                <w:sz w:val="17"/>
                <w:szCs w:val="17"/>
                <w:color w:val="0000FF"/>
                <w:w w:val="93"/>
              </w:rPr>
              <w:t>48</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60" w:type="dxa"/>
            <w:vAlign w:val="bottom"/>
            <w:gridSpan w:val="2"/>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3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Consolidated Statements of Income for the Years Ended December 31, 2025, 2024 and 2023</w:t>
            </w:r>
          </w:p>
        </w:tc>
        <w:tc>
          <w:tcPr>
            <w:tcW w:w="3880" w:type="dxa"/>
            <w:vAlign w:val="bottom"/>
            <w:gridSpan w:val="3"/>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49</w:t>
            </w:r>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 for the Years Ended December 31, 2025, 2024 and 2023</w:t>
            </w:r>
          </w:p>
        </w:tc>
        <w:tc>
          <w:tcPr>
            <w:tcW w:w="2960" w:type="dxa"/>
            <w:vAlign w:val="bottom"/>
          </w:tcPr>
          <w:p>
            <w:pPr>
              <w:spacing w:after="0"/>
              <w:rPr>
                <w:sz w:val="17"/>
                <w:szCs w:val="17"/>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50</w:t>
            </w:r>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Years Ended December 31, 2025, 2024 and 2023</w:t>
            </w: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7"/>
                <w:szCs w:val="17"/>
                <w:color w:val="0000FF"/>
                <w:w w:val="93"/>
              </w:rPr>
              <w:t>51</w:t>
            </w:r>
          </w:p>
        </w:tc>
      </w:tr>
      <w:tr>
        <w:trPr>
          <w:trHeight w:val="199"/>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Notes to the Consolidated Financial Statements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0000FF"/>
                <w:w w:val="93"/>
              </w:rPr>
              <w:t>53</w:t>
            </w: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640"/>
          </w:cols>
          <w:pgMar w:left="320" w:top="112" w:right="9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The Pennant Group, Inc.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The Pennant Group, Inc. and subsidiaries (the "Company") as of December 31, 2025 and 2024, the related consolidated statements of income,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and our report dated February 25, 2026, expressed an unqualified opinion on the Company's internal control over financial reporting.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Self-Insurance Reserve — Refer to Note 2 and Note 16 to the financial statements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Critical Audit Matter Description</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The Company is self-insured for general and professional liability, workers’ compensation, automobile, and its employee health plans while maintaining stop-loss coverage with third-party insurers to limit its total liability exposure. The self-insurance reserves are undiscounted. Self-insurance reserves consist of the projected settlement value of reported and unreported claims. The projected settlement values are estimated based on the Company’s historical claim experience, supplemented with industry experience, as necessary and are established using actuarial methods followed in the insurance industry.</w:t>
      </w:r>
    </w:p>
    <w:p>
      <w:pPr>
        <w:spacing w:after="0" w:line="1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We identified the evaluation of the Company’s self-insurance reserves for general and professional liability and workers’ compensation as a critical audit matter because estimating projected settlement value of reported and unreported claims involves significant estimation by management. This required a high degree of auditor judgment and an increased extent of effort, including the need to involve our actuarial specialists, when performing audit procedures to evaluate whether self-insurance reserves were appropriately recorded as of December 31, 2025.</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How the Critical Audit Matter Was Addressed in the Audit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audit procedures related to the self-insurance reserves for general and professional liability and workers’ compensation included the following among others:</w:t>
      </w:r>
    </w:p>
    <w:p>
      <w:pPr>
        <w:spacing w:after="0" w:line="243" w:lineRule="exact"/>
        <w:rPr>
          <w:sz w:val="20"/>
          <w:szCs w:val="20"/>
          <w:color w:val="auto"/>
        </w:rPr>
      </w:pPr>
    </w:p>
    <w:p>
      <w:pPr>
        <w:ind w:left="620" w:hanging="617"/>
        <w:spacing w:after="0" w:line="287"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tested the effectiveness of controls related to self-insurance reserves for general and professional liability and workers’ compensation, including management’s controls over the review of the historical claim data and the projection of the settlement value of the reported and unreported claims.</w:t>
      </w:r>
    </w:p>
    <w:p>
      <w:pPr>
        <w:spacing w:after="0" w:line="177" w:lineRule="exact"/>
        <w:rPr>
          <w:rFonts w:ascii="Times New Roman" w:cs="Times New Roman" w:eastAsia="Times New Roman" w:hAnsi="Times New Roman"/>
          <w:sz w:val="17"/>
          <w:szCs w:val="17"/>
          <w:color w:val="auto"/>
        </w:rPr>
      </w:pPr>
    </w:p>
    <w:p>
      <w:pPr>
        <w:ind w:left="620" w:hanging="617"/>
        <w:spacing w:after="0" w:line="287"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evaluated the methods and assumptions used by management to estimate the self-insurance reserves for general and professional liability and workers’ compensation by:</w:t>
      </w:r>
    </w:p>
    <w:p>
      <w:pPr>
        <w:spacing w:after="0" w:line="177"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Reading the Company’s insurance policies and compared the coverage and terms to the assumptions used by management.</w:t>
      </w:r>
    </w:p>
    <w:p>
      <w:pPr>
        <w:spacing w:after="0" w:line="242" w:lineRule="exact"/>
        <w:rPr>
          <w:rFonts w:ascii="Times New Roman" w:cs="Times New Roman" w:eastAsia="Times New Roman" w:hAnsi="Times New Roman"/>
          <w:sz w:val="17"/>
          <w:szCs w:val="17"/>
          <w:color w:val="auto"/>
        </w:rPr>
      </w:pPr>
    </w:p>
    <w:p>
      <w:pPr>
        <w:ind w:left="1240" w:hanging="618"/>
        <w:spacing w:after="0" w:line="287" w:lineRule="auto"/>
        <w:tabs>
          <w:tab w:leader="none" w:pos="1236"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Testing the underlying data that served as the basis for the actuarial analysis, including historical claims, to test that the inputs to the actuarial estimate were accurate and complete.</w:t>
      </w:r>
    </w:p>
    <w:p>
      <w:pPr>
        <w:spacing w:after="0" w:line="177" w:lineRule="exact"/>
        <w:rPr>
          <w:rFonts w:ascii="Times New Roman" w:cs="Times New Roman" w:eastAsia="Times New Roman" w:hAnsi="Times New Roman"/>
          <w:sz w:val="17"/>
          <w:szCs w:val="17"/>
          <w:color w:val="auto"/>
        </w:rPr>
      </w:pPr>
    </w:p>
    <w:p>
      <w:pPr>
        <w:ind w:left="1240" w:hanging="618"/>
        <w:spacing w:after="0" w:line="287" w:lineRule="auto"/>
        <w:tabs>
          <w:tab w:leader="none" w:pos="1236"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Comparing management's change in ultimate loss to the differential between expected development and actuals incurred during the current year to identify potential bias in the determination of the insurance reserves.</w:t>
      </w:r>
    </w:p>
    <w:p>
      <w:pPr>
        <w:spacing w:after="0" w:line="177" w:lineRule="exact"/>
        <w:rPr>
          <w:rFonts w:ascii="Times New Roman" w:cs="Times New Roman" w:eastAsia="Times New Roman" w:hAnsi="Times New Roman"/>
          <w:sz w:val="17"/>
          <w:szCs w:val="17"/>
          <w:color w:val="auto"/>
        </w:rPr>
      </w:pPr>
    </w:p>
    <w:p>
      <w:pPr>
        <w:ind w:left="620" w:hanging="617"/>
        <w:spacing w:after="0" w:line="287" w:lineRule="auto"/>
        <w:tabs>
          <w:tab w:leader="none" w:pos="61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the assistance of our actuarial specialists, we developed independent estimates of self-insurance reserves for general and professional liability and workers’ compensation and compared our estimates to management’s estimates.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DELOITTE &amp; TOUCHE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Boise, ID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2026</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have served as the Company's auditor since 2019.</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95"/>
        </w:trPr>
        <w:tc>
          <w:tcPr>
            <w:tcW w:w="7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3"/>
        </w:trPr>
        <w:tc>
          <w:tcPr>
            <w:tcW w:w="1220" w:type="dxa"/>
            <w:vAlign w:val="bottom"/>
            <w:tcBorders>
              <w:top w:val="single" w:sz="8" w:color="0000FF"/>
            </w:tcBorders>
          </w:tcPr>
          <w:p>
            <w:pPr>
              <w:spacing w:after="0"/>
              <w:rPr>
                <w:sz w:val="24"/>
                <w:szCs w:val="24"/>
                <w:color w:val="auto"/>
              </w:rPr>
            </w:pPr>
          </w:p>
        </w:tc>
        <w:tc>
          <w:tcPr>
            <w:tcW w:w="5960" w:type="dxa"/>
            <w:vAlign w:val="bottom"/>
          </w:tcPr>
          <w:p>
            <w:pPr>
              <w:jc w:val="center"/>
              <w:ind w:left="2754"/>
              <w:spacing w:after="0"/>
              <w:rPr>
                <w:sz w:val="20"/>
                <w:szCs w:val="20"/>
                <w:color w:val="auto"/>
              </w:rPr>
            </w:pPr>
            <w:r>
              <w:rPr>
                <w:rFonts w:ascii="Times New Roman" w:cs="Times New Roman" w:eastAsia="Times New Roman" w:hAnsi="Times New Roman"/>
                <w:sz w:val="17"/>
                <w:szCs w:val="17"/>
                <w:b w:val="1"/>
                <w:bCs w:val="1"/>
                <w:color w:val="auto"/>
              </w:rPr>
              <w:t>THE PENNANT GROUP, INC.</w:t>
            </w: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5960" w:type="dxa"/>
            <w:vAlign w:val="bottom"/>
          </w:tcPr>
          <w:p>
            <w:pPr>
              <w:jc w:val="center"/>
              <w:ind w:left="2774"/>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220" w:type="dxa"/>
            <w:vAlign w:val="bottom"/>
          </w:tcPr>
          <w:p>
            <w:pPr>
              <w:spacing w:after="0"/>
              <w:rPr>
                <w:sz w:val="19"/>
                <w:szCs w:val="19"/>
                <w:color w:val="auto"/>
              </w:rPr>
            </w:pPr>
          </w:p>
        </w:tc>
        <w:tc>
          <w:tcPr>
            <w:tcW w:w="5960" w:type="dxa"/>
            <w:vAlign w:val="bottom"/>
          </w:tcPr>
          <w:p>
            <w:pPr>
              <w:jc w:val="center"/>
              <w:ind w:left="2754"/>
              <w:spacing w:after="0"/>
              <w:rPr>
                <w:sz w:val="20"/>
                <w:szCs w:val="20"/>
                <w:color w:val="auto"/>
              </w:rPr>
            </w:pPr>
            <w:r>
              <w:rPr>
                <w:rFonts w:ascii="Times New Roman" w:cs="Times New Roman" w:eastAsia="Times New Roman" w:hAnsi="Times New Roman"/>
                <w:sz w:val="17"/>
                <w:szCs w:val="17"/>
                <w:b w:val="1"/>
                <w:bCs w:val="1"/>
                <w:color w:val="auto"/>
              </w:rPr>
              <w:t>(In thousands, except par value)</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7"/>
        </w:trPr>
        <w:tc>
          <w:tcPr>
            <w:tcW w:w="7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0" w:type="dxa"/>
            <w:vAlign w:val="bottom"/>
          </w:tcPr>
          <w:p>
            <w:pPr>
              <w:spacing w:after="0"/>
              <w:rPr>
                <w:sz w:val="24"/>
                <w:szCs w:val="24"/>
                <w:color w:val="auto"/>
              </w:rPr>
            </w:pPr>
          </w:p>
        </w:tc>
        <w:tc>
          <w:tcPr>
            <w:tcW w:w="188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200" w:type="dxa"/>
            <w:vAlign w:val="bottom"/>
          </w:tcPr>
          <w:p>
            <w:pPr>
              <w:spacing w:after="0"/>
              <w:rPr>
                <w:sz w:val="24"/>
                <w:szCs w:val="24"/>
                <w:color w:val="auto"/>
              </w:rPr>
            </w:pPr>
          </w:p>
        </w:tc>
        <w:tc>
          <w:tcPr>
            <w:tcW w:w="178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0" w:type="dxa"/>
            <w:vAlign w:val="bottom"/>
          </w:tcPr>
          <w:p>
            <w:pPr>
              <w:spacing w:after="0"/>
              <w:rPr>
                <w:sz w:val="1"/>
                <w:szCs w:val="1"/>
                <w:color w:val="auto"/>
              </w:rPr>
            </w:pPr>
          </w:p>
        </w:tc>
      </w:tr>
      <w:tr>
        <w:trPr>
          <w:trHeight w:val="199"/>
        </w:trPr>
        <w:tc>
          <w:tcPr>
            <w:tcW w:w="7180" w:type="dxa"/>
            <w:vAlign w:val="bottom"/>
            <w:gridSpan w:val="2"/>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Cash</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17,024</w:t>
            </w:r>
          </w:p>
        </w:tc>
        <w:tc>
          <w:tcPr>
            <w:tcW w:w="100" w:type="dxa"/>
            <w:vAlign w:val="bottom"/>
          </w:tcPr>
          <w:p>
            <w:pPr>
              <w:spacing w:after="0"/>
              <w:rPr>
                <w:sz w:val="19"/>
                <w:szCs w:val="19"/>
                <w:color w:val="auto"/>
              </w:rPr>
            </w:pP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24,246</w:t>
            </w:r>
          </w:p>
        </w:tc>
        <w:tc>
          <w:tcPr>
            <w:tcW w:w="0" w:type="dxa"/>
            <w:vAlign w:val="bottom"/>
          </w:tcPr>
          <w:p>
            <w:pPr>
              <w:spacing w:after="0"/>
              <w:rPr>
                <w:sz w:val="1"/>
                <w:szCs w:val="1"/>
                <w:color w:val="auto"/>
              </w:rPr>
            </w:pPr>
          </w:p>
        </w:tc>
      </w:tr>
      <w:tr>
        <w:trPr>
          <w:trHeight w:val="168"/>
        </w:trPr>
        <w:tc>
          <w:tcPr>
            <w:tcW w:w="7180" w:type="dxa"/>
            <w:vAlign w:val="bottom"/>
            <w:gridSpan w:val="2"/>
            <w:shd w:val="clear" w:color="auto" w:fill="CCEEFF"/>
          </w:tcPr>
          <w:p>
            <w:pPr>
              <w:ind w:left="140"/>
              <w:spacing w:after="0" w:line="167" w:lineRule="exact"/>
              <w:rPr>
                <w:sz w:val="20"/>
                <w:szCs w:val="20"/>
                <w:color w:val="auto"/>
              </w:rPr>
            </w:pPr>
            <w:r>
              <w:rPr>
                <w:rFonts w:ascii="Times New Roman" w:cs="Times New Roman" w:eastAsia="Times New Roman" w:hAnsi="Times New Roman"/>
                <w:sz w:val="17"/>
                <w:szCs w:val="17"/>
                <w:color w:val="auto"/>
              </w:rPr>
              <w:t>Accounts receivable—less allowance for doubtful accounts of $681 and $232 at December 31, 2025</w:t>
            </w:r>
          </w:p>
        </w:tc>
        <w:tc>
          <w:tcPr>
            <w:tcW w:w="2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7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and 2024, respectively</w:t>
            </w:r>
          </w:p>
        </w:tc>
        <w:tc>
          <w:tcPr>
            <w:tcW w:w="20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123,109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81,302</w:t>
            </w:r>
          </w:p>
        </w:tc>
        <w:tc>
          <w:tcPr>
            <w:tcW w:w="0" w:type="dxa"/>
            <w:vAlign w:val="bottom"/>
          </w:tcPr>
          <w:p>
            <w:pPr>
              <w:spacing w:after="0"/>
              <w:rPr>
                <w:sz w:val="1"/>
                <w:szCs w:val="1"/>
                <w:color w:val="auto"/>
              </w:rPr>
            </w:pPr>
          </w:p>
        </w:tc>
      </w:tr>
      <w:tr>
        <w:trPr>
          <w:trHeight w:val="219"/>
        </w:trPr>
        <w:tc>
          <w:tcPr>
            <w:tcW w:w="7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27,273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17,308</w:t>
            </w:r>
          </w:p>
        </w:tc>
        <w:tc>
          <w:tcPr>
            <w:tcW w:w="0" w:type="dxa"/>
            <w:vAlign w:val="bottom"/>
          </w:tcPr>
          <w:p>
            <w:pPr>
              <w:spacing w:after="0"/>
              <w:rPr>
                <w:sz w:val="1"/>
                <w:szCs w:val="1"/>
                <w:color w:val="auto"/>
              </w:rPr>
            </w:pPr>
          </w:p>
        </w:tc>
      </w:tr>
      <w:tr>
        <w:trPr>
          <w:trHeight w:val="212"/>
        </w:trPr>
        <w:tc>
          <w:tcPr>
            <w:tcW w:w="7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current assets</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167,406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122,856</w:t>
            </w:r>
          </w:p>
        </w:tc>
        <w:tc>
          <w:tcPr>
            <w:tcW w:w="0" w:type="dxa"/>
            <w:vAlign w:val="bottom"/>
          </w:tcPr>
          <w:p>
            <w:pPr>
              <w:spacing w:after="0"/>
              <w:rPr>
                <w:sz w:val="1"/>
                <w:szCs w:val="1"/>
                <w:color w:val="auto"/>
              </w:rPr>
            </w:pPr>
          </w:p>
        </w:tc>
      </w:tr>
      <w:tr>
        <w:trPr>
          <w:trHeight w:val="21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43,296</w:t>
            </w: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275,947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270,586</w:t>
            </w:r>
          </w:p>
        </w:tc>
        <w:tc>
          <w:tcPr>
            <w:tcW w:w="0" w:type="dxa"/>
            <w:vAlign w:val="bottom"/>
          </w:tcPr>
          <w:p>
            <w:pPr>
              <w:spacing w:after="0"/>
              <w:rPr>
                <w:sz w:val="1"/>
                <w:szCs w:val="1"/>
                <w:color w:val="auto"/>
              </w:rPr>
            </w:pPr>
          </w:p>
        </w:tc>
      </w:tr>
      <w:tr>
        <w:trPr>
          <w:trHeight w:val="21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Deferred tax assets, net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and other assets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17,477</w:t>
            </w:r>
          </w:p>
        </w:tc>
        <w:tc>
          <w:tcPr>
            <w:tcW w:w="0" w:type="dxa"/>
            <w:vAlign w:val="bottom"/>
          </w:tcPr>
          <w:p>
            <w:pPr>
              <w:spacing w:after="0"/>
              <w:rPr>
                <w:sz w:val="1"/>
                <w:szCs w:val="1"/>
                <w:color w:val="auto"/>
              </w:rPr>
            </w:pPr>
          </w:p>
        </w:tc>
      </w:tr>
      <w:tr>
        <w:trPr>
          <w:trHeight w:val="21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237,246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129,124</w:t>
            </w: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indefinite-lived intangibles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199,442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96,182</w:t>
            </w:r>
          </w:p>
        </w:tc>
        <w:tc>
          <w:tcPr>
            <w:tcW w:w="0" w:type="dxa"/>
            <w:vAlign w:val="bottom"/>
          </w:tcPr>
          <w:p>
            <w:pPr>
              <w:spacing w:after="0"/>
              <w:rPr>
                <w:sz w:val="1"/>
                <w:szCs w:val="1"/>
                <w:color w:val="auto"/>
              </w:rPr>
            </w:pPr>
          </w:p>
        </w:tc>
      </w:tr>
      <w:tr>
        <w:trPr>
          <w:trHeight w:val="212"/>
        </w:trPr>
        <w:tc>
          <w:tcPr>
            <w:tcW w:w="7180" w:type="dxa"/>
            <w:vAlign w:val="bottom"/>
            <w:gridSpan w:val="2"/>
          </w:tcPr>
          <w:p>
            <w:pPr>
              <w:ind w:left="640"/>
              <w:spacing w:after="0"/>
              <w:rPr>
                <w:sz w:val="20"/>
                <w:szCs w:val="20"/>
                <w:color w:val="auto"/>
              </w:rPr>
            </w:pPr>
            <w:r>
              <w:rPr>
                <w:rFonts w:ascii="Times New Roman" w:cs="Times New Roman" w:eastAsia="Times New Roman" w:hAnsi="Times New Roman"/>
                <w:sz w:val="17"/>
                <w:szCs w:val="17"/>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968,179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679,521</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5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7180" w:type="dxa"/>
            <w:vAlign w:val="bottom"/>
            <w:gridSpan w:val="2"/>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b w:val="1"/>
                <w:bCs w:val="1"/>
                <w:color w:val="auto"/>
              </w:rPr>
              <w:t>Liabilities and equity</w:t>
            </w:r>
          </w:p>
        </w:tc>
        <w:tc>
          <w:tcPr>
            <w:tcW w:w="2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18,737</w:t>
            </w:r>
          </w:p>
        </w:tc>
        <w:tc>
          <w:tcPr>
            <w:tcW w:w="0" w:type="dxa"/>
            <w:vAlign w:val="bottom"/>
          </w:tcPr>
          <w:p>
            <w:pPr>
              <w:spacing w:after="0"/>
              <w:rPr>
                <w:sz w:val="1"/>
                <w:szCs w:val="1"/>
                <w:color w:val="auto"/>
              </w:rPr>
            </w:pPr>
          </w:p>
        </w:tc>
      </w:tr>
      <w:tr>
        <w:trPr>
          <w:trHeight w:val="219"/>
        </w:trPr>
        <w:tc>
          <w:tcPr>
            <w:tcW w:w="7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Accrued wages and related liabilities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43,106</w:t>
            </w: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Lease liabilities—current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19,671</w:t>
            </w:r>
          </w:p>
        </w:tc>
        <w:tc>
          <w:tcPr>
            <w:tcW w:w="0" w:type="dxa"/>
            <w:vAlign w:val="bottom"/>
          </w:tcPr>
          <w:p>
            <w:pPr>
              <w:spacing w:after="0"/>
              <w:rPr>
                <w:sz w:val="1"/>
                <w:szCs w:val="1"/>
                <w:color w:val="auto"/>
              </w:rPr>
            </w:pPr>
          </w:p>
        </w:tc>
      </w:tr>
      <w:tr>
        <w:trPr>
          <w:trHeight w:val="219"/>
        </w:trPr>
        <w:tc>
          <w:tcPr>
            <w:tcW w:w="7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Current maturities of long-term debt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20,186</w:t>
            </w:r>
          </w:p>
        </w:tc>
        <w:tc>
          <w:tcPr>
            <w:tcW w:w="0" w:type="dxa"/>
            <w:vAlign w:val="bottom"/>
          </w:tcPr>
          <w:p>
            <w:pPr>
              <w:spacing w:after="0"/>
              <w:rPr>
                <w:sz w:val="1"/>
                <w:szCs w:val="1"/>
                <w:color w:val="auto"/>
              </w:rPr>
            </w:pPr>
          </w:p>
        </w:tc>
      </w:tr>
      <w:tr>
        <w:trPr>
          <w:trHeight w:val="212"/>
        </w:trPr>
        <w:tc>
          <w:tcPr>
            <w:tcW w:w="7180" w:type="dxa"/>
            <w:vAlign w:val="bottom"/>
            <w:gridSpan w:val="2"/>
          </w:tcPr>
          <w:p>
            <w:pPr>
              <w:ind w:left="4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147,264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101,700</w:t>
            </w: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lease liabilities—less current portion</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254,311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253,420</w:t>
            </w:r>
          </w:p>
        </w:tc>
        <w:tc>
          <w:tcPr>
            <w:tcW w:w="0" w:type="dxa"/>
            <w:vAlign w:val="bottom"/>
          </w:tcPr>
          <w:p>
            <w:pPr>
              <w:spacing w:after="0"/>
              <w:rPr>
                <w:sz w:val="1"/>
                <w:szCs w:val="1"/>
                <w:color w:val="auto"/>
              </w:rPr>
            </w:pPr>
          </w:p>
        </w:tc>
      </w:tr>
      <w:tr>
        <w:trPr>
          <w:trHeight w:val="21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Deferred tax liabilities, net</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1,861</w:t>
            </w: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10,575</w:t>
            </w:r>
          </w:p>
        </w:tc>
        <w:tc>
          <w:tcPr>
            <w:tcW w:w="0" w:type="dxa"/>
            <w:vAlign w:val="bottom"/>
          </w:tcPr>
          <w:p>
            <w:pPr>
              <w:spacing w:after="0"/>
              <w:rPr>
                <w:sz w:val="1"/>
                <w:szCs w:val="1"/>
                <w:color w:val="auto"/>
              </w:rPr>
            </w:pPr>
          </w:p>
        </w:tc>
      </w:tr>
      <w:tr>
        <w:trPr>
          <w:trHeight w:val="219"/>
        </w:trPr>
        <w:tc>
          <w:tcPr>
            <w:tcW w:w="718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7"/>
                <w:szCs w:val="17"/>
                <w:color w:val="auto"/>
              </w:rPr>
              <w:t>Long-term debt, net</w:t>
            </w: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168,837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7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593,927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367,556</w:t>
            </w:r>
          </w:p>
        </w:tc>
        <w:tc>
          <w:tcPr>
            <w:tcW w:w="0" w:type="dxa"/>
            <w:vAlign w:val="bottom"/>
          </w:tcPr>
          <w:p>
            <w:pPr>
              <w:spacing w:after="0"/>
              <w:rPr>
                <w:sz w:val="1"/>
                <w:szCs w:val="1"/>
                <w:color w:val="auto"/>
              </w:rPr>
            </w:pPr>
          </w:p>
        </w:tc>
      </w:tr>
      <w:tr>
        <w:trPr>
          <w:trHeight w:val="199"/>
        </w:trPr>
        <w:tc>
          <w:tcPr>
            <w:tcW w:w="7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16)</w:t>
            </w: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7180" w:type="dxa"/>
            <w:vAlign w:val="bottom"/>
            <w:gridSpan w:val="2"/>
          </w:tcPr>
          <w:p>
            <w:pPr>
              <w:ind w:left="140"/>
              <w:spacing w:after="0" w:line="167" w:lineRule="exact"/>
              <w:rPr>
                <w:sz w:val="20"/>
                <w:szCs w:val="20"/>
                <w:color w:val="auto"/>
              </w:rPr>
            </w:pPr>
            <w:r>
              <w:rPr>
                <w:rFonts w:ascii="Times New Roman" w:cs="Times New Roman" w:eastAsia="Times New Roman" w:hAnsi="Times New Roman"/>
                <w:sz w:val="17"/>
                <w:szCs w:val="17"/>
                <w:color w:val="auto"/>
              </w:rPr>
              <w:t>Common stock, $0.001 par value; 100,000 shares authorized; 34,878 and 34,626 shares issued and</w:t>
            </w:r>
          </w:p>
        </w:tc>
        <w:tc>
          <w:tcPr>
            <w:tcW w:w="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180" w:type="dxa"/>
            <w:vAlign w:val="bottom"/>
            <w:gridSpan w:val="2"/>
          </w:tcPr>
          <w:p>
            <w:pPr>
              <w:ind w:left="140"/>
              <w:spacing w:after="0" w:line="177" w:lineRule="exact"/>
              <w:rPr>
                <w:sz w:val="20"/>
                <w:szCs w:val="20"/>
                <w:color w:val="auto"/>
              </w:rPr>
            </w:pPr>
            <w:r>
              <w:rPr>
                <w:rFonts w:ascii="Times New Roman" w:cs="Times New Roman" w:eastAsia="Times New Roman" w:hAnsi="Times New Roman"/>
                <w:sz w:val="17"/>
                <w:szCs w:val="17"/>
                <w:color w:val="auto"/>
              </w:rPr>
              <w:t>outstanding at December 31, 2025, respectively, and 34,670 and 34,373 shares issued and outstanding</w:t>
            </w: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at December 31, 2024, respectively</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245,833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236,091</w:t>
            </w:r>
          </w:p>
        </w:tc>
        <w:tc>
          <w:tcPr>
            <w:tcW w:w="0" w:type="dxa"/>
            <w:vAlign w:val="bottom"/>
          </w:tcPr>
          <w:p>
            <w:pPr>
              <w:spacing w:after="0"/>
              <w:rPr>
                <w:sz w:val="1"/>
                <w:szCs w:val="1"/>
                <w:color w:val="auto"/>
              </w:rPr>
            </w:pPr>
          </w:p>
        </w:tc>
      </w:tr>
      <w:tr>
        <w:trPr>
          <w:trHeight w:val="219"/>
        </w:trPr>
        <w:tc>
          <w:tcPr>
            <w:tcW w:w="71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Retained earnings</w:t>
            </w: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57,222</w:t>
            </w:r>
          </w:p>
        </w:tc>
        <w:tc>
          <w:tcPr>
            <w:tcW w:w="0" w:type="dxa"/>
            <w:vAlign w:val="bottom"/>
          </w:tcPr>
          <w:p>
            <w:pPr>
              <w:spacing w:after="0"/>
              <w:rPr>
                <w:sz w:val="1"/>
                <w:szCs w:val="1"/>
                <w:color w:val="auto"/>
              </w:rPr>
            </w:pPr>
          </w:p>
        </w:tc>
      </w:tr>
      <w:tr>
        <w:trPr>
          <w:trHeight w:val="219"/>
        </w:trPr>
        <w:tc>
          <w:tcPr>
            <w:tcW w:w="7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Treasury stock, at cost, 3 shares at December 31, 2025 and 2024</w:t>
            </w: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12"/>
        </w:trPr>
        <w:tc>
          <w:tcPr>
            <w:tcW w:w="718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7"/>
                <w:szCs w:val="17"/>
                <w:color w:val="auto"/>
              </w:rPr>
              <w:t>Total The Pennant Group, Inc. stockholders' equity</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332,603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293,283</w:t>
            </w:r>
          </w:p>
        </w:tc>
        <w:tc>
          <w:tcPr>
            <w:tcW w:w="0" w:type="dxa"/>
            <w:vAlign w:val="bottom"/>
          </w:tcPr>
          <w:p>
            <w:pPr>
              <w:spacing w:after="0"/>
              <w:rPr>
                <w:sz w:val="1"/>
                <w:szCs w:val="1"/>
                <w:color w:val="auto"/>
              </w:rPr>
            </w:pPr>
          </w:p>
        </w:tc>
      </w:tr>
      <w:tr>
        <w:trPr>
          <w:trHeight w:val="212"/>
        </w:trPr>
        <w:tc>
          <w:tcPr>
            <w:tcW w:w="7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Noncontrolling interest</w:t>
            </w: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41,649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18,682</w:t>
            </w:r>
          </w:p>
        </w:tc>
        <w:tc>
          <w:tcPr>
            <w:tcW w:w="0" w:type="dxa"/>
            <w:vAlign w:val="bottom"/>
          </w:tcPr>
          <w:p>
            <w:pPr>
              <w:spacing w:after="0"/>
              <w:rPr>
                <w:sz w:val="1"/>
                <w:szCs w:val="1"/>
                <w:color w:val="auto"/>
              </w:rPr>
            </w:pPr>
          </w:p>
        </w:tc>
      </w:tr>
      <w:tr>
        <w:trPr>
          <w:trHeight w:val="212"/>
        </w:trPr>
        <w:tc>
          <w:tcPr>
            <w:tcW w:w="71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Total equity</w:t>
            </w: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374,252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311,965</w:t>
            </w:r>
          </w:p>
        </w:tc>
        <w:tc>
          <w:tcPr>
            <w:tcW w:w="0" w:type="dxa"/>
            <w:vAlign w:val="bottom"/>
          </w:tcPr>
          <w:p>
            <w:pPr>
              <w:spacing w:after="0"/>
              <w:rPr>
                <w:sz w:val="1"/>
                <w:szCs w:val="1"/>
                <w:color w:val="auto"/>
              </w:rPr>
            </w:pPr>
          </w:p>
        </w:tc>
      </w:tr>
      <w:tr>
        <w:trPr>
          <w:trHeight w:val="237"/>
        </w:trPr>
        <w:tc>
          <w:tcPr>
            <w:tcW w:w="71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968,179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679,521</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5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95"/>
        </w:trPr>
        <w:tc>
          <w:tcPr>
            <w:tcW w:w="76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3"/>
        </w:trPr>
        <w:tc>
          <w:tcPr>
            <w:tcW w:w="1220" w:type="dxa"/>
            <w:vAlign w:val="bottom"/>
            <w:tcBorders>
              <w:top w:val="single" w:sz="8" w:color="0000FF"/>
            </w:tcBorders>
          </w:tcPr>
          <w:p>
            <w:pPr>
              <w:spacing w:after="0"/>
              <w:rPr>
                <w:sz w:val="24"/>
                <w:szCs w:val="24"/>
                <w:color w:val="auto"/>
              </w:rPr>
            </w:pPr>
          </w:p>
        </w:tc>
        <w:tc>
          <w:tcPr>
            <w:tcW w:w="6440" w:type="dxa"/>
            <w:vAlign w:val="bottom"/>
          </w:tcPr>
          <w:p>
            <w:pPr>
              <w:ind w:left="3540"/>
              <w:spacing w:after="0"/>
              <w:rPr>
                <w:sz w:val="20"/>
                <w:szCs w:val="20"/>
                <w:color w:val="auto"/>
              </w:rPr>
            </w:pPr>
            <w:r>
              <w:rPr>
                <w:rFonts w:ascii="Times New Roman" w:cs="Times New Roman" w:eastAsia="Times New Roman" w:hAnsi="Times New Roman"/>
                <w:sz w:val="17"/>
                <w:szCs w:val="17"/>
                <w:b w:val="1"/>
                <w:bCs w:val="1"/>
                <w:color w:val="auto"/>
              </w:rPr>
              <w:t>THE PENNANT GROUP, INC.</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6440" w:type="dxa"/>
            <w:vAlign w:val="bottom"/>
          </w:tcPr>
          <w:p>
            <w:pPr>
              <w:jc w:val="center"/>
              <w:ind w:left="2294"/>
              <w:spacing w:after="0"/>
              <w:rPr>
                <w:sz w:val="20"/>
                <w:szCs w:val="20"/>
                <w:color w:val="auto"/>
              </w:rPr>
            </w:pPr>
            <w:r>
              <w:rPr>
                <w:rFonts w:ascii="Times New Roman" w:cs="Times New Roman" w:eastAsia="Times New Roman" w:hAnsi="Times New Roman"/>
                <w:sz w:val="17"/>
                <w:szCs w:val="17"/>
                <w:b w:val="1"/>
                <w:bCs w:val="1"/>
                <w:color w:val="auto"/>
                <w:w w:val="99"/>
              </w:rPr>
              <w:t>CONSOLIDATED STATEMENTS OF INCOME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220" w:type="dxa"/>
            <w:vAlign w:val="bottom"/>
          </w:tcPr>
          <w:p>
            <w:pPr>
              <w:spacing w:after="0"/>
              <w:rPr>
                <w:sz w:val="19"/>
                <w:szCs w:val="19"/>
                <w:color w:val="auto"/>
              </w:rPr>
            </w:pPr>
          </w:p>
        </w:tc>
        <w:tc>
          <w:tcPr>
            <w:tcW w:w="6440" w:type="dxa"/>
            <w:vAlign w:val="bottom"/>
          </w:tcPr>
          <w:p>
            <w:pPr>
              <w:jc w:val="center"/>
              <w:ind w:left="2294"/>
              <w:spacing w:after="0"/>
              <w:rPr>
                <w:sz w:val="20"/>
                <w:szCs w:val="20"/>
                <w:color w:val="auto"/>
              </w:rPr>
            </w:pPr>
            <w:r>
              <w:rPr>
                <w:rFonts w:ascii="Times New Roman" w:cs="Times New Roman" w:eastAsia="Times New Roman" w:hAnsi="Times New Roman"/>
                <w:sz w:val="17"/>
                <w:szCs w:val="17"/>
                <w:b w:val="1"/>
                <w:bCs w:val="1"/>
                <w:color w:val="auto"/>
              </w:rPr>
              <w:t>(In thousands, except for per-share amounts)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7"/>
        </w:trPr>
        <w:tc>
          <w:tcPr>
            <w:tcW w:w="12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2023</w:t>
            </w:r>
          </w:p>
        </w:tc>
        <w:tc>
          <w:tcPr>
            <w:tcW w:w="0" w:type="dxa"/>
            <w:vAlign w:val="bottom"/>
          </w:tcPr>
          <w:p>
            <w:pPr>
              <w:spacing w:after="0"/>
              <w:rPr>
                <w:sz w:val="1"/>
                <w:szCs w:val="1"/>
                <w:color w:val="auto"/>
              </w:rPr>
            </w:pPr>
          </w:p>
        </w:tc>
      </w:tr>
      <w:tr>
        <w:trPr>
          <w:trHeight w:val="238"/>
        </w:trPr>
        <w:tc>
          <w:tcPr>
            <w:tcW w:w="12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947,705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695,240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544,891</w:t>
            </w:r>
          </w:p>
        </w:tc>
        <w:tc>
          <w:tcPr>
            <w:tcW w:w="0" w:type="dxa"/>
            <w:vAlign w:val="bottom"/>
          </w:tcPr>
          <w:p>
            <w:pPr>
              <w:spacing w:after="0"/>
              <w:rPr>
                <w:sz w:val="1"/>
                <w:szCs w:val="1"/>
                <w:color w:val="auto"/>
              </w:rPr>
            </w:pPr>
          </w:p>
        </w:tc>
      </w:tr>
      <w:tr>
        <w:trPr>
          <w:trHeight w:val="258"/>
        </w:trPr>
        <w:tc>
          <w:tcPr>
            <w:tcW w:w="7660" w:type="dxa"/>
            <w:vAlign w:val="bottom"/>
            <w:gridSpan w:val="2"/>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Expense: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Cost of services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768,503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558,449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438,096</w:t>
            </w: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Rent—cost of services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39,759</w:t>
            </w:r>
          </w:p>
        </w:tc>
        <w:tc>
          <w:tcPr>
            <w:tcW w:w="0" w:type="dxa"/>
            <w:vAlign w:val="bottom"/>
          </w:tcPr>
          <w:p>
            <w:pPr>
              <w:spacing w:after="0"/>
              <w:rPr>
                <w:sz w:val="1"/>
                <w:szCs w:val="1"/>
                <w:color w:val="auto"/>
              </w:rPr>
            </w:pPr>
          </w:p>
        </w:tc>
      </w:tr>
      <w:tr>
        <w:trPr>
          <w:trHeight w:val="219"/>
        </w:trPr>
        <w:tc>
          <w:tcPr>
            <w:tcW w:w="766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General and administrative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71,077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50,209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36,667</w:t>
            </w: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6,119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5,130</w:t>
            </w:r>
          </w:p>
        </w:tc>
        <w:tc>
          <w:tcPr>
            <w:tcW w:w="0" w:type="dxa"/>
            <w:vAlign w:val="bottom"/>
          </w:tcPr>
          <w:p>
            <w:pPr>
              <w:spacing w:after="0"/>
              <w:rPr>
                <w:sz w:val="1"/>
                <w:szCs w:val="1"/>
                <w:color w:val="auto"/>
              </w:rPr>
            </w:pPr>
          </w:p>
        </w:tc>
      </w:tr>
      <w:tr>
        <w:trPr>
          <w:trHeight w:val="219"/>
        </w:trPr>
        <w:tc>
          <w:tcPr>
            <w:tcW w:w="7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(Gain) loss on asset dispositions and impairment, net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0" w:type="dxa"/>
            <w:vAlign w:val="bottom"/>
          </w:tcPr>
          <w:p>
            <w:pPr>
              <w:spacing w:after="0"/>
              <w:rPr>
                <w:sz w:val="1"/>
                <w:szCs w:val="1"/>
                <w:color w:val="auto"/>
              </w:rPr>
            </w:pPr>
          </w:p>
        </w:tc>
      </w:tr>
      <w:tr>
        <w:trPr>
          <w:trHeight w:val="212"/>
        </w:trPr>
        <w:tc>
          <w:tcPr>
            <w:tcW w:w="7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895,819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657,124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519,722</w:t>
            </w:r>
          </w:p>
        </w:tc>
        <w:tc>
          <w:tcPr>
            <w:tcW w:w="0" w:type="dxa"/>
            <w:vAlign w:val="bottom"/>
          </w:tcPr>
          <w:p>
            <w:pPr>
              <w:spacing w:after="0"/>
              <w:rPr>
                <w:sz w:val="1"/>
                <w:szCs w:val="1"/>
                <w:color w:val="auto"/>
              </w:rPr>
            </w:pPr>
          </w:p>
        </w:tc>
      </w:tr>
      <w:tr>
        <w:trPr>
          <w:trHeight w:val="219"/>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25,169</w:t>
            </w: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Other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Interest expense, net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(5,924)</w:t>
            </w:r>
          </w:p>
        </w:tc>
        <w:tc>
          <w:tcPr>
            <w:tcW w:w="0" w:type="dxa"/>
            <w:vAlign w:val="bottom"/>
          </w:tcPr>
          <w:p>
            <w:pPr>
              <w:spacing w:after="0"/>
              <w:rPr>
                <w:sz w:val="1"/>
                <w:szCs w:val="1"/>
                <w:color w:val="auto"/>
              </w:rPr>
            </w:pPr>
          </w:p>
        </w:tc>
      </w:tr>
      <w:tr>
        <w:trPr>
          <w:trHeight w:val="212"/>
        </w:trPr>
        <w:tc>
          <w:tcPr>
            <w:tcW w:w="76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7"/>
                <w:szCs w:val="17"/>
                <w:color w:val="auto"/>
              </w:rPr>
              <w:t>Other expense, net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(6,256)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(6,749)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(5,585)</w:t>
            </w:r>
          </w:p>
        </w:tc>
        <w:tc>
          <w:tcPr>
            <w:tcW w:w="0" w:type="dxa"/>
            <w:vAlign w:val="bottom"/>
          </w:tcPr>
          <w:p>
            <w:pPr>
              <w:spacing w:after="0"/>
              <w:rPr>
                <w:sz w:val="1"/>
                <w:szCs w:val="1"/>
                <w:color w:val="auto"/>
              </w:rPr>
            </w:pPr>
          </w:p>
        </w:tc>
      </w:tr>
      <w:tr>
        <w:trPr>
          <w:trHeight w:val="212"/>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45,630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31,367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19,584</w:t>
            </w:r>
          </w:p>
        </w:tc>
        <w:tc>
          <w:tcPr>
            <w:tcW w:w="0" w:type="dxa"/>
            <w:vAlign w:val="bottom"/>
          </w:tcPr>
          <w:p>
            <w:pPr>
              <w:spacing w:after="0"/>
              <w:rPr>
                <w:sz w:val="1"/>
                <w:szCs w:val="1"/>
                <w:color w:val="auto"/>
              </w:rPr>
            </w:pPr>
          </w:p>
        </w:tc>
      </w:tr>
      <w:tr>
        <w:trPr>
          <w:trHeight w:val="219"/>
        </w:trPr>
        <w:tc>
          <w:tcPr>
            <w:tcW w:w="7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7,028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5,674</w:t>
            </w:r>
          </w:p>
        </w:tc>
        <w:tc>
          <w:tcPr>
            <w:tcW w:w="0" w:type="dxa"/>
            <w:vAlign w:val="bottom"/>
          </w:tcPr>
          <w:p>
            <w:pPr>
              <w:spacing w:after="0"/>
              <w:rPr>
                <w:sz w:val="1"/>
                <w:szCs w:val="1"/>
                <w:color w:val="auto"/>
              </w:rPr>
            </w:pPr>
          </w:p>
        </w:tc>
      </w:tr>
      <w:tr>
        <w:trPr>
          <w:trHeight w:val="212"/>
        </w:trPr>
        <w:tc>
          <w:tcPr>
            <w:tcW w:w="7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24,339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13,910</w:t>
            </w:r>
          </w:p>
        </w:tc>
        <w:tc>
          <w:tcPr>
            <w:tcW w:w="0" w:type="dxa"/>
            <w:vAlign w:val="bottom"/>
          </w:tcPr>
          <w:p>
            <w:pPr>
              <w:spacing w:after="0"/>
              <w:rPr>
                <w:sz w:val="1"/>
                <w:szCs w:val="1"/>
                <w:color w:val="auto"/>
              </w:rPr>
            </w:pPr>
          </w:p>
        </w:tc>
      </w:tr>
      <w:tr>
        <w:trPr>
          <w:trHeight w:val="219"/>
        </w:trPr>
        <w:tc>
          <w:tcPr>
            <w:tcW w:w="76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income and other comprehensive income attributable to The Pennant Group, Inc.</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29,578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22,559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13,379</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gridSpan w:val="2"/>
            <w:vMerge w:val="restart"/>
          </w:tcPr>
          <w:p>
            <w:pPr>
              <w:ind w:left="140"/>
              <w:spacing w:after="0"/>
              <w:rPr>
                <w:sz w:val="20"/>
                <w:szCs w:val="20"/>
                <w:color w:val="auto"/>
              </w:rPr>
            </w:pPr>
            <w:r>
              <w:rPr>
                <w:rFonts w:ascii="Times New Roman" w:cs="Times New Roman" w:eastAsia="Times New Roman" w:hAnsi="Times New Roman"/>
                <w:sz w:val="17"/>
                <w:szCs w:val="17"/>
                <w:color w:val="auto"/>
              </w:rPr>
              <w:t>Earnings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6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0.45</w:t>
            </w:r>
          </w:p>
        </w:tc>
        <w:tc>
          <w:tcPr>
            <w:tcW w:w="0" w:type="dxa"/>
            <w:vAlign w:val="bottom"/>
          </w:tcPr>
          <w:p>
            <w:pPr>
              <w:spacing w:after="0"/>
              <w:rPr>
                <w:sz w:val="1"/>
                <w:szCs w:val="1"/>
                <w:color w:val="auto"/>
              </w:rPr>
            </w:pPr>
          </w:p>
        </w:tc>
      </w:tr>
      <w:tr>
        <w:trPr>
          <w:trHeight w:val="219"/>
        </w:trPr>
        <w:tc>
          <w:tcPr>
            <w:tcW w:w="76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0.84</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12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0.44</w:t>
            </w: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6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Basic</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31,191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29,863</w:t>
            </w:r>
          </w:p>
        </w:tc>
        <w:tc>
          <w:tcPr>
            <w:tcW w:w="0" w:type="dxa"/>
            <w:vAlign w:val="bottom"/>
          </w:tcPr>
          <w:p>
            <w:pPr>
              <w:spacing w:after="0"/>
              <w:rPr>
                <w:sz w:val="1"/>
                <w:szCs w:val="1"/>
                <w:color w:val="auto"/>
              </w:rPr>
            </w:pPr>
          </w:p>
        </w:tc>
      </w:tr>
      <w:tr>
        <w:trPr>
          <w:trHeight w:val="219"/>
        </w:trPr>
        <w:tc>
          <w:tcPr>
            <w:tcW w:w="7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Diluted</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30,193</w:t>
            </w:r>
          </w:p>
        </w:tc>
        <w:tc>
          <w:tcPr>
            <w:tcW w:w="0" w:type="dxa"/>
            <w:vAlign w:val="bottom"/>
          </w:tcPr>
          <w:p>
            <w:pPr>
              <w:spacing w:after="0"/>
              <w:rPr>
                <w:sz w:val="1"/>
                <w:szCs w:val="1"/>
                <w:color w:val="auto"/>
              </w:rPr>
            </w:pPr>
          </w:p>
        </w:tc>
      </w:tr>
    </w:tbl>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3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660" w:type="dxa"/>
            <w:vAlign w:val="bottom"/>
          </w:tcPr>
          <w:p>
            <w:pPr>
              <w:spacing w:after="0"/>
              <w:rPr>
                <w:sz w:val="15"/>
                <w:szCs w:val="15"/>
                <w:color w:val="auto"/>
              </w:rPr>
            </w:pPr>
          </w:p>
        </w:tc>
        <w:tc>
          <w:tcPr>
            <w:tcW w:w="1520" w:type="dxa"/>
            <w:vAlign w:val="bottom"/>
            <w:gridSpan w:val="4"/>
            <w:vMerge w:val="restart"/>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4"/>
            <w:vMerge w:val="restart"/>
          </w:tcPr>
          <w:p>
            <w:pPr>
              <w:ind w:left="260"/>
              <w:spacing w:after="0"/>
              <w:rPr>
                <w:sz w:val="20"/>
                <w:szCs w:val="20"/>
                <w:color w:val="auto"/>
              </w:rPr>
            </w:pPr>
            <w:r>
              <w:rPr>
                <w:rFonts w:ascii="Times New Roman" w:cs="Times New Roman" w:eastAsia="Times New Roman" w:hAnsi="Times New Roman"/>
                <w:sz w:val="15"/>
                <w:szCs w:val="15"/>
                <w:b w:val="1"/>
                <w:bCs w:val="1"/>
                <w:color w:val="auto"/>
              </w:rPr>
              <w:t>Treasury Stock</w:t>
            </w:r>
          </w:p>
        </w:tc>
        <w:tc>
          <w:tcPr>
            <w:tcW w:w="8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Non-</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3660" w:type="dxa"/>
            <w:vAlign w:val="bottom"/>
          </w:tcPr>
          <w:p>
            <w:pPr>
              <w:spacing w:after="0"/>
              <w:rPr>
                <w:sz w:val="9"/>
                <w:szCs w:val="9"/>
                <w:color w:val="auto"/>
              </w:rPr>
            </w:pPr>
          </w:p>
        </w:tc>
        <w:tc>
          <w:tcPr>
            <w:tcW w:w="152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restart"/>
          </w:tcPr>
          <w:p>
            <w:pPr>
              <w:jc w:val="center"/>
              <w:ind w:right="220"/>
              <w:spacing w:after="0" w:line="155" w:lineRule="exact"/>
              <w:rPr>
                <w:sz w:val="20"/>
                <w:szCs w:val="20"/>
                <w:color w:val="auto"/>
              </w:rPr>
            </w:pPr>
            <w:r>
              <w:rPr>
                <w:rFonts w:ascii="Times New Roman" w:cs="Times New Roman" w:eastAsia="Times New Roman" w:hAnsi="Times New Roman"/>
                <w:sz w:val="15"/>
                <w:szCs w:val="15"/>
                <w:b w:val="1"/>
                <w:bCs w:val="1"/>
                <w:color w:val="auto"/>
              </w:rPr>
              <w:t>Paid-In</w:t>
            </w:r>
          </w:p>
        </w:tc>
        <w:tc>
          <w:tcPr>
            <w:tcW w:w="200" w:type="dxa"/>
            <w:vAlign w:val="bottom"/>
          </w:tcPr>
          <w:p>
            <w:pPr>
              <w:spacing w:after="0"/>
              <w:rPr>
                <w:sz w:val="9"/>
                <w:szCs w:val="9"/>
                <w:color w:val="auto"/>
              </w:rPr>
            </w:pPr>
          </w:p>
        </w:tc>
        <w:tc>
          <w:tcPr>
            <w:tcW w:w="1120" w:type="dxa"/>
            <w:vAlign w:val="bottom"/>
            <w:gridSpan w:val="2"/>
            <w:vMerge w:val="restart"/>
          </w:tcPr>
          <w:p>
            <w:pPr>
              <w:ind w:left="120"/>
              <w:spacing w:after="0" w:line="155" w:lineRule="exact"/>
              <w:rPr>
                <w:sz w:val="20"/>
                <w:szCs w:val="20"/>
                <w:color w:val="auto"/>
              </w:rPr>
            </w:pPr>
            <w:r>
              <w:rPr>
                <w:rFonts w:ascii="Times New Roman" w:cs="Times New Roman" w:eastAsia="Times New Roman" w:hAnsi="Times New Roman"/>
                <w:sz w:val="15"/>
                <w:szCs w:val="15"/>
                <w:b w:val="1"/>
                <w:bCs w:val="1"/>
                <w:color w:val="auto"/>
              </w:rPr>
              <w:t>Retained</w:t>
            </w:r>
          </w:p>
        </w:tc>
        <w:tc>
          <w:tcPr>
            <w:tcW w:w="152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vMerge w:val="restart"/>
          </w:tcPr>
          <w:p>
            <w:pPr>
              <w:jc w:val="center"/>
              <w:ind w:right="220"/>
              <w:spacing w:after="0" w:line="155" w:lineRule="exact"/>
              <w:rPr>
                <w:sz w:val="20"/>
                <w:szCs w:val="20"/>
                <w:color w:val="auto"/>
              </w:rPr>
            </w:pPr>
            <w:r>
              <w:rPr>
                <w:rFonts w:ascii="Times New Roman" w:cs="Times New Roman" w:eastAsia="Times New Roman" w:hAnsi="Times New Roman"/>
                <w:sz w:val="15"/>
                <w:szCs w:val="15"/>
                <w:b w:val="1"/>
                <w:bCs w:val="1"/>
                <w:color w:val="auto"/>
              </w:rPr>
              <w:t>controlling</w:t>
            </w:r>
          </w:p>
        </w:tc>
        <w:tc>
          <w:tcPr>
            <w:tcW w:w="140" w:type="dxa"/>
            <w:vAlign w:val="bottom"/>
          </w:tcPr>
          <w:p>
            <w:pPr>
              <w:spacing w:after="0"/>
              <w:rPr>
                <w:sz w:val="9"/>
                <w:szCs w:val="9"/>
                <w:color w:val="auto"/>
              </w:rPr>
            </w:pPr>
          </w:p>
        </w:tc>
        <w:tc>
          <w:tcPr>
            <w:tcW w:w="660" w:type="dxa"/>
            <w:vAlign w:val="bottom"/>
            <w:vMerge w:val="restart"/>
          </w:tcPr>
          <w:p>
            <w:pPr>
              <w:jc w:val="right"/>
              <w:ind w:right="143"/>
              <w:spacing w:after="0" w:line="155" w:lineRule="exact"/>
              <w:rPr>
                <w:sz w:val="20"/>
                <w:szCs w:val="20"/>
                <w:color w:val="auto"/>
              </w:rPr>
            </w:pPr>
            <w:r>
              <w:rPr>
                <w:rFonts w:ascii="Times New Roman" w:cs="Times New Roman" w:eastAsia="Times New Roman" w:hAnsi="Times New Roman"/>
                <w:sz w:val="15"/>
                <w:szCs w:val="15"/>
                <w:b w:val="1"/>
                <w:bCs w:val="1"/>
                <w:color w:val="auto"/>
              </w:rPr>
              <w:t>Total</w:t>
            </w:r>
          </w:p>
        </w:tc>
        <w:tc>
          <w:tcPr>
            <w:tcW w:w="0" w:type="dxa"/>
            <w:vAlign w:val="bottom"/>
          </w:tcPr>
          <w:p>
            <w:pPr>
              <w:spacing w:after="0"/>
              <w:rPr>
                <w:sz w:val="1"/>
                <w:szCs w:val="1"/>
                <w:color w:val="auto"/>
              </w:rPr>
            </w:pPr>
          </w:p>
        </w:tc>
      </w:tr>
      <w:tr>
        <w:trPr>
          <w:trHeight w:val="21"/>
        </w:trPr>
        <w:tc>
          <w:tcPr>
            <w:tcW w:w="3660" w:type="dxa"/>
            <w:vAlign w:val="bottom"/>
          </w:tcPr>
          <w:p>
            <w:pPr>
              <w:spacing w:after="0" w:line="20" w:lineRule="exact"/>
              <w:rPr>
                <w:sz w:val="1"/>
                <w:szCs w:val="1"/>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line="20" w:lineRule="exact"/>
              <w:rPr>
                <w:sz w:val="1"/>
                <w:szCs w:val="1"/>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20" w:type="dxa"/>
            <w:vAlign w:val="bottom"/>
          </w:tcPr>
          <w:p>
            <w:pPr>
              <w:spacing w:after="0" w:line="20" w:lineRule="exact"/>
              <w:rPr>
                <w:sz w:val="1"/>
                <w:szCs w:val="1"/>
                <w:color w:val="auto"/>
              </w:rPr>
            </w:pPr>
          </w:p>
        </w:tc>
        <w:tc>
          <w:tcPr>
            <w:tcW w:w="96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line="20" w:lineRule="exact"/>
              <w:rPr>
                <w:sz w:val="1"/>
                <w:szCs w:val="1"/>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4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66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200" w:type="dxa"/>
            <w:vAlign w:val="bottom"/>
          </w:tcPr>
          <w:p>
            <w:pPr>
              <w:spacing w:after="0"/>
              <w:rPr>
                <w:sz w:val="17"/>
                <w:szCs w:val="17"/>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7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140" w:type="dxa"/>
            <w:vAlign w:val="bottom"/>
          </w:tcPr>
          <w:p>
            <w:pPr>
              <w:spacing w:after="0"/>
              <w:rPr>
                <w:sz w:val="17"/>
                <w:szCs w:val="17"/>
                <w:color w:val="auto"/>
              </w:rPr>
            </w:pPr>
          </w:p>
        </w:tc>
        <w:tc>
          <w:tcPr>
            <w:tcW w:w="660" w:type="dxa"/>
            <w:vAlign w:val="bottom"/>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239"/>
        </w:trPr>
        <w:tc>
          <w:tcPr>
            <w:tcW w:w="366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2022</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30,149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99,764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21,284</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center"/>
              <w:ind w:left="263"/>
              <w:spacing w:after="0"/>
              <w:rPr>
                <w:sz w:val="20"/>
                <w:szCs w:val="20"/>
                <w:color w:val="auto"/>
              </w:rPr>
            </w:pPr>
            <w:r>
              <w:rPr>
                <w:rFonts w:ascii="Times New Roman" w:cs="Times New Roman" w:eastAsia="Times New Roman" w:hAnsi="Times New Roman"/>
                <w:sz w:val="15"/>
                <w:szCs w:val="15"/>
                <w:color w:val="auto"/>
                <w:w w:val="95"/>
              </w:rPr>
              <w:t>(65)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125,657</w:t>
            </w: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income attributable to The Pennant Group, Inc.</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13,379</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center"/>
              <w:ind w:left="2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13,379</w:t>
            </w:r>
          </w:p>
        </w:tc>
        <w:tc>
          <w:tcPr>
            <w:tcW w:w="0" w:type="dxa"/>
            <w:vAlign w:val="bottom"/>
          </w:tcPr>
          <w:p>
            <w:pPr>
              <w:spacing w:after="0"/>
              <w:rPr>
                <w:sz w:val="1"/>
                <w:szCs w:val="1"/>
                <w:color w:val="auto"/>
              </w:rPr>
            </w:pPr>
          </w:p>
        </w:tc>
      </w:tr>
      <w:tr>
        <w:trPr>
          <w:trHeight w:val="20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attributable to noncontrolling interests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2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531</w:t>
            </w: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Share-based compensation</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5,369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center"/>
              <w:ind w:left="2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5,369</w:t>
            </w:r>
          </w:p>
        </w:tc>
        <w:tc>
          <w:tcPr>
            <w:tcW w:w="0" w:type="dxa"/>
            <w:vAlign w:val="bottom"/>
          </w:tcPr>
          <w:p>
            <w:pPr>
              <w:spacing w:after="0"/>
              <w:rPr>
                <w:sz w:val="1"/>
                <w:szCs w:val="1"/>
                <w:color w:val="auto"/>
              </w:rPr>
            </w:pPr>
          </w:p>
        </w:tc>
      </w:tr>
      <w:tr>
        <w:trPr>
          <w:trHeight w:val="158"/>
        </w:trPr>
        <w:tc>
          <w:tcPr>
            <w:tcW w:w="36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Net issuance of common stock due to share based</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579</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center"/>
              <w:ind w:left="2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579</w:t>
            </w: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compensation</w:t>
            </w: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issuance of restricted stock</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center"/>
              <w:ind w:left="2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27"/>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2023</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30,297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105,712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center"/>
              <w:ind w:left="263"/>
              <w:spacing w:after="0"/>
              <w:rPr>
                <w:sz w:val="20"/>
                <w:szCs w:val="20"/>
                <w:color w:val="auto"/>
              </w:rPr>
            </w:pPr>
            <w:r>
              <w:rPr>
                <w:rFonts w:ascii="Times New Roman" w:cs="Times New Roman" w:eastAsia="Times New Roman" w:hAnsi="Times New Roman"/>
                <w:sz w:val="15"/>
                <w:szCs w:val="15"/>
                <w:color w:val="auto"/>
                <w:w w:val="95"/>
              </w:rPr>
              <w:t>(65)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145,515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color w:val="auto"/>
              </w:rPr>
              <w:t>Net income attributable to The Pennant Group, Inc.</w:t>
            </w: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660" w:type="dxa"/>
            <w:vAlign w:val="bottom"/>
            <w:vMerge w:val="continue"/>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22,559</w:t>
            </w:r>
          </w:p>
        </w:tc>
        <w:tc>
          <w:tcPr>
            <w:tcW w:w="10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740" w:type="dxa"/>
            <w:vAlign w:val="bottom"/>
            <w:gridSpan w:val="2"/>
          </w:tcPr>
          <w:p>
            <w:pPr>
              <w:jc w:val="center"/>
              <w:ind w:left="2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22,559</w:t>
            </w:r>
          </w:p>
        </w:tc>
        <w:tc>
          <w:tcPr>
            <w:tcW w:w="0" w:type="dxa"/>
            <w:vAlign w:val="bottom"/>
          </w:tcPr>
          <w:p>
            <w:pPr>
              <w:spacing w:after="0"/>
              <w:rPr>
                <w:sz w:val="1"/>
                <w:szCs w:val="1"/>
                <w:color w:val="auto"/>
              </w:rPr>
            </w:pPr>
          </w:p>
        </w:tc>
      </w:tr>
      <w:tr>
        <w:trPr>
          <w:trHeight w:val="20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Noncontrolling interests assumed related to acquisitions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2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11,726</w:t>
            </w: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Equity adjustments related to acquisitions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center"/>
              <w:ind w:left="2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3,602</w:t>
            </w:r>
          </w:p>
        </w:tc>
        <w:tc>
          <w:tcPr>
            <w:tcW w:w="0" w:type="dxa"/>
            <w:vAlign w:val="bottom"/>
          </w:tcPr>
          <w:p>
            <w:pPr>
              <w:spacing w:after="0"/>
              <w:rPr>
                <w:sz w:val="1"/>
                <w:szCs w:val="1"/>
                <w:color w:val="auto"/>
              </w:rPr>
            </w:pPr>
          </w:p>
        </w:tc>
      </w:tr>
      <w:tr>
        <w:trPr>
          <w:trHeight w:val="20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attributable to noncontrolling interests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2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1,780</w:t>
            </w: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Share-based compensation</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7,781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center"/>
              <w:ind w:left="2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7,781</w:t>
            </w:r>
          </w:p>
        </w:tc>
        <w:tc>
          <w:tcPr>
            <w:tcW w:w="0" w:type="dxa"/>
            <w:vAlign w:val="bottom"/>
          </w:tcPr>
          <w:p>
            <w:pPr>
              <w:spacing w:after="0"/>
              <w:rPr>
                <w:sz w:val="1"/>
                <w:szCs w:val="1"/>
                <w:color w:val="auto"/>
              </w:rPr>
            </w:pPr>
          </w:p>
        </w:tc>
      </w:tr>
      <w:tr>
        <w:trPr>
          <w:trHeight w:val="158"/>
        </w:trPr>
        <w:tc>
          <w:tcPr>
            <w:tcW w:w="36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Net issuance of common stock due to share based</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851</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center"/>
              <w:ind w:left="2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853</w:t>
            </w: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compensation</w:t>
            </w: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issuance of restricted stock</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center"/>
              <w:ind w:left="2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06"/>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Issuance of equity through secondary offering</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118,145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center"/>
              <w:ind w:left="2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118,149</w:t>
            </w:r>
          </w:p>
        </w:tc>
        <w:tc>
          <w:tcPr>
            <w:tcW w:w="0" w:type="dxa"/>
            <w:vAlign w:val="bottom"/>
          </w:tcPr>
          <w:p>
            <w:pPr>
              <w:spacing w:after="0"/>
              <w:rPr>
                <w:sz w:val="1"/>
                <w:szCs w:val="1"/>
                <w:color w:val="auto"/>
              </w:rPr>
            </w:pPr>
          </w:p>
        </w:tc>
      </w:tr>
      <w:tr>
        <w:trPr>
          <w:trHeight w:val="202"/>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2024</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34,670</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236,091</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57,222</w:t>
            </w:r>
          </w:p>
        </w:tc>
        <w:tc>
          <w:tcPr>
            <w:tcW w:w="10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center"/>
              <w:ind w:left="263"/>
              <w:spacing w:after="0"/>
              <w:rPr>
                <w:sz w:val="20"/>
                <w:szCs w:val="20"/>
                <w:color w:val="auto"/>
              </w:rPr>
            </w:pPr>
            <w:r>
              <w:rPr>
                <w:rFonts w:ascii="Times New Roman" w:cs="Times New Roman" w:eastAsia="Times New Roman" w:hAnsi="Times New Roman"/>
                <w:sz w:val="15"/>
                <w:szCs w:val="15"/>
                <w:color w:val="auto"/>
                <w:w w:val="95"/>
              </w:rPr>
              <w:t>(65)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18,682</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311,965</w:t>
            </w:r>
          </w:p>
        </w:tc>
        <w:tc>
          <w:tcPr>
            <w:tcW w:w="0" w:type="dxa"/>
            <w:vAlign w:val="bottom"/>
          </w:tcPr>
          <w:p>
            <w:pPr>
              <w:spacing w:after="0"/>
              <w:rPr>
                <w:sz w:val="1"/>
                <w:szCs w:val="1"/>
                <w:color w:val="auto"/>
              </w:rPr>
            </w:pP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attributable to The Pennant Group, Inc.</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29,578</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center"/>
              <w:ind w:left="2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29,578</w:t>
            </w: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Noncontrolling interests assumed related to acquisitions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center"/>
              <w:ind w:left="2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18,781</w:t>
            </w:r>
          </w:p>
        </w:tc>
        <w:tc>
          <w:tcPr>
            <w:tcW w:w="0" w:type="dxa"/>
            <w:vAlign w:val="bottom"/>
          </w:tcPr>
          <w:p>
            <w:pPr>
              <w:spacing w:after="0"/>
              <w:rPr>
                <w:sz w:val="1"/>
                <w:szCs w:val="1"/>
                <w:color w:val="auto"/>
              </w:rPr>
            </w:pPr>
          </w:p>
        </w:tc>
      </w:tr>
      <w:tr>
        <w:trPr>
          <w:trHeight w:val="20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income attributable to noncontrolling interests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left="2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4,186</w:t>
            </w: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Share-based compensation</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8,940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center"/>
              <w:ind w:left="2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8,940</w:t>
            </w:r>
          </w:p>
        </w:tc>
        <w:tc>
          <w:tcPr>
            <w:tcW w:w="0" w:type="dxa"/>
            <w:vAlign w:val="bottom"/>
          </w:tcPr>
          <w:p>
            <w:pPr>
              <w:spacing w:after="0"/>
              <w:rPr>
                <w:sz w:val="1"/>
                <w:szCs w:val="1"/>
                <w:color w:val="auto"/>
              </w:rPr>
            </w:pPr>
          </w:p>
        </w:tc>
      </w:tr>
      <w:tr>
        <w:trPr>
          <w:trHeight w:val="158"/>
        </w:trPr>
        <w:tc>
          <w:tcPr>
            <w:tcW w:w="366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5"/>
                <w:szCs w:val="15"/>
                <w:color w:val="auto"/>
              </w:rPr>
              <w:t>Net issuance of common stock due to share based</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552</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3"/>
                <w:szCs w:val="13"/>
                <w:color w:val="auto"/>
              </w:rPr>
            </w:pPr>
          </w:p>
        </w:tc>
        <w:tc>
          <w:tcPr>
            <w:tcW w:w="740" w:type="dxa"/>
            <w:vAlign w:val="bottom"/>
            <w:gridSpan w:val="2"/>
            <w:vMerge w:val="restart"/>
            <w:shd w:val="clear" w:color="auto" w:fill="CCEEFF"/>
          </w:tcPr>
          <w:p>
            <w:pPr>
              <w:jc w:val="center"/>
              <w:ind w:left="2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552</w:t>
            </w:r>
          </w:p>
        </w:tc>
        <w:tc>
          <w:tcPr>
            <w:tcW w:w="0" w:type="dxa"/>
            <w:vAlign w:val="bottom"/>
          </w:tcPr>
          <w:p>
            <w:pPr>
              <w:spacing w:after="0"/>
              <w:rPr>
                <w:sz w:val="1"/>
                <w:szCs w:val="1"/>
                <w:color w:val="auto"/>
              </w:rPr>
            </w:pPr>
          </w:p>
        </w:tc>
      </w:tr>
      <w:tr>
        <w:trPr>
          <w:trHeight w:val="205"/>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compensation</w:t>
            </w:r>
          </w:p>
        </w:tc>
        <w:tc>
          <w:tcPr>
            <w:tcW w:w="6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issuance of restricted stock</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740" w:type="dxa"/>
            <w:vAlign w:val="bottom"/>
            <w:gridSpan w:val="2"/>
          </w:tcPr>
          <w:p>
            <w:pPr>
              <w:jc w:val="center"/>
              <w:ind w:left="223"/>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w:t>
            </w:r>
          </w:p>
        </w:tc>
        <w:tc>
          <w:tcPr>
            <w:tcW w:w="0" w:type="dxa"/>
            <w:vAlign w:val="bottom"/>
          </w:tcPr>
          <w:p>
            <w:pPr>
              <w:spacing w:after="0"/>
              <w:rPr>
                <w:sz w:val="1"/>
                <w:szCs w:val="1"/>
                <w:color w:val="auto"/>
              </w:rPr>
            </w:pPr>
          </w:p>
        </w:tc>
      </w:tr>
      <w:tr>
        <w:trPr>
          <w:trHeight w:val="227"/>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Balance at December 31, 2025</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34,878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245,833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86,800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shd w:val="clear" w:color="auto" w:fill="CCEEFF"/>
          </w:tcPr>
          <w:p>
            <w:pPr>
              <w:jc w:val="center"/>
              <w:ind w:left="263"/>
              <w:spacing w:after="0"/>
              <w:rPr>
                <w:sz w:val="20"/>
                <w:szCs w:val="20"/>
                <w:color w:val="auto"/>
              </w:rPr>
            </w:pPr>
            <w:r>
              <w:rPr>
                <w:rFonts w:ascii="Times New Roman" w:cs="Times New Roman" w:eastAsia="Times New Roman" w:hAnsi="Times New Roman"/>
                <w:sz w:val="15"/>
                <w:szCs w:val="15"/>
                <w:color w:val="auto"/>
                <w:w w:val="95"/>
              </w:rPr>
              <w:t>(65)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41,649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374,252</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95"/>
        </w:trPr>
        <w:tc>
          <w:tcPr>
            <w:tcW w:w="6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733"/>
        </w:trPr>
        <w:tc>
          <w:tcPr>
            <w:tcW w:w="1220" w:type="dxa"/>
            <w:vAlign w:val="bottom"/>
            <w:tcBorders>
              <w:top w:val="single" w:sz="8" w:color="0000FF"/>
            </w:tcBorders>
          </w:tcPr>
          <w:p>
            <w:pPr>
              <w:spacing w:after="0"/>
              <w:rPr>
                <w:sz w:val="24"/>
                <w:szCs w:val="24"/>
                <w:color w:val="auto"/>
              </w:rPr>
            </w:pPr>
          </w:p>
        </w:tc>
        <w:tc>
          <w:tcPr>
            <w:tcW w:w="5800" w:type="dxa"/>
            <w:vAlign w:val="bottom"/>
            <w:gridSpan w:val="2"/>
          </w:tcPr>
          <w:p>
            <w:pPr>
              <w:jc w:val="center"/>
              <w:ind w:left="2914"/>
              <w:spacing w:after="0"/>
              <w:rPr>
                <w:sz w:val="20"/>
                <w:szCs w:val="20"/>
                <w:color w:val="auto"/>
              </w:rPr>
            </w:pPr>
            <w:r>
              <w:rPr>
                <w:rFonts w:ascii="Times New Roman" w:cs="Times New Roman" w:eastAsia="Times New Roman" w:hAnsi="Times New Roman"/>
                <w:sz w:val="17"/>
                <w:szCs w:val="17"/>
                <w:b w:val="1"/>
                <w:bCs w:val="1"/>
                <w:color w:val="auto"/>
              </w:rPr>
              <w:t>THE PENNANT GROUP, INC.</w:t>
            </w: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7000" w:type="dxa"/>
            <w:vAlign w:val="bottom"/>
            <w:gridSpan w:val="4"/>
          </w:tcPr>
          <w:p>
            <w:pPr>
              <w:jc w:val="center"/>
              <w:ind w:left="1714"/>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7"/>
        </w:trPr>
        <w:tc>
          <w:tcPr>
            <w:tcW w:w="1220" w:type="dxa"/>
            <w:vAlign w:val="bottom"/>
          </w:tcPr>
          <w:p>
            <w:pPr>
              <w:spacing w:after="0"/>
              <w:rPr>
                <w:sz w:val="19"/>
                <w:szCs w:val="19"/>
                <w:color w:val="auto"/>
              </w:rPr>
            </w:pPr>
          </w:p>
        </w:tc>
        <w:tc>
          <w:tcPr>
            <w:tcW w:w="5460" w:type="dxa"/>
            <w:vAlign w:val="bottom"/>
          </w:tcPr>
          <w:p>
            <w:pPr>
              <w:jc w:val="center"/>
              <w:ind w:left="3274"/>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48"/>
        </w:trPr>
        <w:tc>
          <w:tcPr>
            <w:tcW w:w="12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right"/>
              <w:ind w:right="143"/>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00" w:type="dxa"/>
            <w:vAlign w:val="bottom"/>
            <w:tcBorders>
              <w:bottom w:val="single" w:sz="8" w:color="auto"/>
            </w:tcBorders>
          </w:tcPr>
          <w:p>
            <w:pPr>
              <w:spacing w:after="0"/>
              <w:rPr>
                <w:sz w:val="24"/>
                <w:szCs w:val="24"/>
                <w:color w:val="auto"/>
              </w:rPr>
            </w:pPr>
          </w:p>
        </w:tc>
      </w:tr>
      <w:tr>
        <w:trPr>
          <w:trHeight w:val="212"/>
        </w:trPr>
        <w:tc>
          <w:tcPr>
            <w:tcW w:w="1220" w:type="dxa"/>
            <w:vAlign w:val="bottom"/>
            <w:tcBorders>
              <w:bottom w:val="single" w:sz="8" w:color="CCEEFF"/>
            </w:tcBorders>
          </w:tcPr>
          <w:p>
            <w:pPr>
              <w:spacing w:after="0"/>
              <w:rPr>
                <w:sz w:val="18"/>
                <w:szCs w:val="18"/>
                <w:color w:val="auto"/>
              </w:rPr>
            </w:pPr>
          </w:p>
        </w:tc>
        <w:tc>
          <w:tcPr>
            <w:tcW w:w="54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86"/>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3"/>
        </w:trPr>
        <w:tc>
          <w:tcPr>
            <w:tcW w:w="66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Net income</w:t>
            </w: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33,764</w:t>
            </w:r>
          </w:p>
        </w:tc>
        <w:tc>
          <w:tcPr>
            <w:tcW w:w="8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24,339</w:t>
            </w:r>
          </w:p>
        </w:tc>
        <w:tc>
          <w:tcPr>
            <w:tcW w:w="100" w:type="dxa"/>
            <w:vAlign w:val="bottom"/>
          </w:tcPr>
          <w:p>
            <w:pPr>
              <w:spacing w:after="0"/>
              <w:rPr>
                <w:sz w:val="17"/>
                <w:szCs w:val="17"/>
                <w:color w:val="auto"/>
              </w:rPr>
            </w:pP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13,910</w:t>
            </w:r>
          </w:p>
        </w:tc>
      </w:tr>
      <w:tr>
        <w:trPr>
          <w:trHeight w:val="209"/>
        </w:trPr>
        <w:tc>
          <w:tcPr>
            <w:tcW w:w="6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3"/>
        </w:trPr>
        <w:tc>
          <w:tcPr>
            <w:tcW w:w="66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8,538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6,119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5,130</w:t>
            </w:r>
          </w:p>
        </w:tc>
      </w:tr>
      <w:tr>
        <w:trPr>
          <w:trHeight w:val="209"/>
        </w:trPr>
        <w:tc>
          <w:tcPr>
            <w:tcW w:w="6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Amortization and write-off of deferred financing fees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521</w:t>
            </w:r>
          </w:p>
        </w:tc>
      </w:tr>
      <w:tr>
        <w:trPr>
          <w:trHeight w:val="203"/>
        </w:trPr>
        <w:tc>
          <w:tcPr>
            <w:tcW w:w="66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Provision for doubtful accounts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646</w:t>
            </w:r>
          </w:p>
        </w:tc>
      </w:tr>
      <w:tr>
        <w:trPr>
          <w:trHeight w:val="209"/>
        </w:trPr>
        <w:tc>
          <w:tcPr>
            <w:tcW w:w="6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Share-based compensation</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8,940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5,369</w:t>
            </w:r>
          </w:p>
        </w:tc>
      </w:tr>
      <w:tr>
        <w:trPr>
          <w:trHeight w:val="203"/>
        </w:trPr>
        <w:tc>
          <w:tcPr>
            <w:tcW w:w="66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Deferred income taxes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4,004</w:t>
            </w:r>
          </w:p>
        </w:tc>
      </w:tr>
      <w:tr>
        <w:trPr>
          <w:trHeight w:val="209"/>
        </w:trPr>
        <w:tc>
          <w:tcPr>
            <w:tcW w:w="6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(Gain) loss on disposition of property and equipment, net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(999)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r>
      <w:tr>
        <w:trPr>
          <w:trHeight w:val="203"/>
        </w:trPr>
        <w:tc>
          <w:tcPr>
            <w:tcW w:w="668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Change in operating assets and liabilities, net of effects of business acquisitions:</w:t>
            </w: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9"/>
        </w:trPr>
        <w:tc>
          <w:tcPr>
            <w:tcW w:w="6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Accounts receivable</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(24,147)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(21,088)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(7,350)</w:t>
            </w:r>
          </w:p>
        </w:tc>
      </w:tr>
      <w:tr>
        <w:trPr>
          <w:trHeight w:val="203"/>
        </w:trPr>
        <w:tc>
          <w:tcPr>
            <w:tcW w:w="668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(12,277)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(5,604)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7,770</w:t>
            </w:r>
          </w:p>
        </w:tc>
      </w:tr>
      <w:tr>
        <w:trPr>
          <w:trHeight w:val="209"/>
        </w:trPr>
        <w:tc>
          <w:tcPr>
            <w:tcW w:w="6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Operating lease obligations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203"/>
        </w:trPr>
        <w:tc>
          <w:tcPr>
            <w:tcW w:w="668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Accounts payable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5,803</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8,052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(1,845)</w:t>
            </w:r>
          </w:p>
        </w:tc>
      </w:tr>
      <w:tr>
        <w:trPr>
          <w:trHeight w:val="209"/>
        </w:trPr>
        <w:tc>
          <w:tcPr>
            <w:tcW w:w="6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Accrued wages and related liabilities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17,956</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4,972</w:t>
            </w:r>
          </w:p>
        </w:tc>
      </w:tr>
      <w:tr>
        <w:trPr>
          <w:trHeight w:val="203"/>
        </w:trPr>
        <w:tc>
          <w:tcPr>
            <w:tcW w:w="668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Other accrued liabilities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8,778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4,497</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(814)</w:t>
            </w:r>
          </w:p>
        </w:tc>
      </w:tr>
      <w:tr>
        <w:trPr>
          <w:trHeight w:val="209"/>
        </w:trPr>
        <w:tc>
          <w:tcPr>
            <w:tcW w:w="66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1,420</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719</w:t>
            </w:r>
          </w:p>
        </w:tc>
      </w:tr>
      <w:tr>
        <w:trPr>
          <w:trHeight w:val="196"/>
        </w:trPr>
        <w:tc>
          <w:tcPr>
            <w:tcW w:w="668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48,294</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39,298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33,090</w:t>
            </w:r>
          </w:p>
        </w:tc>
      </w:tr>
      <w:tr>
        <w:trPr>
          <w:trHeight w:val="189"/>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03"/>
        </w:trPr>
        <w:tc>
          <w:tcPr>
            <w:tcW w:w="66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Purchase of property and equipment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(12,039)</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(8,992)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(8,105)</w:t>
            </w:r>
          </w:p>
        </w:tc>
      </w:tr>
      <w:tr>
        <w:trPr>
          <w:trHeight w:val="209"/>
        </w:trPr>
        <w:tc>
          <w:tcPr>
            <w:tcW w:w="6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payments for business acquisitions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(204,024)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(48,416)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(21,376)</w:t>
            </w:r>
          </w:p>
        </w:tc>
      </w:tr>
      <w:tr>
        <w:trPr>
          <w:trHeight w:val="203"/>
        </w:trPr>
        <w:tc>
          <w:tcPr>
            <w:tcW w:w="66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Cash payments for asset acquisitions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(9,960)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(11,380)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w:t>
            </w:r>
          </w:p>
        </w:tc>
      </w:tr>
      <w:tr>
        <w:trPr>
          <w:trHeight w:val="209"/>
        </w:trPr>
        <w:tc>
          <w:tcPr>
            <w:tcW w:w="6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Escrow deposits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w:t>
            </w:r>
          </w:p>
        </w:tc>
      </w:tr>
      <w:tr>
        <w:trPr>
          <w:trHeight w:val="203"/>
        </w:trPr>
        <w:tc>
          <w:tcPr>
            <w:tcW w:w="66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5"/>
                <w:szCs w:val="15"/>
                <w:color w:val="auto"/>
              </w:rPr>
              <w:t>Other investing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943</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(329)</w:t>
            </w:r>
          </w:p>
        </w:tc>
      </w:tr>
      <w:tr>
        <w:trPr>
          <w:trHeight w:val="202"/>
        </w:trPr>
        <w:tc>
          <w:tcPr>
            <w:tcW w:w="66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(227,971)</w:t>
            </w:r>
          </w:p>
        </w:tc>
        <w:tc>
          <w:tcPr>
            <w:tcW w:w="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(70,684)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(30,222)</w:t>
            </w:r>
          </w:p>
        </w:tc>
      </w:tr>
      <w:tr>
        <w:trPr>
          <w:trHeight w:val="185"/>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07"/>
        </w:trPr>
        <w:tc>
          <w:tcPr>
            <w:tcW w:w="6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Proceeds from secondary offering, net of expenses</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118,149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66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Proceeds from incremental term loans</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100,000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9"/>
        </w:trPr>
        <w:tc>
          <w:tcPr>
            <w:tcW w:w="6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revolver agreement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373,000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309,500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182,000</w:t>
            </w:r>
          </w:p>
        </w:tc>
      </w:tr>
      <w:tr>
        <w:trPr>
          <w:trHeight w:val="203"/>
        </w:trPr>
        <w:tc>
          <w:tcPr>
            <w:tcW w:w="66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Payments on revolver agreement</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(298,000)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(374,500)</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(181,500)</w:t>
            </w:r>
          </w:p>
        </w:tc>
      </w:tr>
      <w:tr>
        <w:trPr>
          <w:trHeight w:val="209"/>
        </w:trPr>
        <w:tc>
          <w:tcPr>
            <w:tcW w:w="6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Payments for deferred financing costs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3"/>
        </w:trPr>
        <w:tc>
          <w:tcPr>
            <w:tcW w:w="66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Net issuance of common stock due to share based compensation</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853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579</w:t>
            </w:r>
          </w:p>
        </w:tc>
      </w:tr>
      <w:tr>
        <w:trPr>
          <w:trHeight w:val="209"/>
        </w:trPr>
        <w:tc>
          <w:tcPr>
            <w:tcW w:w="6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financing activities</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(1,894)</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196"/>
        </w:trPr>
        <w:tc>
          <w:tcPr>
            <w:tcW w:w="6680" w:type="dxa"/>
            <w:vAlign w:val="bottom"/>
            <w:tcBorders>
              <w:bottom w:val="single" w:sz="8" w:color="CCEEFF"/>
            </w:tcBorders>
            <w:gridSpan w:val="2"/>
          </w:tcPr>
          <w:p>
            <w:pPr>
              <w:ind w:left="52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172,455</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49,573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1,112</w:t>
            </w:r>
          </w:p>
        </w:tc>
      </w:tr>
      <w:tr>
        <w:trPr>
          <w:trHeight w:val="202"/>
        </w:trPr>
        <w:tc>
          <w:tcPr>
            <w:tcW w:w="6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increase (decrease) in cash</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(7,222)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18,187</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3,980</w:t>
            </w:r>
          </w:p>
        </w:tc>
      </w:tr>
      <w:tr>
        <w:trPr>
          <w:trHeight w:val="203"/>
        </w:trPr>
        <w:tc>
          <w:tcPr>
            <w:tcW w:w="6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5"/>
                <w:szCs w:val="15"/>
                <w:color w:val="auto"/>
              </w:rPr>
              <w:t>Cash beginning of period</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24,246</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6,059</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2,079</w:t>
            </w:r>
          </w:p>
        </w:tc>
      </w:tr>
      <w:tr>
        <w:trPr>
          <w:trHeight w:val="227"/>
        </w:trPr>
        <w:tc>
          <w:tcPr>
            <w:tcW w:w="6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end of period</w:t>
            </w: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17,024</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24,246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6,059</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 (Continued)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6"/>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1120" w:type="dxa"/>
            <w:vAlign w:val="bottom"/>
            <w:tcBorders>
              <w:bottom w:val="single" w:sz="8" w:color="auto"/>
            </w:tcBorders>
          </w:tcPr>
          <w:p>
            <w:pPr>
              <w:spacing w:after="0"/>
              <w:rPr>
                <w:sz w:val="17"/>
                <w:szCs w:val="17"/>
                <w:color w:val="auto"/>
              </w:rPr>
            </w:pPr>
          </w:p>
        </w:tc>
      </w:tr>
      <w:tr>
        <w:trPr>
          <w:trHeight w:val="201"/>
        </w:trPr>
        <w:tc>
          <w:tcPr>
            <w:tcW w:w="666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2025</w:t>
            </w:r>
          </w:p>
        </w:tc>
        <w:tc>
          <w:tcPr>
            <w:tcW w:w="4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2023</w:t>
            </w:r>
          </w:p>
        </w:tc>
      </w:tr>
      <w:tr>
        <w:trPr>
          <w:trHeight w:val="187"/>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disclosures of cash flow information:</w:t>
            </w:r>
          </w:p>
        </w:tc>
        <w:tc>
          <w:tcPr>
            <w:tcW w:w="9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03"/>
        </w:trPr>
        <w:tc>
          <w:tcPr>
            <w:tcW w:w="66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Cash paid during the period for:</w:t>
            </w: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9"/>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Interest</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4,904</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6,521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5,012</w:t>
            </w:r>
          </w:p>
        </w:tc>
      </w:tr>
      <w:tr>
        <w:trPr>
          <w:trHeight w:val="196"/>
        </w:trPr>
        <w:tc>
          <w:tcPr>
            <w:tcW w:w="6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Income taxes</w:t>
            </w:r>
          </w:p>
        </w:tc>
        <w:tc>
          <w:tcPr>
            <w:tcW w:w="94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14,049</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7,351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841</w:t>
            </w:r>
          </w:p>
        </w:tc>
      </w:tr>
      <w:tr>
        <w:trPr>
          <w:trHeight w:val="202"/>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44,001</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39,503</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36,653</w:t>
            </w:r>
          </w:p>
        </w:tc>
      </w:tr>
      <w:tr>
        <w:trPr>
          <w:trHeight w:val="196"/>
        </w:trPr>
        <w:tc>
          <w:tcPr>
            <w:tcW w:w="66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Right-of-use assets obtained in exchange for new operating lease obligations</w:t>
            </w:r>
          </w:p>
        </w:tc>
        <w:tc>
          <w:tcPr>
            <w:tcW w:w="94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28,091</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25,267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12,826</w:t>
            </w:r>
          </w:p>
        </w:tc>
      </w:tr>
      <w:tr>
        <w:trPr>
          <w:trHeight w:val="202"/>
        </w:trPr>
        <w:tc>
          <w:tcPr>
            <w:tcW w:w="6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Finance lease assets obtained in exchange for new finance lease obligations</w:t>
            </w:r>
          </w:p>
        </w:tc>
        <w:tc>
          <w:tcPr>
            <w:tcW w:w="940" w:type="dxa"/>
            <w:vAlign w:val="bottom"/>
            <w:tcBorders>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6,174</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506</w:t>
            </w:r>
          </w:p>
        </w:tc>
        <w:tc>
          <w:tcPr>
            <w:tcW w:w="10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633</w:t>
            </w:r>
          </w:p>
        </w:tc>
      </w:tr>
      <w:tr>
        <w:trPr>
          <w:trHeight w:val="196"/>
        </w:trPr>
        <w:tc>
          <w:tcPr>
            <w:tcW w:w="66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Non-cash adjustment to right-of-use assets and lease liabilities from lease modifications</w:t>
            </w:r>
          </w:p>
        </w:tc>
        <w:tc>
          <w:tcPr>
            <w:tcW w:w="940" w:type="dxa"/>
            <w:vAlign w:val="bottom"/>
          </w:tcPr>
          <w:p>
            <w:pPr>
              <w:jc w:val="right"/>
              <w:ind w:right="76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580</w:t>
            </w:r>
          </w:p>
        </w:tc>
        <w:tc>
          <w:tcPr>
            <w:tcW w:w="480" w:type="dxa"/>
            <w:vAlign w:val="bottom"/>
            <w:gridSpan w:val="3"/>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260</w:t>
            </w:r>
          </w:p>
        </w:tc>
        <w:tc>
          <w:tcPr>
            <w:tcW w:w="100" w:type="dxa"/>
            <w:vAlign w:val="bottom"/>
          </w:tcPr>
          <w:p>
            <w:pPr>
              <w:spacing w:after="0"/>
              <w:rPr>
                <w:sz w:val="17"/>
                <w:szCs w:val="17"/>
                <w:color w:val="auto"/>
              </w:rPr>
            </w:pPr>
          </w:p>
        </w:tc>
        <w:tc>
          <w:tcPr>
            <w:tcW w:w="340" w:type="dxa"/>
            <w:vAlign w:val="bottom"/>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5,195</w:t>
            </w:r>
          </w:p>
        </w:tc>
      </w:tr>
      <w:tr>
        <w:trPr>
          <w:trHeight w:val="189"/>
        </w:trPr>
        <w:tc>
          <w:tcPr>
            <w:tcW w:w="666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Non-cash investing activity:</w:t>
            </w:r>
          </w:p>
        </w:tc>
        <w:tc>
          <w:tcPr>
            <w:tcW w:w="94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r>
      <w:tr>
        <w:trPr>
          <w:trHeight w:val="203"/>
        </w:trPr>
        <w:tc>
          <w:tcPr>
            <w:tcW w:w="666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Capital expenditures in accounts payable and other accrued liabilities</w:t>
            </w:r>
          </w:p>
        </w:tc>
        <w:tc>
          <w:tcPr>
            <w:tcW w:w="94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1,777</w:t>
            </w:r>
          </w:p>
        </w:tc>
        <w:tc>
          <w:tcPr>
            <w:tcW w:w="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1,333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(Dollars in thousands, except per share data and operational senior living units)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DESCRIPTION OF BUSINESS</w:t>
      </w:r>
    </w:p>
    <w:p>
      <w:pPr>
        <w:spacing w:after="0" w:line="5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Pennant Group, Inc. (herein referred to as “Pennant,” the “Company,” “it,” or “its”), is a holding company with no direct operating assets, employees or revenue. The Company, through its independent operating subsidiaries, provides healthcare services across the post-acute care continuum. As of December 31, 2025, the Company’s subsidiaries operated 172 home health, hospice and home care agencies and 63 senior living communities located in Alabama, Arizona, California, Colorado, Georgia, Idaho, Montana, Nevada, Oklahoma, Oregon, Tennessee, Texas, Utah, Washington, Wisconsin and Wyoming. We also provide home health and hospice operational support through a management service agreement in Connecticut.</w:t>
      </w:r>
    </w:p>
    <w:p>
      <w:pPr>
        <w:spacing w:after="0" w:line="20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Certain of the Company’s subsidiaries, collectively referred to as the Service Center, provide accounting, payroll, human resources, information technology, legal, risk management, and other services to the operations through contractual relationships. The Service Center also provides certain of these services to unaffiliated third parties under management agreements.</w:t>
      </w: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Each of the Company’s affiliated operations are operated by separate, independent subsidiaries that have their own management, employees and assets. References herein to the consolidated “Company” and “its” assets and activities are not meant to imply, nor should they be construed as meaning, that Pennant has direct operating assets, employees or revenue, or that any of the subsidiaries are operated by Pennant.</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BASIS OF PRESENTATION AND SUMMARY OF SIGNIFICANT ACCOUNTING POLICIES</w:t>
      </w:r>
    </w:p>
    <w:p>
      <w:pPr>
        <w:spacing w:after="0" w:line="62"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Basis of Presentation - </w:t>
      </w:r>
      <w:r>
        <w:rPr>
          <w:rFonts w:ascii="Times New Roman" w:cs="Times New Roman" w:eastAsia="Times New Roman" w:hAnsi="Times New Roman"/>
          <w:sz w:val="17"/>
          <w:szCs w:val="17"/>
          <w:color w:val="auto"/>
        </w:rPr>
        <w:t>The accompanying consolidated financial statements of the Company (the “Financial Statements”) reflect the Company’s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position for the years ended December 31, 2025 and 2024, and the Company’s results of operations and cash flows for the years ended December 31, 2025, 2024, and 2023 and have been prepared in accordance with accounting principles generally accepted in the United States (“GAAP”) and pursuant to the regulations of the Securities and Exchange Commission (“SEC”). The Company presents noncontrolling interests within the equity section of its consolidated balance sheets and the amount of consolidated net income that is attributable to The Pennant Group, Inc. and the noncontrolling interest in its consolidated statements of income.</w:t>
      </w:r>
    </w:p>
    <w:p>
      <w:pPr>
        <w:spacing w:after="0" w:line="200"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All intercompany transactions and balances between the various legal entities comprising the Company have been eliminated in consolidation. The consolidated statements of income reflect income that is attributable to the Company and the noncontrolling interest.</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consists of various limited liability companies and corporations established to operate home health, hospice, home care, and senior living operations. The Financial Statements include the accounts of all entities controlled by the Company through its ownership of a majority voting interest. Revenue was derived from transactional information specific to the Company’s services provided.</w:t>
      </w:r>
    </w:p>
    <w:p>
      <w:pPr>
        <w:spacing w:after="0" w:line="187"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Estimates and Assumptions - </w:t>
      </w:r>
      <w:r>
        <w:rPr>
          <w:rFonts w:ascii="Times New Roman" w:cs="Times New Roman" w:eastAsia="Times New Roman" w:hAnsi="Times New Roman"/>
          <w:sz w:val="17"/>
          <w:szCs w:val="17"/>
          <w:color w:val="auto"/>
        </w:rPr>
        <w:t>The preparation of the Financial Statements in conformity with GAAP requires management to make certain estimates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assumptions that affect the reported amounts of assets and liabilities and disclosure of contingent assets and liabilities at the date of the Financial Statements and the reported amounts of revenue and expenses during the reporting periods. The most significant estimates in the Financial Statements relate to self-insurance reserves, revenue recognition, and intangible assets and goodwill. Actual results could differ from those estimates.</w:t>
      </w:r>
    </w:p>
    <w:p>
      <w:pPr>
        <w:spacing w:after="0" w:line="190" w:lineRule="exact"/>
        <w:rPr>
          <w:sz w:val="20"/>
          <w:szCs w:val="20"/>
          <w:color w:val="auto"/>
        </w:rPr>
      </w:pPr>
    </w:p>
    <w:p>
      <w:pPr>
        <w:jc w:val="both"/>
        <w:ind w:firstLine="696"/>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Revenue Recognition - </w:t>
      </w:r>
      <w:r>
        <w:rPr>
          <w:rFonts w:ascii="Times New Roman" w:cs="Times New Roman" w:eastAsia="Times New Roman" w:hAnsi="Times New Roman"/>
          <w:sz w:val="17"/>
          <w:szCs w:val="17"/>
          <w:color w:val="auto"/>
        </w:rPr>
        <w:t>Revenues are recognized when services are provided to the patients at the amount that reflects the consideration to which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expects to be entitled from patients and third-party payors, including Medicaid, Medicare and insurers (private and Medicare replacement plans), in exchange for providing patient care. Revenue recognized from healthcare services are adjusted for estimates of variable consideration to arrive at the transaction price. The Company determines the transaction price based on contractually agreed-upon amounts or rates,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not occur in a future period. If actual amounts of consideration ultimately received differ from the Company’s estimates, the Company adjusts these estimates, which would affect net service revenue in the period such variances become known.</w:t>
      </w:r>
    </w:p>
    <w:p>
      <w:pPr>
        <w:spacing w:after="0" w:line="17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 xml:space="preserve">As the Company’s contracts have an original duration of one year or less, the Company uses the practical expedient applicable to its contracts and does not consider the time value of money. Further, because of the short duration of these contracts, the Company has not disclosed the transaction price for the remaining performance obligations as of the end of each reporting period or when the Company expects to recognize this revenue. In addition, the Company has applied the practical expedient provided by Accounting Standard Codification (“ASC”) Topic 340, </w:t>
      </w:r>
      <w:r>
        <w:rPr>
          <w:rFonts w:ascii="Times New Roman" w:cs="Times New Roman" w:eastAsia="Times New Roman" w:hAnsi="Times New Roman"/>
          <w:sz w:val="17"/>
          <w:szCs w:val="17"/>
          <w:i w:val="1"/>
          <w:iCs w:val="1"/>
          <w:color w:val="auto"/>
        </w:rPr>
        <w:t>Other Assets and Deferred Costs</w:t>
      </w:r>
      <w:r>
        <w:rPr>
          <w:rFonts w:ascii="Times New Roman" w:cs="Times New Roman" w:eastAsia="Times New Roman" w:hAnsi="Times New Roman"/>
          <w:sz w:val="17"/>
          <w:szCs w:val="17"/>
          <w:color w:val="auto"/>
        </w:rPr>
        <w:t>, and all incremental customer contract acquisition costs are expensed as they are incurred because the amortization period would have been one year or less. See Note 5</w:t>
      </w:r>
      <w:r>
        <w:rPr>
          <w:rFonts w:ascii="Times New Roman" w:cs="Times New Roman" w:eastAsia="Times New Roman" w:hAnsi="Times New Roman"/>
          <w:sz w:val="17"/>
          <w:szCs w:val="17"/>
          <w:i w:val="1"/>
          <w:iCs w:val="1"/>
          <w:color w:val="auto"/>
        </w:rPr>
        <w:t>, Revenue and Accounts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Receivable</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 xml:space="preserve">Cash </w:t>
      </w:r>
      <w:r>
        <w:rPr>
          <w:rFonts w:ascii="Times New Roman" w:cs="Times New Roman" w:eastAsia="Times New Roman" w:hAnsi="Times New Roman"/>
          <w:sz w:val="17"/>
          <w:szCs w:val="17"/>
          <w:color w:val="auto"/>
        </w:rPr>
        <w:t>- Cash consists of bank deposits and therefore approximates fair value. The Company places its cash with high credit quality financial institutions.</w:t>
      </w:r>
    </w:p>
    <w:p>
      <w:pPr>
        <w:spacing w:after="0" w:line="243" w:lineRule="exact"/>
        <w:rPr>
          <w:sz w:val="20"/>
          <w:szCs w:val="20"/>
          <w:color w:val="auto"/>
        </w:rPr>
      </w:pPr>
    </w:p>
    <w:p>
      <w:pPr>
        <w:jc w:val="both"/>
        <w:ind w:firstLine="696"/>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Accounts Receivable and Allowance for Doubtful Accounts - </w:t>
      </w:r>
      <w:r>
        <w:rPr>
          <w:rFonts w:ascii="Times New Roman" w:cs="Times New Roman" w:eastAsia="Times New Roman" w:hAnsi="Times New Roman"/>
          <w:sz w:val="17"/>
          <w:szCs w:val="17"/>
          <w:color w:val="auto"/>
        </w:rPr>
        <w:t>Accounts receivable consist primarily of amounts due from Medicare and Medicaid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programs, other government programs, healthcare systems, managed care health plans and private payor sources, net of estimates for variable consideration. The allowance for doubtful accounts is the Company’s best estimate of current expected credit losses in the accounts receivable balance.</w:t>
      </w:r>
    </w:p>
    <w:p>
      <w:pPr>
        <w:spacing w:after="0" w:line="186"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Property and Equipment, net - </w:t>
      </w:r>
      <w:r>
        <w:rPr>
          <w:rFonts w:ascii="Times New Roman" w:cs="Times New Roman" w:eastAsia="Times New Roman" w:hAnsi="Times New Roman"/>
          <w:sz w:val="17"/>
          <w:szCs w:val="17"/>
          <w:color w:val="auto"/>
        </w:rPr>
        <w:t>Property and equipment are initially recorded at their historical cost. Depreciation is computed using the straight-line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method over the estimated useful lives of the depreciable assets (ranging from one to 40 years). Leasehold improvements are amortized on a straight-line basis over the shorter of their estimated useful lives or the remaining lease term. Repairs and maintenance are expensed as incurred.</w:t>
      </w:r>
    </w:p>
    <w:p>
      <w:pPr>
        <w:spacing w:after="0" w:line="186"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Impairment of Long-Lived Assets - </w:t>
      </w:r>
      <w:r>
        <w:rPr>
          <w:rFonts w:ascii="Times New Roman" w:cs="Times New Roman" w:eastAsia="Times New Roman" w:hAnsi="Times New Roman"/>
          <w:sz w:val="17"/>
          <w:szCs w:val="17"/>
          <w:color w:val="auto"/>
        </w:rPr>
        <w:t>The Company reviews the carrying value of long-lived assets that are held and used in the independent operating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subsidiaries for impairment on an annual basis or whenever events or changes in circumstances indicate that the carrying amount of an asset may not be recoverable. Recoverability of these assets is determined based upon expected undiscounted future net cash flows from the operating subsidiary to which the assets relate, utilizing management’s best estimate, appropriate assumptions, and projections at the time. If the carrying value is determined to be unrecoverable from future operating cash flows, the asset is deemed impaired and an impairment loss would be recognized to the extent the carrying value exceeded the estimated fair value of the asset. The Company estimates the fair value of assets on a non-recurring basis and the inputs used to determine the fair value of the long-lived assets are considered Level 3 measurements due to their subjective nature. There were no long-lived asset impairments during the years ended December 31, 2025, 2024, and 2023.</w:t>
      </w:r>
    </w:p>
    <w:p>
      <w:pPr>
        <w:spacing w:after="0" w:line="201"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Intangible Assets and Goodwill - </w:t>
      </w:r>
      <w:r>
        <w:rPr>
          <w:rFonts w:ascii="Times New Roman" w:cs="Times New Roman" w:eastAsia="Times New Roman" w:hAnsi="Times New Roman"/>
          <w:sz w:val="17"/>
          <w:szCs w:val="17"/>
          <w:color w:val="auto"/>
        </w:rPr>
        <w:t>The Company’s indefinite-lived intangible assets consist of trade names and Medicare and Medicaid licenses.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 tests indefinite-lived intangible assets for impairment on an annual basis or more frequently if events or changes in circumstances indicate that the carrying amount of the intangible asset may not be recoverable.</w:t>
      </w:r>
    </w:p>
    <w:p>
      <w:pPr>
        <w:spacing w:after="0" w:line="190"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Goodwill represents the excess of the purchase price over the fair value of identifiable net assets acquired in business combinations. The Company reviews goodwill for impairment annually on the first day of the fourth quarter and also if events or changes in circumstances indicate the occurrence of a triggering event. The Company assesses qualitative factors to determine whether it is more likely than not that the fair value of a reporting unit is less than its carrying amount. If the Company determines it is more likely than not that the fair value of a reporting unit is less than its carrying amount, then it is required to perform a quantitative impairment test by comparing the fair value with the carrying amount of the reporting unit. If the carrying amount of a reporting unit exceeds its fair value, then the Company records an impairment of goodwill equal to the amount that the carrying amount of a reporting unit exceeds its fair value.</w:t>
      </w:r>
    </w:p>
    <w:p>
      <w:pPr>
        <w:spacing w:after="0" w:line="19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 xml:space="preserve">As of December 31, 2025, we evaluated potential triggering events that might be indicators that our goodwill and indefinite-lived intangible assets were impaired. As a result of our evaluation, no goodwill or indefinite-lived intangible asset impairments were recorded during the years ended December 31, 2025, 2024, and 2023. See further discussion at Note 9, </w:t>
      </w:r>
      <w:r>
        <w:rPr>
          <w:rFonts w:ascii="Times New Roman" w:cs="Times New Roman" w:eastAsia="Times New Roman" w:hAnsi="Times New Roman"/>
          <w:sz w:val="17"/>
          <w:szCs w:val="17"/>
          <w:i w:val="1"/>
          <w:iCs w:val="1"/>
          <w:color w:val="auto"/>
        </w:rPr>
        <w:t>Goodwill and Intangible Assets.</w:t>
      </w:r>
    </w:p>
    <w:p>
      <w:pPr>
        <w:spacing w:after="0" w:line="187"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Self-Insurance Reserve - </w:t>
      </w:r>
      <w:r>
        <w:rPr>
          <w:rFonts w:ascii="Times New Roman" w:cs="Times New Roman" w:eastAsia="Times New Roman" w:hAnsi="Times New Roman"/>
          <w:sz w:val="17"/>
          <w:szCs w:val="17"/>
          <w:color w:val="auto"/>
        </w:rPr>
        <w:t>The Company retains risk for a substantial portion of potential claims for general and professional liability and workers’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The Company recognizes obligations associated with these costs, up to specified deductible limits in the period in which a claim is incurred, including with respect to both reported claims and claims incurred but not reported. The Company evaluates the adequacy of the self-insurance reserves in conjunction with an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independent actuarial assessment. As of December 31, 2025, the general and professional liability insurance has a retention limit of $250 per claim with a $600 corridor as an additional out-of-pocket retention we must satisfy for claims within the policy year before the carrier will reimburse losses. The workers’ compensation insurance has a retention limit of $250 per claim, except for policies held in Texas, which has a retention limit of $100 per claim, California, which has a retention limit of $500 per claim, and Washington and Wyoming, which are subject to state insurance and possess their own limits.</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These costs have generally been estimated based on historical data of our claims experience. Such estimates, and the resulting reserves, are reviewed and updated by us on a quarterly basis.</w:t>
      </w:r>
    </w:p>
    <w:p>
      <w:pPr>
        <w:spacing w:after="0" w:line="17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following table presents details of the Company's insurance program, including general and professional liability and workers’ compensation, and amounts accrued for the periods indicated in other accrued liabilities and other long-term liabilities in our accompanying consolidated balance sheets. The amounts accrued are undiscounted and established using actuarial methods followed in the insurance industry based on claims filed and an estimate of claims incurred but not reported. The amounts accrued below represent the total estimated liability for individual claims that are less than our noted insurance coverage amounts, which includes outstanding claims and claims incurred but not reported. The amounts are reported gross of reinsurance receivable of $4,652 and $3,613 included in restricted and other assets for the years ended December 31, 2025 and 2024, respectively, and $361 and $205 included in prepaid expenses and other current assets for the years ended December 31, 2025 and 2024, respectively.</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0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As of December 31,</w:t>
            </w:r>
          </w:p>
        </w:tc>
        <w:tc>
          <w:tcPr>
            <w:tcW w:w="1240" w:type="dxa"/>
            <w:vAlign w:val="bottom"/>
            <w:tcBorders>
              <w:bottom w:val="single" w:sz="8" w:color="auto"/>
            </w:tcBorders>
          </w:tcPr>
          <w:p>
            <w:pPr>
              <w:spacing w:after="0"/>
              <w:rPr>
                <w:sz w:val="19"/>
                <w:szCs w:val="19"/>
                <w:color w:val="auto"/>
              </w:rPr>
            </w:pPr>
          </w:p>
        </w:tc>
      </w:tr>
      <w:tr>
        <w:trPr>
          <w:trHeight w:val="212"/>
        </w:trPr>
        <w:tc>
          <w:tcPr>
            <w:tcW w:w="72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19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Type of Insurance</w:t>
            </w:r>
          </w:p>
        </w:tc>
        <w:tc>
          <w:tcPr>
            <w:tcW w:w="1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19"/>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professional liability</w:t>
            </w:r>
          </w:p>
        </w:tc>
        <w:tc>
          <w:tcPr>
            <w:tcW w:w="1240" w:type="dxa"/>
            <w:vAlign w:val="bottom"/>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8,048</w:t>
            </w:r>
          </w:p>
        </w:tc>
        <w:tc>
          <w:tcPr>
            <w:tcW w:w="120" w:type="dxa"/>
            <w:vAlign w:val="bottom"/>
          </w:tcPr>
          <w:p>
            <w:pPr>
              <w:spacing w:after="0"/>
              <w:rPr>
                <w:sz w:val="19"/>
                <w:szCs w:val="19"/>
                <w:color w:val="auto"/>
              </w:rPr>
            </w:pP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5,343</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Workers’ compensation</w:t>
            </w:r>
          </w:p>
        </w:tc>
        <w:tc>
          <w:tcPr>
            <w:tcW w:w="1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9,558</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5,441</w:t>
            </w:r>
          </w:p>
        </w:tc>
      </w:tr>
      <w:tr>
        <w:trPr>
          <w:trHeight w:val="212"/>
        </w:trPr>
        <w:tc>
          <w:tcPr>
            <w:tcW w:w="7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estimated liability</w:t>
            </w:r>
          </w:p>
        </w:tc>
        <w:tc>
          <w:tcPr>
            <w:tcW w:w="1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17,606</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10,784</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long-term portion, included in other long-term liabilities</w:t>
            </w:r>
          </w:p>
        </w:tc>
        <w:tc>
          <w:tcPr>
            <w:tcW w:w="1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(13,098)</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(7,739)</w:t>
            </w:r>
          </w:p>
        </w:tc>
      </w:tr>
      <w:tr>
        <w:trPr>
          <w:trHeight w:val="212"/>
        </w:trPr>
        <w:tc>
          <w:tcPr>
            <w:tcW w:w="7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Current portion of estimated liability, included in other accrued liabilities</w:t>
            </w:r>
          </w:p>
        </w:tc>
        <w:tc>
          <w:tcPr>
            <w:tcW w:w="1240" w:type="dxa"/>
            <w:vAlign w:val="bottom"/>
            <w:tcBorders>
              <w:bottom w:val="single" w:sz="8" w:color="auto"/>
            </w:tcBorders>
          </w:tcPr>
          <w:p>
            <w:pPr>
              <w:jc w:val="right"/>
              <w:ind w:right="1054"/>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4,508</w:t>
            </w:r>
          </w:p>
        </w:tc>
        <w:tc>
          <w:tcPr>
            <w:tcW w:w="120" w:type="dxa"/>
            <w:vAlign w:val="bottom"/>
          </w:tcPr>
          <w:p>
            <w:pPr>
              <w:spacing w:after="0"/>
              <w:rPr>
                <w:sz w:val="18"/>
                <w:szCs w:val="18"/>
                <w:color w:val="auto"/>
              </w:rPr>
            </w:pPr>
          </w:p>
        </w:tc>
        <w:tc>
          <w:tcPr>
            <w:tcW w:w="7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3,045</w:t>
            </w:r>
          </w:p>
        </w:tc>
      </w:tr>
      <w:tr>
        <w:trPr>
          <w:trHeight w:val="20"/>
        </w:trPr>
        <w:tc>
          <w:tcPr>
            <w:tcW w:w="7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self-funds medical, including prescription drugs, dental healthcare, and vision benefits for its employees. The Company is fully liable for all financial and legal aspects of these benefit plans. To protect itself against loss exposure associated with this policy, the Company has purchased individual stop-loss insurance coverage that insures individual claims that exceed $350 for each covered person for fiscal year 2025 and 2024. As of December 31, 2025 and 2024, our medical benefits liability was $3,860 and $2,650, respectively, recorded as a component of accrued wages and related liabilities and other accrued liabilities.</w:t>
      </w:r>
    </w:p>
    <w:p>
      <w:pPr>
        <w:spacing w:after="0" w:line="19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Fair Value of Financial Instruments - </w:t>
      </w:r>
      <w:r>
        <w:rPr>
          <w:rFonts w:ascii="Times New Roman" w:cs="Times New Roman" w:eastAsia="Times New Roman" w:hAnsi="Times New Roman"/>
          <w:sz w:val="17"/>
          <w:szCs w:val="17"/>
          <w:color w:val="auto"/>
        </w:rPr>
        <w:t>The Company’s financial instruments consist principally of cash, accounts receivable, accounts payable, accrued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liabilities, and debt. The Company believes all of the financial instruments’ recorded values approximate fair values because of their nature or respective short durations. The Company determines fair value measurements based on a three-tier hierarchy that prioritizes the inputs used to measure fair value. These tiers include: Level 1, defined as observable inputs such as quoted market prices in active markets; Level 2, defined as inputs other than quoted prices included within Level 1 that are observable for the asset or liability, either directly or indirectly; and Level 3, defined as unobservable inputs for which little or no market data exists, therefore requiring an entity to develop its own assumptions.</w:t>
      </w:r>
    </w:p>
    <w:p>
      <w:pPr>
        <w:spacing w:after="0" w:line="194"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Income Taxes </w:t>
      </w:r>
      <w:r>
        <w:rPr>
          <w:rFonts w:ascii="Times New Roman" w:cs="Times New Roman" w:eastAsia="Times New Roman" w:hAnsi="Times New Roman"/>
          <w:sz w:val="17"/>
          <w:szCs w:val="17"/>
          <w:color w:val="auto"/>
        </w:rPr>
        <w:t>- Deferred tax assets and liabilities are established for temporary differences between the financial reporting basis and the tax basis of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assets and liabilities at tax rates in effect when such temporary differences are expected to reverse. The Company generally expects to fully utilize its deferred tax assets; however, when necessary, the Company records a valuation allowance to reduce its net deferred tax assets to the amount that is more likely than not to be realized.</w:t>
      </w:r>
    </w:p>
    <w:p>
      <w:pPr>
        <w:spacing w:after="0" w:line="194"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determining the need for a valuation allowance or the need for and magnitude of liabilities for uncertain tax positions, the Company makes certain estimates and assumptions. These estimates and assumptions are based on, among other things, knowledge of operations, markets, historical trends and likely future changes and, when appropriate, the opinions of advisors with knowledge and expertise in certain fields. Due to certain risks associated with the Company’s estimates and assumptions, actual results could differ.</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4"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Common Stock </w:t>
      </w:r>
      <w:r>
        <w:rPr>
          <w:rFonts w:ascii="Times New Roman" w:cs="Times New Roman" w:eastAsia="Times New Roman" w:hAnsi="Times New Roman"/>
          <w:sz w:val="17"/>
          <w:szCs w:val="17"/>
          <w:color w:val="auto"/>
        </w:rPr>
        <w:t>- Each share of common stock, $0.001 par value per share (“common stock”) has the right to one vote. On October 2, 2024,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closed the public offering (the “Offering”) of 4,025 shares of its common stock. The net proceeds to the Company from the offering, after underwriting discounts, commissions, and expenses, was approximately $118,145. The majority of the proceeds were subsequently used to pay the then outstanding balance on our Amended Revolving Credit Facility.</w:t>
      </w:r>
    </w:p>
    <w:p>
      <w:pPr>
        <w:spacing w:after="0" w:line="190"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Noncontrolling Interest </w:t>
      </w:r>
      <w:r>
        <w:rPr>
          <w:rFonts w:ascii="Times New Roman" w:cs="Times New Roman" w:eastAsia="Times New Roman" w:hAnsi="Times New Roman"/>
          <w:sz w:val="17"/>
          <w:szCs w:val="17"/>
          <w:color w:val="auto"/>
        </w:rPr>
        <w:t>- The noncontrolling interest in a subsidiary is initially recognized at estimated fair value on the acquisition date and is presented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within total equity in the Company's consolidated balance sheets. The Company presents the noncontrolling interest and the amount of consolidated net income and other comprehensive income attributable to The Pennant Group, Inc. in its consolidated statements of income. Net income per share is calculated based on net income attributable to The Pennant Group, Inc.'s stockholders. The carrying amount of the noncontrolling interest is adjusted based on an allocation of subsidiary earnings based on ownership interest.</w:t>
      </w:r>
    </w:p>
    <w:p>
      <w:pPr>
        <w:spacing w:after="0" w:line="196"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Share-Based Compensation - </w:t>
      </w:r>
      <w:r>
        <w:rPr>
          <w:rFonts w:ascii="Times New Roman" w:cs="Times New Roman" w:eastAsia="Times New Roman" w:hAnsi="Times New Roman"/>
          <w:sz w:val="17"/>
          <w:szCs w:val="17"/>
          <w:color w:val="auto"/>
        </w:rPr>
        <w:t>The Company measures and recognizes compensation expense for all share-based payment awards, including employee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stock options and restricted stock, made to employees and Pennant’s directors based on estimated fair values, ratably over the requisite service period of the award. The Company accounts for forfeitures as they occur. The total amount of share-based compensation was $8,940, $7,781, and $5,369 for the years ended December 31, 2025, 2024, and 2023, respectively, of which $3,730, $3,927 and $2,250, respectively, was recorded in general and administrative expense, with the difference being recorded in cost of services. For further discussion see Note 12, </w:t>
      </w:r>
      <w:r>
        <w:rPr>
          <w:rFonts w:ascii="Times New Roman" w:cs="Times New Roman" w:eastAsia="Times New Roman" w:hAnsi="Times New Roman"/>
          <w:sz w:val="17"/>
          <w:szCs w:val="17"/>
          <w:i w:val="1"/>
          <w:iCs w:val="1"/>
          <w:color w:val="auto"/>
        </w:rPr>
        <w:t>Options and Awards.</w:t>
      </w:r>
    </w:p>
    <w:p>
      <w:pPr>
        <w:spacing w:after="0" w:line="196"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State Relief Funding - </w:t>
      </w:r>
      <w:r>
        <w:rPr>
          <w:rFonts w:ascii="Times New Roman" w:cs="Times New Roman" w:eastAsia="Times New Roman" w:hAnsi="Times New Roman"/>
          <w:sz w:val="17"/>
          <w:szCs w:val="17"/>
          <w:color w:val="auto"/>
        </w:rPr>
        <w:t>The Company receives state relief funding through programs from various states, including healthcare relief funding under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American Rescue Plan Act (“ARPA”), and other state specific relief programs. The funding generally incorporates specific use requirements primarily for direct patient care.</w:t>
      </w:r>
    </w:p>
    <w:p>
      <w:pPr>
        <w:spacing w:after="0" w:line="19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These funds are recognized as a reduction of cost of services when related expenses are incurred. As of December 31, 2025 and 2024, the Company had $477 and $705 in unapplied state relief funds, respectively. The unapplied state relief funds received are recorded in other accrued liabilities on the consolidated balance sheets. As of December 31, 2025 and 2024, the Company recognized state relief funding totaling $1,743 and $3,331, respectively, which the Company recognized as a reduction of cost of services.</w:t>
      </w:r>
    </w:p>
    <w:p>
      <w:pPr>
        <w:spacing w:after="0" w:line="19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Recent Accounting Pronouncements - </w:t>
      </w:r>
      <w:r>
        <w:rPr>
          <w:rFonts w:ascii="Times New Roman" w:cs="Times New Roman" w:eastAsia="Times New Roman" w:hAnsi="Times New Roman"/>
          <w:sz w:val="17"/>
          <w:szCs w:val="17"/>
          <w:color w:val="auto"/>
        </w:rPr>
        <w:t>Except for rules and interpretive releases of the SEC under authority of federal securities laws and a limited number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grandfathered standards, the Financial Standards Accounting Board (“FASB”) Accounting Standards Codification (“ASC”) is the sole source of authoritative GAAP literature recognized by the FASB and applicable to the Company. For any new pronouncements announced, the Company considers whether the new pronouncements could alter previous generally accepted accounting principles and determines whether any new or modified principles will have a material impact on the Company's reported financial position or operations in the near term. The applicability of any standard is subject to the formal review of the Company's financial management and certain standards are under consideration.</w:t>
      </w:r>
    </w:p>
    <w:p>
      <w:pPr>
        <w:spacing w:after="0" w:line="194"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Recent Accounting Standards Adopted by the Company - </w:t>
      </w:r>
      <w:r>
        <w:rPr>
          <w:rFonts w:ascii="Times New Roman" w:cs="Times New Roman" w:eastAsia="Times New Roman" w:hAnsi="Times New Roman"/>
          <w:sz w:val="17"/>
          <w:szCs w:val="17"/>
          <w:color w:val="auto"/>
        </w:rPr>
        <w:t>In December 2023, the FASB issued Accounting Standard Update (“ASU”) 2023-09, “</w:t>
      </w:r>
      <w:r>
        <w:rPr>
          <w:rFonts w:ascii="Times New Roman" w:cs="Times New Roman" w:eastAsia="Times New Roman" w:hAnsi="Times New Roman"/>
          <w:sz w:val="17"/>
          <w:szCs w:val="17"/>
          <w:i w:val="1"/>
          <w:iCs w:val="1"/>
          <w:color w:val="auto"/>
        </w:rPr>
        <w:t>Income Taxes (Topic 740): Improvements to Income Tax Disclosures”</w:t>
      </w:r>
      <w:r>
        <w:rPr>
          <w:rFonts w:ascii="Times New Roman" w:cs="Times New Roman" w:eastAsia="Times New Roman" w:hAnsi="Times New Roman"/>
          <w:sz w:val="17"/>
          <w:szCs w:val="17"/>
          <w:color w:val="auto"/>
        </w:rPr>
        <w:t>, which requires the Company to disclose disaggregated jurisdictional and categorical information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tax rate reconciliation, income taxes paid and other income tax related amounts. This guidance is effective for annual periods beginning after December 15, 2024, which will be the Company's fiscal year 2025, with early adoption permitted. The Company adopted the requirements of this ASU retrospectively in Note 14, </w:t>
      </w:r>
      <w:r>
        <w:rPr>
          <w:rFonts w:ascii="Times New Roman" w:cs="Times New Roman" w:eastAsia="Times New Roman" w:hAnsi="Times New Roman"/>
          <w:sz w:val="17"/>
          <w:szCs w:val="17"/>
          <w:i w:val="1"/>
          <w:iCs w:val="1"/>
          <w:color w:val="auto"/>
        </w:rPr>
        <w:t>Income Taxes</w:t>
      </w:r>
      <w:r>
        <w:rPr>
          <w:rFonts w:ascii="Times New Roman" w:cs="Times New Roman" w:eastAsia="Times New Roman" w:hAnsi="Times New Roman"/>
          <w:sz w:val="17"/>
          <w:szCs w:val="17"/>
          <w:color w:val="auto"/>
        </w:rPr>
        <w:t>. The adoption of this ASU does not have an impact on the Company’s Consolidated Financial Statements.</w:t>
      </w:r>
    </w:p>
    <w:p>
      <w:pPr>
        <w:spacing w:after="0" w:line="196"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Recently Issued Accounting Pronouncements Not Yet Adopted - </w:t>
      </w:r>
      <w:r>
        <w:rPr>
          <w:rFonts w:ascii="Times New Roman" w:cs="Times New Roman" w:eastAsia="Times New Roman" w:hAnsi="Times New Roman"/>
          <w:sz w:val="17"/>
          <w:szCs w:val="17"/>
          <w:color w:val="auto"/>
        </w:rPr>
        <w:t>In November 2024, the FASB issued ASU 2024-03 “Disaggregation of Income Statement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Expenses,” which requires the Company to disaggregate key expense categories such as employee compensation, depreciation and intangible asset amortization within its financial statements. This guidance is effective for annual periods beginning after December 15, 2026, which will be the Company’s fiscal year 2027, and interim periods within the Company’s fiscal year 2028, with early adoption permitted. The Company is currently evaluating the impact of this ASU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In September 2025, the FASB issued ASU 2025-06 “Targeted Improvements to the Accounting for Internal-Use Software,” which amends certain aspects of the accounting for and disclosure of software costs under ASC 350-40 Internal-Use Software. This guidance is effective for annual periods beginning after December 15, 2027, which will be the Company’s fiscal year 2028, and interim periods within the Company’s fiscal year 2029, with early adoption permitted. The Company is currently evaluating the impact of this ASU on its Consolidated Financial Statements.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TRANSACTIONS WITH ENSIGN</w:t>
      </w:r>
    </w:p>
    <w:p>
      <w:pPr>
        <w:spacing w:after="0" w:line="5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Pennant completed its separation from The Ensign Group, Inc. (“Ensign”) in 2019. Certain directors who serve on our Board of Directors also serve as directors of Ensign and own shares of Ensign common stock. Pennant and Ensign continue to partner in the provision of services along the healthcare continuum.</w:t>
      </w:r>
    </w:p>
    <w:p>
      <w:pPr>
        <w:spacing w:after="0" w:line="17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Company has incurred costs of $589, $959, and $1,035 for the years ended December 31, 2025, 2024, and 2023, respectively, that related primarily to shared services at proximate operations.</w:t>
      </w:r>
    </w:p>
    <w:p>
      <w:pPr>
        <w:spacing w:after="0" w:line="17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Expenses related to room and board charges at Ensign skilled nursing facilities for hospice patients were $7,150, $5,529, and $4,583 for the years ended December 31, 2025, 2024, and 2023, respectively.</w:t>
      </w:r>
    </w:p>
    <w:p>
      <w:pPr>
        <w:spacing w:after="0" w:line="17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 xml:space="preserve">The Company’s independent operating subsidiaries leased 32 of its senior living communities from subsidiaries of Ensign under master lease arrangements as of December 31, 2025. See further discussion below at Note 13,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COMPUTATION OF NET INCOME PER COMMON SHARE</w:t>
      </w:r>
    </w:p>
    <w:p>
      <w:pPr>
        <w:spacing w:after="0" w:line="66"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Basic net income per share is computed by dividing net income attributable to stockholders of the Company by the weighted average number of outstanding common shares for the period. The computation of diluted net income per share is similar to the computation of basic net income per share except that the denominator is increased to include the number of additional common shares that would have been outstanding if the dilutive potential common shares had been issued.</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212529"/>
        </w:rPr>
        <w:t>The following table sets forth the computation of basic and diluted net income per share for the periods presented: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7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740" w:type="dxa"/>
            <w:vAlign w:val="bottom"/>
            <w:tcBorders>
              <w:bottom w:val="single" w:sz="8" w:color="auto"/>
            </w:tcBorders>
          </w:tcPr>
          <w:p>
            <w:pPr>
              <w:spacing w:after="0"/>
              <w:rPr>
                <w:sz w:val="19"/>
                <w:szCs w:val="19"/>
                <w:color w:val="auto"/>
              </w:rPr>
            </w:pPr>
          </w:p>
        </w:tc>
      </w:tr>
      <w:tr>
        <w:trPr>
          <w:trHeight w:val="212"/>
        </w:trPr>
        <w:tc>
          <w:tcPr>
            <w:tcW w:w="77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19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Numerator:</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9"/>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income</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33,764</w:t>
            </w:r>
          </w:p>
        </w:tc>
        <w:tc>
          <w:tcPr>
            <w:tcW w:w="1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24,339</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13,910</w:t>
            </w:r>
          </w:p>
        </w:tc>
      </w:tr>
      <w:tr>
        <w:trPr>
          <w:trHeight w:val="21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Less: net income attributable to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w:t>
            </w:r>
          </w:p>
        </w:tc>
      </w:tr>
      <w:tr>
        <w:trPr>
          <w:trHeight w:val="212"/>
        </w:trPr>
        <w:tc>
          <w:tcPr>
            <w:tcW w:w="77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Net income attributable to The Pennant Group, Inc.</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29,578</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22,559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13,379</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24"/>
        </w:trPr>
        <w:tc>
          <w:tcPr>
            <w:tcW w:w="77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9"/>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Denominator:</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9"/>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Weighted average shares outstanding for basic net income per share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29,863</w:t>
            </w:r>
          </w:p>
        </w:tc>
      </w:tr>
      <w:tr>
        <w:trPr>
          <w:trHeight w:val="219"/>
        </w:trPr>
        <w:tc>
          <w:tcPr>
            <w:tcW w:w="7780" w:type="dxa"/>
            <w:vAlign w:val="bottom"/>
            <w:tcBorders>
              <w:bottom w:val="single" w:sz="8" w:color="CCEEFF"/>
            </w:tcBorders>
          </w:tcPr>
          <w:p>
            <w:pPr>
              <w:ind w:left="120"/>
              <w:spacing w:after="0" w:line="219" w:lineRule="exact"/>
              <w:rPr>
                <w:sz w:val="20"/>
                <w:szCs w:val="20"/>
                <w:color w:val="auto"/>
              </w:rPr>
            </w:pPr>
            <w:r>
              <w:rPr>
                <w:rFonts w:ascii="Times New Roman" w:cs="Times New Roman" w:eastAsia="Times New Roman" w:hAnsi="Times New Roman"/>
                <w:sz w:val="17"/>
                <w:szCs w:val="17"/>
                <w:color w:val="auto"/>
              </w:rPr>
              <w:t>Plus: incremental shares from assumed conversion</w:t>
            </w:r>
            <w:r>
              <w:rPr>
                <w:rFonts w:ascii="Times New Roman" w:cs="Times New Roman" w:eastAsia="Times New Roman" w:hAnsi="Times New Roman"/>
                <w:sz w:val="22"/>
                <w:szCs w:val="22"/>
                <w:color w:val="auto"/>
                <w:vertAlign w:val="superscript"/>
              </w:rPr>
              <w:t>(a)</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w:t>
            </w:r>
          </w:p>
        </w:tc>
      </w:tr>
      <w:tr>
        <w:trPr>
          <w:trHeight w:val="212"/>
        </w:trPr>
        <w:tc>
          <w:tcPr>
            <w:tcW w:w="7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Adjusted weighted average common shares outstanding for diluted income per share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35,316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32,000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30,193</w:t>
            </w:r>
          </w:p>
        </w:tc>
      </w:tr>
      <w:tr>
        <w:trPr>
          <w:trHeight w:val="258"/>
        </w:trPr>
        <w:tc>
          <w:tcPr>
            <w:tcW w:w="7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21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Earnings Per Share:</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9"/>
        </w:trPr>
        <w:tc>
          <w:tcPr>
            <w:tcW w:w="7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Basic net income per common share</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0.86</w:t>
            </w:r>
          </w:p>
        </w:tc>
        <w:tc>
          <w:tcPr>
            <w:tcW w:w="1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0.72</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0.45</w:t>
            </w:r>
          </w:p>
        </w:tc>
      </w:tr>
      <w:tr>
        <w:trPr>
          <w:trHeight w:val="219"/>
        </w:trPr>
        <w:tc>
          <w:tcPr>
            <w:tcW w:w="7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Diluted net income per common share</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0.44</w:t>
            </w:r>
          </w:p>
        </w:tc>
      </w:tr>
    </w:tbl>
    <w:p>
      <w:pPr>
        <w:spacing w:after="0" w:line="96" w:lineRule="exact"/>
        <w:rPr>
          <w:sz w:val="20"/>
          <w:szCs w:val="20"/>
          <w:color w:val="auto"/>
        </w:rPr>
      </w:pPr>
    </w:p>
    <w:p>
      <w:pPr>
        <w:ind w:left="460" w:right="20" w:hanging="440"/>
        <w:spacing w:after="0" w:line="238" w:lineRule="auto"/>
        <w:tabs>
          <w:tab w:leader="none" w:pos="460" w:val="left"/>
        </w:tabs>
        <w:numPr>
          <w:ilvl w:val="1"/>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Options outstanding which are anti-dilutive and therefore not factored into the weighted average common shares amount above were 1,744, 1,271, and 2,363 for the years ended December 31, 2025, 2024, and 2023, respectively.</w:t>
      </w:r>
    </w:p>
    <w:p>
      <w:pPr>
        <w:spacing w:after="0" w:line="200" w:lineRule="exact"/>
        <w:rPr>
          <w:rFonts w:ascii="Times New Roman" w:cs="Times New Roman" w:eastAsia="Times New Roman" w:hAnsi="Times New Roman"/>
          <w:sz w:val="14"/>
          <w:szCs w:val="14"/>
          <w:color w:val="auto"/>
        </w:rPr>
      </w:pPr>
    </w:p>
    <w:p>
      <w:pPr>
        <w:spacing w:after="0" w:line="396" w:lineRule="exact"/>
        <w:rPr>
          <w:rFonts w:ascii="Times New Roman" w:cs="Times New Roman" w:eastAsia="Times New Roman" w:hAnsi="Times New Roman"/>
          <w:sz w:val="14"/>
          <w:szCs w:val="14"/>
          <w:color w:val="auto"/>
        </w:rPr>
      </w:pPr>
    </w:p>
    <w:p>
      <w:pPr>
        <w:ind w:left="180" w:hanging="177"/>
        <w:spacing w:after="0"/>
        <w:tabs>
          <w:tab w:leader="none" w:pos="180"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AND ACCOUNTS RECEIVABLE</w:t>
      </w:r>
    </w:p>
    <w:p>
      <w:pPr>
        <w:spacing w:after="0" w:line="41" w:lineRule="exact"/>
        <w:rPr>
          <w:sz w:val="20"/>
          <w:szCs w:val="20"/>
          <w:color w:val="auto"/>
        </w:rPr>
      </w:pPr>
    </w:p>
    <w:p>
      <w:pPr>
        <w:jc w:val="both"/>
        <w:ind w:firstLine="619"/>
        <w:spacing w:after="0" w:line="254" w:lineRule="auto"/>
        <w:rPr>
          <w:sz w:val="20"/>
          <w:szCs w:val="20"/>
          <w:color w:val="auto"/>
        </w:rPr>
      </w:pPr>
      <w:r>
        <w:rPr>
          <w:rFonts w:ascii="Times New Roman" w:cs="Times New Roman" w:eastAsia="Times New Roman" w:hAnsi="Times New Roman"/>
          <w:sz w:val="17"/>
          <w:szCs w:val="17"/>
          <w:color w:val="auto"/>
        </w:rPr>
        <w:t>Revenue is recognized when services are provided to the patients at the amount that reflects the consideration to which the Company expects to be entitled from patients and third-party payors, including Medicaid, Medicare and managed care programs (Commercial, Medicare Advantage and Managed Medicaid plans). The healthcare services in home health and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5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7"/>
          <w:szCs w:val="17"/>
          <w:color w:val="auto"/>
        </w:rPr>
        <w:t>hospice patient contracts include routine services in exchange for a contractual agreed-upon amount or rates. Routine services are treated as a single performance obligation satisfied over time as services are rendered. As such, patient care services represent a bundle of services that are not capable of being distinct within the context of the contract. Additionally, there may be ancillary services which are not included in the rates for routine services, but instead are treated as separate performance obligations satisfied at a point in time, if and when those services are rendered.</w:t>
      </w:r>
    </w:p>
    <w:p>
      <w:pPr>
        <w:spacing w:after="0" w:line="198"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Revenue recognized from healthcare services are adjusted for estimates of variable consideration to arrive at the transaction price. The Company determines the transaction price based on contractually agreed-upon amounts or rates,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 not occur in a future period. If actual amounts of consideration ultimately received differ from the Company’s estimates, the Company adjusts these estimates, which would affect net service revenue in the period such variances become known.</w:t>
      </w:r>
    </w:p>
    <w:p>
      <w:pPr>
        <w:spacing w:after="0" w:line="205"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records revenue from Medicare, Medicaid and managed care programs as services are performed at their expected net realizable amounts under these programs. The Company’s revenue from governmental and managed care programs is subject to audit and retroactive adjustment by governmental and third-party agencies. Consistent with healthcare industry accounting practices, any changes to these governmental revenue estimates are recorded in the period the change or adjustment becomes known based on final settlement.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w:t>
      </w:r>
    </w:p>
    <w:p>
      <w:pPr>
        <w:spacing w:after="0" w:line="249" w:lineRule="exact"/>
        <w:rPr>
          <w:sz w:val="20"/>
          <w:szCs w:val="20"/>
          <w:color w:val="auto"/>
        </w:rPr>
      </w:pPr>
    </w:p>
    <w:p>
      <w:pPr>
        <w:jc w:val="both"/>
        <w:ind w:firstLine="619"/>
        <w:spacing w:after="0" w:line="267" w:lineRule="auto"/>
        <w:rPr>
          <w:sz w:val="20"/>
          <w:szCs w:val="20"/>
          <w:color w:val="auto"/>
        </w:rPr>
      </w:pPr>
      <w:r>
        <w:rPr>
          <w:rFonts w:ascii="Times New Roman" w:cs="Times New Roman" w:eastAsia="Times New Roman" w:hAnsi="Times New Roman"/>
          <w:sz w:val="17"/>
          <w:szCs w:val="17"/>
          <w:color w:val="auto"/>
        </w:rPr>
        <w:t>The Company disaggregates revenue from contracts with its patients or residents by reportable operating segments and payors. The Company has determined that disaggregating revenue into these categories achieves the disclosure objectives to depict how the nature, amount, timing and uncertainty of revenue and cash flows are affected by economic factors. A reconciliation of disaggregated revenue to segment revenue as well as revenue by payor is provided below.</w:t>
      </w:r>
    </w:p>
    <w:p>
      <w:pPr>
        <w:spacing w:after="0" w:line="200" w:lineRule="exact"/>
        <w:rPr>
          <w:sz w:val="20"/>
          <w:szCs w:val="20"/>
          <w:color w:val="auto"/>
        </w:rPr>
      </w:pPr>
    </w:p>
    <w:p>
      <w:pPr>
        <w:spacing w:after="0" w:line="20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Company’s service specific revenue recognition policies are as follows: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Home Health Revenue</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Medicare Revenue</w:t>
      </w:r>
    </w:p>
    <w:p>
      <w:pPr>
        <w:spacing w:after="0" w:line="249"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Net service revenue is recognized in accordance with the Patient Driven Groupings Model (“PDGM”). Under PDGM, Medicare provides agencies with payments for each 30-day payment period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payment period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payment period; (f) changes in the base payments established by the Medicare program; (g) adjustments to the base payments for case mix and geographic wages; and (h) recoveries of overpayments.</w:t>
      </w:r>
    </w:p>
    <w:p>
      <w:pPr>
        <w:spacing w:after="0" w:line="205"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adjusts Medicare revenue on completed episodes to reflect differences between estimated and actual payment amounts, an inability to obtain appropriate billing documentation and other reasons unrelated to credit risk. Therefore, the Company believes that its reported net service revenue and patient accounts receivable will be the net amounts to be realized from Medicare for services rendered.</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In addition to revenue recognized on completed episodes and periods, the Company also recognizes a portion of revenue associated with episodes and periods in progress. Episodes in progress are 30-day payment periods that begin during</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reporting period but were not completed as of the end of the period. As such, the Company estimates revenue and recognizes it on a daily basis. The primary factors underlying this estimate are the number of episodes in progress at the end of the reporting period, expected Medicare revenue per period of care or episode of care and the Company’s estimate of the average percentage complete based on the scheduled end of period and end of episode dates.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Non-Medicare Revenue</w:t>
      </w:r>
    </w:p>
    <w:p>
      <w:pPr>
        <w:spacing w:after="0" w:line="245"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Episodic Based Revenue - </w:t>
      </w:r>
      <w:r>
        <w:rPr>
          <w:rFonts w:ascii="Times New Roman" w:cs="Times New Roman" w:eastAsia="Times New Roman" w:hAnsi="Times New Roman"/>
          <w:sz w:val="17"/>
          <w:szCs w:val="17"/>
          <w:color w:val="auto"/>
        </w:rPr>
        <w:t>The Company recognizes revenue in a similar manner as it recognizes Medicare revenue for episodic-based rates that are paid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other insurance carriers, including Medicare Advantage programs; however, these rates can vary based upon the negotiated terms.</w:t>
      </w:r>
    </w:p>
    <w:p>
      <w:pPr>
        <w:spacing w:after="0" w:line="169"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Non-episodic Based Revenue - </w:t>
      </w:r>
      <w:r>
        <w:rPr>
          <w:rFonts w:ascii="Times New Roman" w:cs="Times New Roman" w:eastAsia="Times New Roman" w:hAnsi="Times New Roman"/>
          <w:sz w:val="17"/>
          <w:szCs w:val="17"/>
          <w:color w:val="auto"/>
        </w:rPr>
        <w:t>Revenue is recognized on an accrual basis based upon the date of service at amounts equal to its established or estimated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 visit rates, as applicable.</w:t>
      </w:r>
    </w:p>
    <w:p>
      <w:pPr>
        <w:spacing w:after="0" w:line="169" w:lineRule="exact"/>
        <w:rPr>
          <w:sz w:val="20"/>
          <w:szCs w:val="20"/>
          <w:color w:val="auto"/>
        </w:rPr>
      </w:pPr>
    </w:p>
    <w:p>
      <w:pPr>
        <w:jc w:val="both"/>
        <w:ind w:firstLine="619"/>
        <w:spacing w:after="0" w:line="292" w:lineRule="auto"/>
        <w:rPr>
          <w:sz w:val="20"/>
          <w:szCs w:val="20"/>
          <w:color w:val="auto"/>
        </w:rPr>
      </w:pPr>
      <w:r>
        <w:rPr>
          <w:rFonts w:ascii="Times New Roman" w:cs="Times New Roman" w:eastAsia="Times New Roman" w:hAnsi="Times New Roman"/>
          <w:sz w:val="17"/>
          <w:szCs w:val="17"/>
          <w:i w:val="1"/>
          <w:iCs w:val="1"/>
          <w:color w:val="auto"/>
        </w:rPr>
        <w:t xml:space="preserve">Management Services Revenue - </w:t>
      </w:r>
      <w:r>
        <w:rPr>
          <w:rFonts w:ascii="Times New Roman" w:cs="Times New Roman" w:eastAsia="Times New Roman" w:hAnsi="Times New Roman"/>
          <w:sz w:val="17"/>
          <w:szCs w:val="17"/>
          <w:color w:val="auto"/>
        </w:rPr>
        <w:t>The Company recognizes revenue earned from its management service agreements as the services are provided. Fees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charges are based upon the contractual terms of each agreement.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Hospice Revenue</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Revenue is recognized on an accrual basis based upon the date of service at amounts equal to the estimated payment rates. The estimated payment rates are calculated as daily rates for each of the levels of care the Company delivers. Revenue is adjusted for an inability to obtain appropriate billing documentation or authorizations acceptable to Medicare and other reasons unrelated to credit risk. Additionally, as Medicare hospice revenue is subject to an inpatient cap and an overall payment cap, the Company monitors its provider numbers and estimates amounts due back to Medicare if a cap has been exceeded. The Company regularly evaluates and records these adjustments as a reduction to revenue and an increase to other accrued liabilities.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Senior Living Revenue</w:t>
      </w:r>
    </w:p>
    <w:p>
      <w:pPr>
        <w:spacing w:after="0" w:line="243" w:lineRule="exact"/>
        <w:rPr>
          <w:sz w:val="20"/>
          <w:szCs w:val="20"/>
          <w:color w:val="auto"/>
        </w:rPr>
      </w:pPr>
    </w:p>
    <w:p>
      <w:pPr>
        <w:jc w:val="both"/>
        <w:ind w:firstLine="619"/>
        <w:spacing w:after="0" w:line="262" w:lineRule="auto"/>
        <w:rPr>
          <w:sz w:val="20"/>
          <w:szCs w:val="20"/>
          <w:color w:val="auto"/>
        </w:rPr>
      </w:pPr>
      <w:r>
        <w:rPr>
          <w:rFonts w:ascii="Times New Roman" w:cs="Times New Roman" w:eastAsia="Times New Roman" w:hAnsi="Times New Roman"/>
          <w:sz w:val="17"/>
          <w:szCs w:val="17"/>
          <w:color w:val="auto"/>
        </w:rPr>
        <w:t xml:space="preserve">The Company has elected the lessor practical expedient within ASC Topic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and therefore recognizes, measures, presents, and discloses the revenue for services rendered under the Company’s senior living residency agreements based upon the predominant component, either the lease or non-lease component, of the contracts. The Company has determined that the services included under the Company’s senior living residency agreements each have the same timing and pattern of transfer. The Company recognizes revenue under ASC Topic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xml:space="preserve"> for its senior residency agreements, for which it has determined that the non-lease components of such residency agreements are the predominant component of each such contract.</w:t>
      </w:r>
    </w:p>
    <w:p>
      <w:pPr>
        <w:spacing w:after="0" w:line="20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Company’s senior living revenue consists of fees for basic housing and assisted living care. Accordingly, we record revenue when services are rendered on the date services are provided at amounts billable to individual residents. Residency agreements are generally for a term of 30 days, with resident fees billed monthly in advance. For residents under reimbursement arrangements with Medicaid, revenue is recorded based on contractually agreed-upon amounts or rates on a per resident, daily basis or as services are rendered.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Revenue by payor for the years ended December 31, 2025, 2024, and 2023, is summarized in the following tables: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 2025</w:t>
            </w: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r>
      <w:tr>
        <w:trPr>
          <w:trHeight w:val="212"/>
        </w:trPr>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Home Health and Hospice Services</w:t>
            </w: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2"/>
        </w:trPr>
        <w:tc>
          <w:tcPr>
            <w:tcW w:w="2320" w:type="dxa"/>
            <w:vAlign w:val="bottom"/>
          </w:tcPr>
          <w:p>
            <w:pPr>
              <w:spacing w:after="0"/>
              <w:rPr>
                <w:sz w:val="18"/>
                <w:szCs w:val="18"/>
                <w:color w:val="auto"/>
              </w:rPr>
            </w:pPr>
          </w:p>
        </w:tc>
        <w:tc>
          <w:tcPr>
            <w:tcW w:w="17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Home Health Services</w:t>
            </w: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Hospice Services</w:t>
            </w:r>
          </w:p>
        </w:tc>
        <w:tc>
          <w:tcPr>
            <w:tcW w:w="100" w:type="dxa"/>
            <w:vAlign w:val="bottom"/>
          </w:tcPr>
          <w:p>
            <w:pPr>
              <w:spacing w:after="0"/>
              <w:rPr>
                <w:sz w:val="18"/>
                <w:szCs w:val="18"/>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Senior Living Services</w:t>
            </w:r>
          </w:p>
        </w:tc>
        <w:tc>
          <w:tcPr>
            <w:tcW w:w="30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82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Revenue %</w:t>
            </w:r>
          </w:p>
        </w:tc>
      </w:tr>
      <w:tr>
        <w:trPr>
          <w:trHeight w:val="212"/>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Medicare</w:t>
            </w: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181,790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276,509</w:t>
            </w:r>
          </w:p>
        </w:tc>
        <w:tc>
          <w:tcPr>
            <w:tcW w:w="100" w:type="dxa"/>
            <w:vAlign w:val="bottom"/>
          </w:tcPr>
          <w:p>
            <w:pPr>
              <w:spacing w:after="0"/>
              <w:rPr>
                <w:sz w:val="18"/>
                <w:szCs w:val="18"/>
                <w:color w:val="auto"/>
              </w:rPr>
            </w:pP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458,299</w:t>
            </w:r>
          </w:p>
        </w:tc>
        <w:tc>
          <w:tcPr>
            <w:tcW w:w="100" w:type="dxa"/>
            <w:vAlign w:val="bottom"/>
          </w:tcPr>
          <w:p>
            <w:pPr>
              <w:spacing w:after="0"/>
              <w:rPr>
                <w:sz w:val="18"/>
                <w:szCs w:val="18"/>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48.4 %</w:t>
            </w: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Medicaid</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16,529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34,199</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124,028</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13.1</w:t>
            </w:r>
          </w:p>
        </w:tc>
      </w:tr>
      <w:tr>
        <w:trPr>
          <w:trHeight w:val="212"/>
        </w:trPr>
        <w:tc>
          <w:tcPr>
            <w:tcW w:w="2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Subtotal</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198,319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310,708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73,300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582,327</w:t>
            </w:r>
          </w:p>
        </w:tc>
        <w:tc>
          <w:tcPr>
            <w:tcW w:w="100" w:type="dxa"/>
            <w:vAlign w:val="bottom"/>
          </w:tcPr>
          <w:p>
            <w:pPr>
              <w:spacing w:after="0"/>
              <w:rPr>
                <w:sz w:val="18"/>
                <w:szCs w:val="18"/>
                <w:color w:val="auto"/>
              </w:rPr>
            </w:pPr>
          </w:p>
        </w:tc>
        <w:tc>
          <w:tcPr>
            <w:tcW w:w="18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61.5</w:t>
            </w: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Managed care</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137,854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4,528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142,382</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15.0</w:t>
            </w:r>
          </w:p>
        </w:tc>
      </w:tr>
      <w:tr>
        <w:trPr>
          <w:trHeight w:val="219"/>
        </w:trPr>
        <w:tc>
          <w:tcPr>
            <w:tcW w:w="232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Private and other</w:t>
            </w:r>
            <w:r>
              <w:rPr>
                <w:rFonts w:ascii="Times New Roman" w:cs="Times New Roman" w:eastAsia="Times New Roman" w:hAnsi="Times New Roman"/>
                <w:sz w:val="22"/>
                <w:szCs w:val="22"/>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78,753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141,678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222,996</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23.5</w:t>
            </w:r>
          </w:p>
        </w:tc>
      </w:tr>
      <w:tr>
        <w:trPr>
          <w:trHeight w:val="237"/>
        </w:trPr>
        <w:tc>
          <w:tcPr>
            <w:tcW w:w="2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414,926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317,801</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214,978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947,705</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460" w:hanging="440"/>
        <w:spacing w:after="0"/>
        <w:tabs>
          <w:tab w:leader="none" w:pos="4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 and other payors in the Company’s home health services includes revenue from all payors generated in the Company’s home care operations and management services agreement.</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 2024</w:t>
            </w: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r>
      <w:tr>
        <w:trPr>
          <w:trHeight w:val="212"/>
        </w:trPr>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Home Health and Hospice Services</w:t>
            </w: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2"/>
        </w:trPr>
        <w:tc>
          <w:tcPr>
            <w:tcW w:w="2320" w:type="dxa"/>
            <w:vAlign w:val="bottom"/>
          </w:tcPr>
          <w:p>
            <w:pPr>
              <w:spacing w:after="0"/>
              <w:rPr>
                <w:sz w:val="18"/>
                <w:szCs w:val="18"/>
                <w:color w:val="auto"/>
              </w:rPr>
            </w:pPr>
          </w:p>
        </w:tc>
        <w:tc>
          <w:tcPr>
            <w:tcW w:w="17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Home Health Services</w:t>
            </w: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Hospice Services</w:t>
            </w:r>
          </w:p>
        </w:tc>
        <w:tc>
          <w:tcPr>
            <w:tcW w:w="100" w:type="dxa"/>
            <w:vAlign w:val="bottom"/>
          </w:tcPr>
          <w:p>
            <w:pPr>
              <w:spacing w:after="0"/>
              <w:rPr>
                <w:sz w:val="18"/>
                <w:szCs w:val="18"/>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Senior Living Services</w:t>
            </w:r>
          </w:p>
        </w:tc>
        <w:tc>
          <w:tcPr>
            <w:tcW w:w="30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82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Revenue %</w:t>
            </w:r>
          </w:p>
        </w:tc>
      </w:tr>
      <w:tr>
        <w:trPr>
          <w:trHeight w:val="212"/>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Medicare</w:t>
            </w: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127,891</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207,971</w:t>
            </w:r>
          </w:p>
        </w:tc>
        <w:tc>
          <w:tcPr>
            <w:tcW w:w="100" w:type="dxa"/>
            <w:vAlign w:val="bottom"/>
          </w:tcPr>
          <w:p>
            <w:pPr>
              <w:spacing w:after="0"/>
              <w:rPr>
                <w:sz w:val="18"/>
                <w:szCs w:val="18"/>
                <w:color w:val="auto"/>
              </w:rPr>
            </w:pP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335,862</w:t>
            </w:r>
          </w:p>
        </w:tc>
        <w:tc>
          <w:tcPr>
            <w:tcW w:w="100" w:type="dxa"/>
            <w:vAlign w:val="bottom"/>
          </w:tcPr>
          <w:p>
            <w:pPr>
              <w:spacing w:after="0"/>
              <w:rPr>
                <w:sz w:val="18"/>
                <w:szCs w:val="18"/>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48.3 %</w:t>
            </w: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Medicaid</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25,904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91,704</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13.2</w:t>
            </w:r>
          </w:p>
        </w:tc>
      </w:tr>
      <w:tr>
        <w:trPr>
          <w:trHeight w:val="212"/>
        </w:trPr>
        <w:tc>
          <w:tcPr>
            <w:tcW w:w="2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Subtotal</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139,928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233,875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427,566</w:t>
            </w:r>
          </w:p>
        </w:tc>
        <w:tc>
          <w:tcPr>
            <w:tcW w:w="100" w:type="dxa"/>
            <w:vAlign w:val="bottom"/>
          </w:tcPr>
          <w:p>
            <w:pPr>
              <w:spacing w:after="0"/>
              <w:rPr>
                <w:sz w:val="18"/>
                <w:szCs w:val="18"/>
                <w:color w:val="auto"/>
              </w:rPr>
            </w:pPr>
          </w:p>
        </w:tc>
        <w:tc>
          <w:tcPr>
            <w:tcW w:w="18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61.5</w:t>
            </w: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Managed care</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92,697</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13.3</w:t>
            </w:r>
          </w:p>
        </w:tc>
      </w:tr>
      <w:tr>
        <w:trPr>
          <w:trHeight w:val="219"/>
        </w:trPr>
        <w:tc>
          <w:tcPr>
            <w:tcW w:w="232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Private and other</w:t>
            </w:r>
            <w:r>
              <w:rPr>
                <w:rFonts w:ascii="Times New Roman" w:cs="Times New Roman" w:eastAsia="Times New Roman" w:hAnsi="Times New Roman"/>
                <w:sz w:val="22"/>
                <w:szCs w:val="22"/>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121,993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174,977</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25.2</w:t>
            </w:r>
          </w:p>
        </w:tc>
      </w:tr>
      <w:tr>
        <w:trPr>
          <w:trHeight w:val="237"/>
        </w:trPr>
        <w:tc>
          <w:tcPr>
            <w:tcW w:w="2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279,382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240,102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175,756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695,240</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460" w:hanging="440"/>
        <w:spacing w:after="0"/>
        <w:tabs>
          <w:tab w:leader="none" w:pos="4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 and other payors in the Company’s home health services includes revenue from all payors generated in the Company’s home care operations and management services agreement.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 2023</w:t>
            </w: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r>
      <w:tr>
        <w:trPr>
          <w:trHeight w:val="212"/>
        </w:trPr>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5"/>
          </w:tcPr>
          <w:p>
            <w:pPr>
              <w:ind w:left="160"/>
              <w:spacing w:after="0"/>
              <w:rPr>
                <w:sz w:val="20"/>
                <w:szCs w:val="20"/>
                <w:color w:val="auto"/>
              </w:rPr>
            </w:pPr>
            <w:r>
              <w:rPr>
                <w:rFonts w:ascii="Times New Roman" w:cs="Times New Roman" w:eastAsia="Times New Roman" w:hAnsi="Times New Roman"/>
                <w:sz w:val="17"/>
                <w:szCs w:val="17"/>
                <w:b w:val="1"/>
                <w:bCs w:val="1"/>
                <w:color w:val="auto"/>
              </w:rPr>
              <w:t>Home Health and Hospice Services</w:t>
            </w: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2"/>
        </w:trPr>
        <w:tc>
          <w:tcPr>
            <w:tcW w:w="2320" w:type="dxa"/>
            <w:vAlign w:val="bottom"/>
          </w:tcPr>
          <w:p>
            <w:pPr>
              <w:spacing w:after="0"/>
              <w:rPr>
                <w:sz w:val="18"/>
                <w:szCs w:val="18"/>
                <w:color w:val="auto"/>
              </w:rPr>
            </w:pPr>
          </w:p>
        </w:tc>
        <w:tc>
          <w:tcPr>
            <w:tcW w:w="17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Home Health Services</w:t>
            </w: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Hospice Services</w:t>
            </w:r>
          </w:p>
        </w:tc>
        <w:tc>
          <w:tcPr>
            <w:tcW w:w="100" w:type="dxa"/>
            <w:vAlign w:val="bottom"/>
          </w:tcPr>
          <w:p>
            <w:pPr>
              <w:spacing w:after="0"/>
              <w:rPr>
                <w:sz w:val="18"/>
                <w:szCs w:val="18"/>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Senior Living Services</w:t>
            </w:r>
          </w:p>
        </w:tc>
        <w:tc>
          <w:tcPr>
            <w:tcW w:w="30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1820" w:type="dxa"/>
            <w:vAlign w:val="bottom"/>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Revenue %</w:t>
            </w:r>
          </w:p>
        </w:tc>
      </w:tr>
      <w:tr>
        <w:trPr>
          <w:trHeight w:val="212"/>
        </w:trPr>
        <w:tc>
          <w:tcPr>
            <w:tcW w:w="2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Medicare</w:t>
            </w: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96,035</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167,775</w:t>
            </w:r>
          </w:p>
        </w:tc>
        <w:tc>
          <w:tcPr>
            <w:tcW w:w="100" w:type="dxa"/>
            <w:vAlign w:val="bottom"/>
          </w:tcPr>
          <w:p>
            <w:pPr>
              <w:spacing w:after="0"/>
              <w:rPr>
                <w:sz w:val="18"/>
                <w:szCs w:val="18"/>
                <w:color w:val="auto"/>
              </w:rPr>
            </w:pPr>
          </w:p>
        </w:tc>
        <w:tc>
          <w:tcPr>
            <w:tcW w:w="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263,810</w:t>
            </w:r>
          </w:p>
        </w:tc>
        <w:tc>
          <w:tcPr>
            <w:tcW w:w="100" w:type="dxa"/>
            <w:vAlign w:val="bottom"/>
          </w:tcPr>
          <w:p>
            <w:pPr>
              <w:spacing w:after="0"/>
              <w:rPr>
                <w:sz w:val="18"/>
                <w:szCs w:val="18"/>
                <w:color w:val="auto"/>
              </w:rPr>
            </w:pPr>
          </w:p>
        </w:tc>
        <w:tc>
          <w:tcPr>
            <w:tcW w:w="1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48.4 %</w:t>
            </w: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Medicaid</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20,738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77,337</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14.2</w:t>
            </w:r>
          </w:p>
        </w:tc>
      </w:tr>
      <w:tr>
        <w:trPr>
          <w:trHeight w:val="212"/>
        </w:trPr>
        <w:tc>
          <w:tcPr>
            <w:tcW w:w="2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Subtotal</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105,660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188,513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341,147</w:t>
            </w:r>
          </w:p>
        </w:tc>
        <w:tc>
          <w:tcPr>
            <w:tcW w:w="100" w:type="dxa"/>
            <w:vAlign w:val="bottom"/>
          </w:tcPr>
          <w:p>
            <w:pPr>
              <w:spacing w:after="0"/>
              <w:rPr>
                <w:sz w:val="18"/>
                <w:szCs w:val="18"/>
                <w:color w:val="auto"/>
              </w:rPr>
            </w:pPr>
          </w:p>
        </w:tc>
        <w:tc>
          <w:tcPr>
            <w:tcW w:w="182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62.6</w:t>
            </w:r>
          </w:p>
        </w:tc>
      </w:tr>
      <w:tr>
        <w:trPr>
          <w:trHeight w:val="219"/>
        </w:trPr>
        <w:tc>
          <w:tcPr>
            <w:tcW w:w="2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Managed care</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5,488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73,748</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13.5</w:t>
            </w:r>
          </w:p>
        </w:tc>
      </w:tr>
      <w:tr>
        <w:trPr>
          <w:trHeight w:val="219"/>
        </w:trPr>
        <w:tc>
          <w:tcPr>
            <w:tcW w:w="2320" w:type="dxa"/>
            <w:vAlign w:val="bottom"/>
            <w:tcBorders>
              <w:bottom w:val="single" w:sz="8" w:color="CCEEFF"/>
            </w:tcBorders>
          </w:tcPr>
          <w:p>
            <w:pPr>
              <w:ind w:left="20"/>
              <w:spacing w:after="0" w:line="219" w:lineRule="exact"/>
              <w:rPr>
                <w:sz w:val="20"/>
                <w:szCs w:val="20"/>
                <w:color w:val="auto"/>
              </w:rPr>
            </w:pPr>
            <w:r>
              <w:rPr>
                <w:rFonts w:ascii="Times New Roman" w:cs="Times New Roman" w:eastAsia="Times New Roman" w:hAnsi="Times New Roman"/>
                <w:sz w:val="17"/>
                <w:szCs w:val="17"/>
                <w:color w:val="auto"/>
              </w:rPr>
              <w:t>Private and other</w:t>
            </w:r>
            <w:r>
              <w:rPr>
                <w:rFonts w:ascii="Times New Roman" w:cs="Times New Roman" w:eastAsia="Times New Roman" w:hAnsi="Times New Roman"/>
                <w:sz w:val="22"/>
                <w:szCs w:val="22"/>
                <w:color w:val="auto"/>
                <w:vertAlign w:val="superscript"/>
              </w:rPr>
              <w:t>(a)</w:t>
            </w: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103,453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129,996</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23.9</w:t>
            </w:r>
          </w:p>
        </w:tc>
      </w:tr>
      <w:tr>
        <w:trPr>
          <w:trHeight w:val="237"/>
        </w:trPr>
        <w:tc>
          <w:tcPr>
            <w:tcW w:w="2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revenue</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194,627</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150,427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544,891</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100.0 %</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460" w:hanging="440"/>
        <w:spacing w:after="0"/>
        <w:tabs>
          <w:tab w:leader="none" w:pos="46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 and other payors in the Company’s home health services includes revenue from all payors generated in the Company’s home care operations.</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Balance Sheet Impact</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Included in the Company’s consolidated balance sheets are contract assets, comprised of billed accounts receivable and unbilled receivables, which are the result of the timing of revenue recognition, billings and cash collections, as well as, contract liabilities, which primarily represent payments the Company receives in advance of services provided.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Accounts receivable as of December 31, 2025 and December 31, 2024 is summarized in the following table:</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2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300" w:type="dxa"/>
            <w:vAlign w:val="bottom"/>
          </w:tcPr>
          <w:p>
            <w:pPr>
              <w:spacing w:after="0"/>
              <w:rPr>
                <w:sz w:val="19"/>
                <w:szCs w:val="19"/>
                <w:color w:val="auto"/>
              </w:rPr>
            </w:pPr>
          </w:p>
        </w:tc>
        <w:tc>
          <w:tcPr>
            <w:tcW w:w="210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December 31, 2024</w:t>
            </w:r>
          </w:p>
        </w:tc>
      </w:tr>
      <w:tr>
        <w:trPr>
          <w:trHeight w:val="212"/>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Medicare</w:t>
            </w: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64,813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46,677</w:t>
            </w:r>
          </w:p>
        </w:tc>
      </w:tr>
      <w:tr>
        <w:trPr>
          <w:trHeight w:val="219"/>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Medicaid</w:t>
            </w:r>
          </w:p>
        </w:tc>
        <w:tc>
          <w:tcPr>
            <w:tcW w:w="3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13,382</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Managed care</w:t>
            </w: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14,220</w:t>
            </w:r>
          </w:p>
        </w:tc>
      </w:tr>
      <w:tr>
        <w:trPr>
          <w:trHeight w:val="219"/>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Private and other</w:t>
            </w: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22,275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7,255</w:t>
            </w:r>
          </w:p>
        </w:tc>
      </w:tr>
      <w:tr>
        <w:trPr>
          <w:trHeight w:val="212"/>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gross</w:t>
            </w:r>
          </w:p>
        </w:tc>
        <w:tc>
          <w:tcPr>
            <w:tcW w:w="30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123,790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81,534</w:t>
            </w:r>
          </w:p>
        </w:tc>
      </w:tr>
      <w:tr>
        <w:trPr>
          <w:trHeight w:val="219"/>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allowance for doubtful accounts</w:t>
            </w: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w:t>
            </w:r>
          </w:p>
        </w:tc>
      </w:tr>
      <w:tr>
        <w:trPr>
          <w:trHeight w:val="237"/>
        </w:trPr>
        <w:tc>
          <w:tcPr>
            <w:tcW w:w="63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123,109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81,302</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activity for our allowance for doubtful accounts for the years ended December 31, 2025, 2024, and 2023:</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10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gridSpan w:val="6"/>
          </w:tcPr>
          <w:p>
            <w:pPr>
              <w:jc w:val="center"/>
              <w:ind w:left="34"/>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980" w:type="dxa"/>
            <w:vAlign w:val="bottom"/>
            <w:tcBorders>
              <w:bottom w:val="single" w:sz="8" w:color="auto"/>
            </w:tcBorders>
          </w:tcPr>
          <w:p>
            <w:pPr>
              <w:spacing w:after="0"/>
              <w:rPr>
                <w:sz w:val="19"/>
                <w:szCs w:val="19"/>
                <w:color w:val="auto"/>
              </w:rPr>
            </w:pPr>
          </w:p>
        </w:tc>
      </w:tr>
      <w:tr>
        <w:trPr>
          <w:trHeight w:val="212"/>
        </w:trPr>
        <w:tc>
          <w:tcPr>
            <w:tcW w:w="710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period</w:t>
            </w: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232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center"/>
              <w:ind w:left="554"/>
              <w:spacing w:after="0"/>
              <w:rPr>
                <w:sz w:val="20"/>
                <w:szCs w:val="20"/>
                <w:color w:val="auto"/>
              </w:rPr>
            </w:pPr>
            <w:r>
              <w:rPr>
                <w:rFonts w:ascii="Times New Roman" w:cs="Times New Roman" w:eastAsia="Times New Roman" w:hAnsi="Times New Roman"/>
                <w:sz w:val="17"/>
                <w:szCs w:val="17"/>
                <w:color w:val="auto"/>
              </w:rPr>
              <w:t>259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center"/>
              <w:ind w:left="514"/>
              <w:spacing w:after="0"/>
              <w:rPr>
                <w:sz w:val="20"/>
                <w:szCs w:val="20"/>
                <w:color w:val="auto"/>
              </w:rPr>
            </w:pPr>
            <w:r>
              <w:rPr>
                <w:rFonts w:ascii="Times New Roman" w:cs="Times New Roman" w:eastAsia="Times New Roman" w:hAnsi="Times New Roman"/>
                <w:sz w:val="17"/>
                <w:szCs w:val="17"/>
                <w:color w:val="auto"/>
              </w:rPr>
              <w:t>592</w:t>
            </w:r>
          </w:p>
        </w:tc>
      </w:tr>
      <w:tr>
        <w:trPr>
          <w:trHeight w:val="219"/>
        </w:trPr>
        <w:tc>
          <w:tcPr>
            <w:tcW w:w="7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Additions to bad debt expense</w:t>
            </w:r>
          </w:p>
        </w:tc>
        <w:tc>
          <w:tcPr>
            <w:tcW w:w="860" w:type="dxa"/>
            <w:vAlign w:val="bottom"/>
          </w:tcPr>
          <w:p>
            <w:pPr>
              <w:spacing w:after="0"/>
              <w:rPr>
                <w:sz w:val="19"/>
                <w:szCs w:val="19"/>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center"/>
              <w:ind w:left="554"/>
              <w:spacing w:after="0"/>
              <w:rPr>
                <w:sz w:val="20"/>
                <w:szCs w:val="20"/>
                <w:color w:val="auto"/>
              </w:rPr>
            </w:pPr>
            <w:r>
              <w:rPr>
                <w:rFonts w:ascii="Times New Roman" w:cs="Times New Roman" w:eastAsia="Times New Roman" w:hAnsi="Times New Roman"/>
                <w:sz w:val="17"/>
                <w:szCs w:val="17"/>
                <w:color w:val="auto"/>
              </w:rPr>
              <w:t>903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center"/>
              <w:ind w:left="514"/>
              <w:spacing w:after="0"/>
              <w:rPr>
                <w:sz w:val="20"/>
                <w:szCs w:val="20"/>
                <w:color w:val="auto"/>
              </w:rPr>
            </w:pPr>
            <w:r>
              <w:rPr>
                <w:rFonts w:ascii="Times New Roman" w:cs="Times New Roman" w:eastAsia="Times New Roman" w:hAnsi="Times New Roman"/>
                <w:sz w:val="17"/>
                <w:szCs w:val="17"/>
                <w:color w:val="auto"/>
              </w:rPr>
              <w:t>646</w:t>
            </w: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Write-offs of uncollectible accounts</w:t>
            </w:r>
          </w:p>
        </w:tc>
        <w:tc>
          <w:tcPr>
            <w:tcW w:w="8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(499)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514"/>
              <w:spacing w:after="0"/>
              <w:rPr>
                <w:sz w:val="20"/>
                <w:szCs w:val="20"/>
                <w:color w:val="auto"/>
              </w:rPr>
            </w:pPr>
            <w:r>
              <w:rPr>
                <w:rFonts w:ascii="Times New Roman" w:cs="Times New Roman" w:eastAsia="Times New Roman" w:hAnsi="Times New Roman"/>
                <w:sz w:val="17"/>
                <w:szCs w:val="17"/>
                <w:color w:val="auto"/>
              </w:rPr>
              <w:t>(930)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center"/>
              <w:ind w:left="474"/>
              <w:spacing w:after="0"/>
              <w:rPr>
                <w:sz w:val="20"/>
                <w:szCs w:val="20"/>
                <w:color w:val="auto"/>
              </w:rPr>
            </w:pPr>
            <w:r>
              <w:rPr>
                <w:rFonts w:ascii="Times New Roman" w:cs="Times New Roman" w:eastAsia="Times New Roman" w:hAnsi="Times New Roman"/>
                <w:sz w:val="17"/>
                <w:szCs w:val="17"/>
                <w:color w:val="auto"/>
              </w:rPr>
              <w:t>(979)</w:t>
            </w:r>
          </w:p>
        </w:tc>
      </w:tr>
      <w:tr>
        <w:trPr>
          <w:trHeight w:val="212"/>
        </w:trPr>
        <w:tc>
          <w:tcPr>
            <w:tcW w:w="7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at end of period</w:t>
            </w:r>
          </w:p>
        </w:tc>
        <w:tc>
          <w:tcPr>
            <w:tcW w:w="8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681</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center"/>
              <w:ind w:left="554"/>
              <w:spacing w:after="0"/>
              <w:rPr>
                <w:sz w:val="20"/>
                <w:szCs w:val="20"/>
                <w:color w:val="auto"/>
              </w:rPr>
            </w:pPr>
            <w:r>
              <w:rPr>
                <w:rFonts w:ascii="Times New Roman" w:cs="Times New Roman" w:eastAsia="Times New Roman" w:hAnsi="Times New Roman"/>
                <w:sz w:val="17"/>
                <w:szCs w:val="17"/>
                <w:color w:val="auto"/>
              </w:rPr>
              <w:t>232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center"/>
              <w:ind w:left="514"/>
              <w:spacing w:after="0"/>
              <w:rPr>
                <w:sz w:val="20"/>
                <w:szCs w:val="20"/>
                <w:color w:val="auto"/>
              </w:rPr>
            </w:pPr>
            <w:r>
              <w:rPr>
                <w:rFonts w:ascii="Times New Roman" w:cs="Times New Roman" w:eastAsia="Times New Roman" w:hAnsi="Times New Roman"/>
                <w:sz w:val="17"/>
                <w:szCs w:val="17"/>
                <w:color w:val="auto"/>
              </w:rPr>
              <w:t>259</w:t>
            </w:r>
          </w:p>
        </w:tc>
      </w:tr>
      <w:tr>
        <w:trPr>
          <w:trHeight w:val="20"/>
        </w:trPr>
        <w:tc>
          <w:tcPr>
            <w:tcW w:w="7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Concentrations- Credit Risk</w:t>
      </w:r>
    </w:p>
    <w:p>
      <w:pPr>
        <w:spacing w:after="0" w:line="243"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Credit Risk - </w:t>
      </w:r>
      <w:r>
        <w:rPr>
          <w:rFonts w:ascii="Times New Roman" w:cs="Times New Roman" w:eastAsia="Times New Roman" w:hAnsi="Times New Roman"/>
          <w:sz w:val="17"/>
          <w:szCs w:val="17"/>
          <w:color w:val="auto"/>
        </w:rPr>
        <w:t>The Company has significant accounts receivable balances, the collectability of which is dependent on the availability of funds from certain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governmental programs, primarily Medicare and Medicaid. These receivables represent the only significant concentration of credit risk for the Company. The Company does not believe there are significant credit risks associated with these governmental programs. The Company believes that an appropriate allowance has been recorded for the possibility of these receivables proving uncollectible, and continually monitors and adjusts these allowances as necessary. The Company’s gross receivables from the Medicare and Medicaid programs accounted for approximately 62.2% and 73.7% of its total gross accounts receivable as of December 31, 2025 and December 31, 2024, respectively. Revenue from reimbursement under the Medicare and Medicaid programs accounted for 61.5%, 61.5%, and 62.6% of the Company's revenue for the years ended December 31, 2025, 2024, and 2023, respectively.</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BUSINESS SEGMENTS</w:t>
      </w:r>
    </w:p>
    <w:p>
      <w:pPr>
        <w:spacing w:after="0" w:line="5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 classifies its operations into the following reportable operating segments: (1) home health and hospice services, which includes the Company’s home health, hospice, home care, and geriatric primary and palliative care businesses; and (2) senior living services, which includes the operation of assisted living, independent living and memory care communities. The reporting segments are business units that offer different services and are managed separately to provide greater visibility into those operations. The Company’s Chief Executive Officer, who is the Company’s Chief Operating Decision Maker (“CODM”), reviews financial information at the operating segment level.</w:t>
      </w:r>
    </w:p>
    <w:p>
      <w:pPr>
        <w:spacing w:after="0" w:line="200"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As of December 31, 2025, the Company provided services through 172 affiliated home health, hospice and home care agencies, and 63 affiliated senior living operations. The Company evaluates performance and allocates capital resources to each segment based on an operating model that is designed to maximize the quality of care provided and profitability. The Company’s Service Center provides various services to all lines of business. The CODM does not review assets by segment and therefore assets and capital expenditure by segment are not disclosed below.</w:t>
      </w:r>
    </w:p>
    <w:p>
      <w:pPr>
        <w:spacing w:after="0" w:line="19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CODM uses Segment Adjusted EBITDAR from Operations as the primary measure of profit and loss for the Company's reportable segments and to compare the performance of its operations with those of its competitors. The CODM monitors these results and provides guidance to leadership of the reportable segments to allocate enterprise-wide resources. Segment Adjusted EBITDAR from Operations is net income attributable to the Company's reportable segments excluding interest expense, provision for income taxes, depreciation and amortization expense, rent, unallocated corporate and</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administrative expenses, and, in order to view the operations’ performance on a comparable basis from period to period, certain adjustments including: (1) activities associated with start-up operations, (2) share-based compensation expense, (3) acquisition related costs, (4) activities associated with transitioning operations, (5) transition services costs, (6) unusual, non-recurring, or redundant charges, and (7) net income attributable to noncontrolling interest. “All Other” consists of revenues generated at operating locations not included in the segment financial information reviewed by the CODM. Revenue included in the “All Other” category is insignificant individually, and therefore does not constitute a reportable segment. General and administrative expenses are not allocated to the reportable segments, and are included as “Unallocated corporate expenses”,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spacing w:after="0" w:line="20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presents certain financial information regarding the Company’s reportable segments, provided that general and administrative expenses are not allocated to the reportable segments.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Home Health and</w:t>
            </w:r>
          </w:p>
        </w:tc>
        <w:tc>
          <w:tcPr>
            <w:tcW w:w="200" w:type="dxa"/>
            <w:vAlign w:val="bottom"/>
          </w:tcPr>
          <w:p>
            <w:pPr>
              <w:spacing w:after="0"/>
              <w:rPr>
                <w:sz w:val="17"/>
                <w:szCs w:val="17"/>
                <w:color w:val="auto"/>
              </w:rPr>
            </w:pPr>
          </w:p>
        </w:tc>
        <w:tc>
          <w:tcPr>
            <w:tcW w:w="132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Senior Living</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b w:val="1"/>
                <w:bCs w:val="1"/>
                <w:color w:val="auto"/>
              </w:rPr>
              <w:t>All Other</w:t>
            </w:r>
          </w:p>
        </w:tc>
        <w:tc>
          <w:tcPr>
            <w:tcW w:w="340" w:type="dxa"/>
            <w:vAlign w:val="bottom"/>
          </w:tcPr>
          <w:p>
            <w:pPr>
              <w:spacing w:after="0"/>
              <w:rPr>
                <w:sz w:val="17"/>
                <w:szCs w:val="17"/>
                <w:color w:val="auto"/>
              </w:rPr>
            </w:pPr>
          </w:p>
        </w:tc>
        <w:tc>
          <w:tcPr>
            <w:tcW w:w="1180" w:type="dxa"/>
            <w:vAlign w:val="bottom"/>
            <w:vMerge w:val="restart"/>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2"/>
        </w:trPr>
        <w:tc>
          <w:tcPr>
            <w:tcW w:w="4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Hospice Services</w:t>
            </w:r>
          </w:p>
        </w:tc>
        <w:tc>
          <w:tcPr>
            <w:tcW w:w="200" w:type="dxa"/>
            <w:vAlign w:val="bottom"/>
          </w:tcPr>
          <w:p>
            <w:pPr>
              <w:spacing w:after="0"/>
              <w:rPr>
                <w:sz w:val="20"/>
                <w:szCs w:val="20"/>
                <w:color w:val="auto"/>
              </w:rPr>
            </w:pPr>
          </w:p>
        </w:tc>
        <w:tc>
          <w:tcPr>
            <w:tcW w:w="132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Services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2025</w:t>
            </w: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731,392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210,078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6,235</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947,705</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Segment Cost of Services</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610,561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Adjusted EBITDAR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120,831</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60,525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181,356</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2024</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515,344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174,767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5,129</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695,240</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Segment Cost of Services</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427,635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Adjusted EBITDAR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87,709</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139,369</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 2023</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385,652</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148,198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11,041</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544,891</w:t>
            </w:r>
          </w:p>
        </w:tc>
        <w:tc>
          <w:tcPr>
            <w:tcW w:w="0" w:type="dxa"/>
            <w:vAlign w:val="bottom"/>
          </w:tcPr>
          <w:p>
            <w:pPr>
              <w:spacing w:after="0"/>
              <w:rPr>
                <w:sz w:val="1"/>
                <w:szCs w:val="1"/>
                <w:color w:val="auto"/>
              </w:rPr>
            </w:pPr>
          </w:p>
        </w:tc>
      </w:tr>
      <w:tr>
        <w:trPr>
          <w:trHeight w:val="219"/>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Segment Cost of Services</w:t>
            </w: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320,046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Adjusted EBITDAR from Operations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65,606</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110,900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4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6"/>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80" w:type="dxa"/>
            <w:vAlign w:val="bottom"/>
            <w:tcBorders>
              <w:bottom w:val="single" w:sz="8" w:color="auto"/>
            </w:tcBorders>
          </w:tcPr>
          <w:p>
            <w:pPr>
              <w:spacing w:after="0"/>
              <w:rPr>
                <w:sz w:val="19"/>
                <w:szCs w:val="19"/>
                <w:color w:val="auto"/>
              </w:rPr>
            </w:pPr>
          </w:p>
        </w:tc>
      </w:tr>
      <w:tr>
        <w:trPr>
          <w:trHeight w:val="212"/>
        </w:trPr>
        <w:tc>
          <w:tcPr>
            <w:tcW w:w="64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Segment Adjusted EBITDAR from Operations</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181,356</w:t>
            </w:r>
          </w:p>
        </w:tc>
        <w:tc>
          <w:tcPr>
            <w:tcW w:w="100" w:type="dxa"/>
            <w:vAlign w:val="bottom"/>
          </w:tcPr>
          <w:p>
            <w:pPr>
              <w:spacing w:after="0"/>
              <w:rPr>
                <w:sz w:val="18"/>
                <w:szCs w:val="18"/>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139,369</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110,900</w:t>
            </w: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Unallocated corporate expenses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43,587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31,704</w:t>
            </w:r>
          </w:p>
        </w:tc>
      </w:tr>
      <w:tr>
        <w:trPr>
          <w:trHeight w:val="219"/>
        </w:trPr>
        <w:tc>
          <w:tcPr>
            <w:tcW w:w="6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Depreciation and amortization</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5,130</w:t>
            </w:r>
          </w:p>
        </w:tc>
      </w:tr>
      <w:tr>
        <w:trPr>
          <w:trHeight w:val="219"/>
        </w:trPr>
        <w:tc>
          <w:tcPr>
            <w:tcW w:w="6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Rent—cost of services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39,759</w:t>
            </w:r>
          </w:p>
        </w:tc>
      </w:tr>
      <w:tr>
        <w:trPr>
          <w:trHeight w:val="219"/>
        </w:trPr>
        <w:tc>
          <w:tcPr>
            <w:tcW w:w="64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Other income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Segment EBITDAR from Operations: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9"/>
        </w:trPr>
        <w:tc>
          <w:tcPr>
            <w:tcW w:w="640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Less: Start-up operations </w:t>
            </w:r>
            <w:r>
              <w:rPr>
                <w:rFonts w:ascii="Times New Roman" w:cs="Times New Roman" w:eastAsia="Times New Roman" w:hAnsi="Times New Roman"/>
                <w:sz w:val="22"/>
                <w:szCs w:val="22"/>
                <w:color w:val="auto"/>
                <w:vertAlign w:val="superscript"/>
              </w:rPr>
              <w:t>(a)</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19"/>
        </w:trPr>
        <w:tc>
          <w:tcPr>
            <w:tcW w:w="6400" w:type="dxa"/>
            <w:vAlign w:val="bottom"/>
            <w:shd w:val="clear" w:color="auto" w:fill="CCEEFF"/>
          </w:tcPr>
          <w:p>
            <w:pPr>
              <w:ind w:left="440"/>
              <w:spacing w:after="0" w:line="219" w:lineRule="exact"/>
              <w:rPr>
                <w:sz w:val="20"/>
                <w:szCs w:val="20"/>
                <w:color w:val="auto"/>
              </w:rPr>
            </w:pPr>
            <w:r>
              <w:rPr>
                <w:rFonts w:ascii="Times New Roman" w:cs="Times New Roman" w:eastAsia="Times New Roman" w:hAnsi="Times New Roman"/>
                <w:sz w:val="17"/>
                <w:szCs w:val="17"/>
                <w:color w:val="auto"/>
              </w:rPr>
              <w:t>Share-based compensation expense</w:t>
            </w:r>
            <w:r>
              <w:rPr>
                <w:rFonts w:ascii="Times New Roman" w:cs="Times New Roman" w:eastAsia="Times New Roman" w:hAnsi="Times New Roman"/>
                <w:sz w:val="22"/>
                <w:szCs w:val="22"/>
                <w:color w:val="auto"/>
                <w:vertAlign w:val="superscript"/>
              </w:rPr>
              <w:t>(b)</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5,565</w:t>
            </w:r>
          </w:p>
        </w:tc>
      </w:tr>
      <w:tr>
        <w:trPr>
          <w:trHeight w:val="219"/>
        </w:trPr>
        <w:tc>
          <w:tcPr>
            <w:tcW w:w="6400" w:type="dxa"/>
            <w:vAlign w:val="bottom"/>
          </w:tcPr>
          <w:p>
            <w:pPr>
              <w:ind w:left="440"/>
              <w:spacing w:after="0" w:line="219" w:lineRule="exact"/>
              <w:rPr>
                <w:sz w:val="20"/>
                <w:szCs w:val="20"/>
                <w:color w:val="auto"/>
              </w:rPr>
            </w:pPr>
            <w:r>
              <w:rPr>
                <w:rFonts w:ascii="Times New Roman" w:cs="Times New Roman" w:eastAsia="Times New Roman" w:hAnsi="Times New Roman"/>
                <w:sz w:val="17"/>
                <w:szCs w:val="17"/>
                <w:color w:val="auto"/>
              </w:rPr>
              <w:t>Acquisition related costs</w:t>
            </w:r>
            <w:r>
              <w:rPr>
                <w:rFonts w:ascii="Times New Roman" w:cs="Times New Roman" w:eastAsia="Times New Roman" w:hAnsi="Times New Roman"/>
                <w:sz w:val="22"/>
                <w:szCs w:val="22"/>
                <w:color w:val="auto"/>
                <w:vertAlign w:val="superscript"/>
              </w:rPr>
              <w:t>(c)</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w:t>
            </w:r>
          </w:p>
        </w:tc>
      </w:tr>
      <w:tr>
        <w:trPr>
          <w:trHeight w:val="219"/>
        </w:trPr>
        <w:tc>
          <w:tcPr>
            <w:tcW w:w="6400" w:type="dxa"/>
            <w:vAlign w:val="bottom"/>
            <w:shd w:val="clear" w:color="auto" w:fill="CCEEFF"/>
          </w:tcPr>
          <w:p>
            <w:pPr>
              <w:ind w:left="440"/>
              <w:spacing w:after="0" w:line="219" w:lineRule="exact"/>
              <w:rPr>
                <w:sz w:val="20"/>
                <w:szCs w:val="20"/>
                <w:color w:val="auto"/>
              </w:rPr>
            </w:pPr>
            <w:r>
              <w:rPr>
                <w:rFonts w:ascii="Times New Roman" w:cs="Times New Roman" w:eastAsia="Times New Roman" w:hAnsi="Times New Roman"/>
                <w:sz w:val="17"/>
                <w:szCs w:val="17"/>
                <w:color w:val="auto"/>
              </w:rPr>
              <w:t>Activities associated with transitioning operations</w:t>
            </w:r>
            <w:r>
              <w:rPr>
                <w:rFonts w:ascii="Times New Roman" w:cs="Times New Roman" w:eastAsia="Times New Roman" w:hAnsi="Times New Roman"/>
                <w:sz w:val="22"/>
                <w:szCs w:val="22"/>
                <w:color w:val="auto"/>
                <w:vertAlign w:val="superscript"/>
              </w:rPr>
              <w:t>(d)</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612</w:t>
            </w:r>
          </w:p>
        </w:tc>
      </w:tr>
      <w:tr>
        <w:trPr>
          <w:trHeight w:val="219"/>
        </w:trPr>
        <w:tc>
          <w:tcPr>
            <w:tcW w:w="6400" w:type="dxa"/>
            <w:vAlign w:val="bottom"/>
          </w:tcPr>
          <w:p>
            <w:pPr>
              <w:ind w:left="440"/>
              <w:spacing w:after="0" w:line="219" w:lineRule="exact"/>
              <w:rPr>
                <w:sz w:val="20"/>
                <w:szCs w:val="20"/>
                <w:color w:val="auto"/>
              </w:rPr>
            </w:pPr>
            <w:r>
              <w:rPr>
                <w:rFonts w:ascii="Times New Roman" w:cs="Times New Roman" w:eastAsia="Times New Roman" w:hAnsi="Times New Roman"/>
                <w:sz w:val="17"/>
                <w:szCs w:val="17"/>
                <w:color w:val="auto"/>
              </w:rPr>
              <w:t>Transition services costs</w:t>
            </w:r>
            <w:r>
              <w:rPr>
                <w:rFonts w:ascii="Times New Roman" w:cs="Times New Roman" w:eastAsia="Times New Roman" w:hAnsi="Times New Roman"/>
                <w:sz w:val="22"/>
                <w:szCs w:val="22"/>
                <w:color w:val="auto"/>
                <w:vertAlign w:val="superscript"/>
              </w:rPr>
              <w:t>(e)</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400" w:type="dxa"/>
            <w:vAlign w:val="bottom"/>
            <w:shd w:val="clear" w:color="auto" w:fill="CCEEFF"/>
          </w:tcPr>
          <w:p>
            <w:pPr>
              <w:ind w:left="440"/>
              <w:spacing w:after="0" w:line="219" w:lineRule="exact"/>
              <w:rPr>
                <w:sz w:val="20"/>
                <w:szCs w:val="20"/>
                <w:color w:val="auto"/>
              </w:rPr>
            </w:pPr>
            <w:r>
              <w:rPr>
                <w:rFonts w:ascii="Times New Roman" w:cs="Times New Roman" w:eastAsia="Times New Roman" w:hAnsi="Times New Roman"/>
                <w:sz w:val="17"/>
                <w:szCs w:val="17"/>
                <w:color w:val="auto"/>
              </w:rPr>
              <w:t>Unusual, non-recurring, or redundant charges</w:t>
            </w:r>
            <w:r>
              <w:rPr>
                <w:rFonts w:ascii="Times New Roman" w:cs="Times New Roman" w:eastAsia="Times New Roman" w:hAnsi="Times New Roman"/>
                <w:sz w:val="22"/>
                <w:szCs w:val="22"/>
                <w:color w:val="auto"/>
                <w:vertAlign w:val="superscript"/>
              </w:rPr>
              <w:t>(f)</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2,575</w:t>
            </w:r>
          </w:p>
        </w:tc>
      </w:tr>
      <w:tr>
        <w:trPr>
          <w:trHeight w:val="219"/>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Add: Net income attributable to noncontrolling interest</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531</w:t>
            </w:r>
          </w:p>
        </w:tc>
      </w:tr>
      <w:tr>
        <w:trPr>
          <w:trHeight w:val="237"/>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51,886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38,116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25,169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200" w:lineRule="exact"/>
        <w:rPr>
          <w:sz w:val="20"/>
          <w:szCs w:val="20"/>
          <w:color w:val="auto"/>
        </w:rPr>
      </w:pPr>
    </w:p>
    <w:p>
      <w:pPr>
        <w:spacing w:after="0" w:line="202" w:lineRule="exact"/>
        <w:rPr>
          <w:sz w:val="20"/>
          <w:szCs w:val="20"/>
          <w:color w:val="auto"/>
        </w:rPr>
      </w:pPr>
    </w:p>
    <w:p>
      <w:pPr>
        <w:ind w:left="460" w:hanging="440"/>
        <w:spacing w:after="0"/>
        <w:tabs>
          <w:tab w:leader="none" w:pos="4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results related to start-up operations. This amount excludes rent and depreciation and amortization expense related to such operations.</w:t>
      </w:r>
    </w:p>
    <w:p>
      <w:pPr>
        <w:spacing w:after="0" w:line="45" w:lineRule="exact"/>
        <w:rPr>
          <w:rFonts w:ascii="Times New Roman" w:cs="Times New Roman" w:eastAsia="Times New Roman" w:hAnsi="Times New Roman"/>
          <w:sz w:val="14"/>
          <w:szCs w:val="14"/>
          <w:color w:val="auto"/>
        </w:rPr>
      </w:pPr>
    </w:p>
    <w:p>
      <w:pPr>
        <w:ind w:left="460" w:right="320" w:hanging="440"/>
        <w:spacing w:after="0" w:line="275" w:lineRule="auto"/>
        <w:tabs>
          <w:tab w:leader="none" w:pos="4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Share-based compensation expense and related payroll taxes incurred. Share-based compensation expense and related payroll taxes are included in cost of services and general and administrative expense.</w:t>
      </w:r>
    </w:p>
    <w:p>
      <w:pPr>
        <w:spacing w:after="0" w:line="17" w:lineRule="exact"/>
        <w:rPr>
          <w:rFonts w:ascii="Times New Roman" w:cs="Times New Roman" w:eastAsia="Times New Roman" w:hAnsi="Times New Roman"/>
          <w:sz w:val="14"/>
          <w:szCs w:val="14"/>
          <w:color w:val="auto"/>
        </w:rPr>
      </w:pPr>
    </w:p>
    <w:p>
      <w:pPr>
        <w:ind w:left="460" w:hanging="440"/>
        <w:spacing w:after="0"/>
        <w:tabs>
          <w:tab w:leader="none" w:pos="4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Non-capitalizable costs associated with acquisitions and write-offs for amounts in dispute with the prior owners of certain acquired operations.</w:t>
      </w:r>
    </w:p>
    <w:p>
      <w:pPr>
        <w:spacing w:after="0" w:line="58" w:lineRule="exact"/>
        <w:rPr>
          <w:rFonts w:ascii="Times New Roman" w:cs="Times New Roman" w:eastAsia="Times New Roman" w:hAnsi="Times New Roman"/>
          <w:sz w:val="14"/>
          <w:szCs w:val="14"/>
          <w:color w:val="auto"/>
        </w:rPr>
      </w:pPr>
    </w:p>
    <w:p>
      <w:pPr>
        <w:jc w:val="both"/>
        <w:ind w:left="460" w:right="320" w:hanging="440"/>
        <w:spacing w:after="0" w:line="253" w:lineRule="auto"/>
        <w:tabs>
          <w:tab w:leader="none" w:pos="4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year ended December 31, 2023, an affiliate of the Company placed its memory care units into transition and is converting the facility into an assisted living community. We received insurance proceeds related to the property in 2024 and 2025 which were recorded in gain on disposition of property and equipment, net on the consolidated statements of income. The amounts reported exclude rent and depreciation and amortization expense related to such operations.</w:t>
      </w:r>
    </w:p>
    <w:p>
      <w:pPr>
        <w:spacing w:after="0" w:line="32" w:lineRule="exact"/>
        <w:rPr>
          <w:rFonts w:ascii="Times New Roman" w:cs="Times New Roman" w:eastAsia="Times New Roman" w:hAnsi="Times New Roman"/>
          <w:sz w:val="14"/>
          <w:szCs w:val="14"/>
          <w:color w:val="auto"/>
        </w:rPr>
      </w:pPr>
    </w:p>
    <w:p>
      <w:pPr>
        <w:ind w:left="460" w:right="320" w:hanging="440"/>
        <w:spacing w:after="0" w:line="275" w:lineRule="auto"/>
        <w:tabs>
          <w:tab w:leader="none" w:pos="4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identified as redundant or non-recurring incurred by the Company as a result of the transition services agreement between the Company and UnitedHealth entered into as part of the acquisition agreement. All amounts are included in Cost of services. Fees incurred under the transition services agreement were $3,001 for the year ended December 31, 2025.</w:t>
      </w:r>
    </w:p>
    <w:p>
      <w:pPr>
        <w:spacing w:after="0" w:line="17" w:lineRule="exact"/>
        <w:rPr>
          <w:rFonts w:ascii="Times New Roman" w:cs="Times New Roman" w:eastAsia="Times New Roman" w:hAnsi="Times New Roman"/>
          <w:sz w:val="14"/>
          <w:szCs w:val="14"/>
          <w:color w:val="auto"/>
        </w:rPr>
      </w:pPr>
    </w:p>
    <w:p>
      <w:pPr>
        <w:ind w:left="460" w:right="320" w:hanging="440"/>
        <w:spacing w:after="0" w:line="275" w:lineRule="auto"/>
        <w:tabs>
          <w:tab w:leader="none" w:pos="46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unusual, non-recurring, or redundant charges for legal services, implementation costs, integration costs, and consulting fees in general and administrative and cost of services expenses.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segment depreciation expense</w:t>
            </w:r>
          </w:p>
        </w:tc>
        <w:tc>
          <w:tcPr>
            <w:tcW w:w="2540" w:type="dxa"/>
            <w:vAlign w:val="bottom"/>
          </w:tcPr>
          <w:p>
            <w:pPr>
              <w:spacing w:after="0"/>
              <w:rPr>
                <w:sz w:val="17"/>
                <w:szCs w:val="17"/>
                <w:color w:val="auto"/>
              </w:rPr>
            </w:pPr>
          </w:p>
        </w:tc>
        <w:tc>
          <w:tcPr>
            <w:tcW w:w="160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Home Health and</w:t>
            </w:r>
          </w:p>
        </w:tc>
        <w:tc>
          <w:tcPr>
            <w:tcW w:w="18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Senior Living Services</w:t>
            </w:r>
          </w:p>
        </w:tc>
        <w:tc>
          <w:tcPr>
            <w:tcW w:w="0" w:type="dxa"/>
            <w:vAlign w:val="bottom"/>
          </w:tcPr>
          <w:p>
            <w:pPr>
              <w:spacing w:after="0"/>
              <w:rPr>
                <w:sz w:val="1"/>
                <w:szCs w:val="1"/>
                <w:color w:val="auto"/>
              </w:rPr>
            </w:pPr>
          </w:p>
        </w:tc>
      </w:tr>
      <w:tr>
        <w:trPr>
          <w:trHeight w:val="227"/>
        </w:trPr>
        <w:tc>
          <w:tcPr>
            <w:tcW w:w="5300" w:type="dxa"/>
            <w:vAlign w:val="bottom"/>
            <w:vMerge w:val="continue"/>
          </w:tcPr>
          <w:p>
            <w:pPr>
              <w:spacing w:after="0"/>
              <w:rPr>
                <w:sz w:val="19"/>
                <w:szCs w:val="19"/>
                <w:color w:val="auto"/>
              </w:rPr>
            </w:pPr>
          </w:p>
        </w:tc>
        <w:tc>
          <w:tcPr>
            <w:tcW w:w="2540" w:type="dxa"/>
            <w:vAlign w:val="bottom"/>
          </w:tcPr>
          <w:p>
            <w:pPr>
              <w:spacing w:after="0"/>
              <w:rPr>
                <w:sz w:val="19"/>
                <w:szCs w:val="19"/>
                <w:color w:val="auto"/>
              </w:rPr>
            </w:pPr>
          </w:p>
        </w:tc>
        <w:tc>
          <w:tcPr>
            <w:tcW w:w="160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Hospice Services</w:t>
            </w:r>
          </w:p>
        </w:tc>
        <w:tc>
          <w:tcPr>
            <w:tcW w:w="1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Ended December 31, 2025</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1,066</w:t>
            </w:r>
          </w:p>
        </w:tc>
        <w:tc>
          <w:tcPr>
            <w:tcW w:w="76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4,740</w:t>
            </w:r>
          </w:p>
        </w:tc>
        <w:tc>
          <w:tcPr>
            <w:tcW w:w="0" w:type="dxa"/>
            <w:vAlign w:val="bottom"/>
          </w:tcPr>
          <w:p>
            <w:pPr>
              <w:spacing w:after="0"/>
              <w:rPr>
                <w:sz w:val="1"/>
                <w:szCs w:val="1"/>
                <w:color w:val="auto"/>
              </w:rPr>
            </w:pPr>
          </w:p>
        </w:tc>
      </w:tr>
      <w:tr>
        <w:trPr>
          <w:trHeight w:val="219"/>
        </w:trPr>
        <w:tc>
          <w:tcPr>
            <w:tcW w:w="5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31, 2024</w:t>
            </w:r>
          </w:p>
        </w:tc>
        <w:tc>
          <w:tcPr>
            <w:tcW w:w="2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870</w:t>
            </w:r>
          </w:p>
        </w:tc>
        <w:tc>
          <w:tcPr>
            <w:tcW w:w="760" w:type="dxa"/>
            <w:vAlign w:val="bottom"/>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4,107</w:t>
            </w:r>
          </w:p>
        </w:tc>
        <w:tc>
          <w:tcPr>
            <w:tcW w:w="0" w:type="dxa"/>
            <w:vAlign w:val="bottom"/>
          </w:tcPr>
          <w:p>
            <w:pPr>
              <w:spacing w:after="0"/>
              <w:rPr>
                <w:sz w:val="1"/>
                <w:szCs w:val="1"/>
                <w:color w:val="auto"/>
              </w:rPr>
            </w:pPr>
          </w:p>
        </w:tc>
      </w:tr>
      <w:tr>
        <w:trPr>
          <w:trHeight w:val="219"/>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Ended December 31, 2023</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1,208</w:t>
            </w:r>
          </w:p>
        </w:tc>
        <w:tc>
          <w:tcPr>
            <w:tcW w:w="76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3,452</w:t>
            </w:r>
          </w:p>
        </w:tc>
        <w:tc>
          <w:tcPr>
            <w:tcW w:w="0" w:type="dxa"/>
            <w:vAlign w:val="bottom"/>
          </w:tcPr>
          <w:p>
            <w:pPr>
              <w:spacing w:after="0"/>
              <w:rPr>
                <w:sz w:val="1"/>
                <w:szCs w:val="1"/>
                <w:color w:val="auto"/>
              </w:rPr>
            </w:pPr>
          </w:p>
        </w:tc>
      </w:tr>
    </w:tbl>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ACQUISITIONS</w:t>
      </w:r>
    </w:p>
    <w:p>
      <w:pPr>
        <w:spacing w:after="0" w:line="5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Company’s acquisition focus is to purchase or lease operations that are complementary to the Company’s current businesses, accretive to the Company’s business, or otherwise advance the Company’s strategy. The results of all the Company’s independent operating subsidiaries are included in the Financial Statements subsequent to the date of acquisition. Acquisitions are accounted for using the acquisition method of accounting.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2025 Acquisitions</w:t>
      </w:r>
    </w:p>
    <w:p>
      <w:pPr>
        <w:spacing w:after="0" w:line="249"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During the year ended December 31, 2025, the Company expanded its operations with the addition of thirty home health agencies, nine hospice agencies, four home care agencies, and six senior living communities. The Company also acquired the real estate of three of the six acquired senior living communities. The aggregate purchase price of the real estate of the three senior living communities acquired was $10,968, which consisted primarily of land and buildings and were accounted for as asset acquisitions. In connection with the remaining senior living communities acquired, the Company entered into new long-term “triple-net” leases. A subsidiary of the Company entered into a separate operations transfer agreement with the prior operator of each acquired operation as part of each transaction. These new communities included 468 operational senior living units to be operated by the Company's independent operating subsidiaries.</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fair values for the identified tradenames were estimated using the relief from royalty method, which values the assets by estimating the savings achieved by ownership of the tradenames when compared with the cost of licensing them from an independent owner. The fair values of Medicare and Medicaid licenses were estimated using the income approach. Under the income approach, the fair value reflects the present value of the projected cash flows that are expected to be generated.</w:t>
      </w:r>
    </w:p>
    <w:p>
      <w:pPr>
        <w:spacing w:after="0" w:line="19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 xml:space="preserve">Five home health agencies and four hospice agencies were acquired on January 1, 2025, when the Company closed the second part of its planned acquisition of certain Signature Group, LLC operations. The transaction was classified as a business combination in accordance with ASC Topic 805,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Combinations </w:t>
      </w:r>
      <w:r>
        <w:rPr>
          <w:rFonts w:ascii="Times New Roman" w:cs="Times New Roman" w:eastAsia="Times New Roman" w:hAnsi="Times New Roman"/>
          <w:sz w:val="17"/>
          <w:szCs w:val="17"/>
          <w:color w:val="auto"/>
        </w:rPr>
        <w:t>(“ASC 805”). The aggregate purchase price for the business combination, paid through cash and acquired liabilities of $860, was $48,480,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consisted of goodwill of $27,480, indefinite-lived intangible assets of $16,300 related to Medicare and Medicaid licenses, and trade names of $4,700. The Company anticipates that the total goodwill recognized will be fully deductible for tax purposes. The Signature Group, LLC acquisition contributed $64,988 in revenue and operating income of $11,716 during the year ended December 31, 2025.</w:t>
      </w:r>
    </w:p>
    <w:p>
      <w:pPr>
        <w:spacing w:after="0" w:line="19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On July 1, 2025, the Company acquired three home health agencies. On September 1, 2025, the Company acquired one home health agency. These transactions were classified as a business combination in accordance with ASC 805. The aggregate purchase price for the business combinations was $9,200, which consisted of goodwill of $4,930, indefinite-lived intangible assets of $3,275 related to Medicare and Medicaid licenses, and trade names of $995. The Company anticipates that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the total goodwill recognized will be fully deductible for tax purposes. The acquisitions contributed $8,706 in revenue and operating income of $1,210 during the year ended December 31, 2025.</w:t>
      </w:r>
    </w:p>
    <w:p>
      <w:pPr>
        <w:spacing w:after="0" w:line="17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On October 1, 2025, the Company consummated the previous announced acquisition between the Company and UnitedHealth Group Incorporated (“UnitedHealth”), Amedisys, Inc. (“Amedisys”) and certain other sellers. Through the completed acquisition, the Company acquired twenty-one home health agencies, five hospice agencies, and four home care agencies, geographically spread across 54 locations in Tennessee, Georgia, and Alabama. The acquisition includes 67% ownership in a joint venture. The transaction was classified as business combination in accordance with ASC 805. The Company anticipates that the total goodwill recognized will be fully deductible for tax purposes. The Company and UnitedHealth have a transition services agreement in place. The acquired UnitedHealth and Amedisys operations contributed $51,079 in revenue and operating income of $5,332 during the year ended December 31, 2025. The Company recognized $5,694 in acquisition costs related to the transaction.</w:t>
      </w:r>
    </w:p>
    <w:p>
      <w:pPr>
        <w:spacing w:after="0" w:line="20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table sets forth a preliminary allocation of the purchase price to the identifiable tangible and intangible assets acquired and liabilities assumed of the acquired UnitedHealth and Amedisys operations: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Preliminary purchase price consideration transferred</w:t>
            </w:r>
          </w:p>
        </w:tc>
        <w:tc>
          <w:tcPr>
            <w:tcW w:w="72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147,204</w:t>
            </w:r>
          </w:p>
        </w:tc>
      </w:tr>
      <w:tr>
        <w:trPr>
          <w:trHeight w:val="180"/>
        </w:trPr>
        <w:tc>
          <w:tcPr>
            <w:tcW w:w="20" w:type="dxa"/>
            <w:vAlign w:val="bottom"/>
          </w:tcPr>
          <w:p>
            <w:pPr>
              <w:spacing w:after="0"/>
              <w:rPr>
                <w:sz w:val="15"/>
                <w:szCs w:val="15"/>
                <w:color w:val="auto"/>
              </w:rPr>
            </w:pPr>
          </w:p>
        </w:tc>
        <w:tc>
          <w:tcPr>
            <w:tcW w:w="926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Assets acquired:</w:t>
            </w:r>
          </w:p>
        </w:tc>
        <w:tc>
          <w:tcPr>
            <w:tcW w:w="7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8"/>
        </w:trPr>
        <w:tc>
          <w:tcPr>
            <w:tcW w:w="20" w:type="dxa"/>
            <w:vAlign w:val="bottom"/>
            <w:shd w:val="clear" w:color="auto" w:fill="CCEEFF"/>
          </w:tcPr>
          <w:p>
            <w:pPr>
              <w:spacing w:after="0"/>
              <w:rPr>
                <w:sz w:val="19"/>
                <w:szCs w:val="19"/>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18,608</w:t>
            </w:r>
          </w:p>
        </w:tc>
      </w:tr>
      <w:tr>
        <w:trPr>
          <w:trHeight w:val="219"/>
        </w:trPr>
        <w:tc>
          <w:tcPr>
            <w:tcW w:w="92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7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w:t>
            </w:r>
          </w:p>
        </w:tc>
      </w:tr>
      <w:tr>
        <w:trPr>
          <w:trHeight w:val="219"/>
        </w:trPr>
        <w:tc>
          <w:tcPr>
            <w:tcW w:w="9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w:t>
            </w: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6,197</w:t>
            </w:r>
          </w:p>
        </w:tc>
      </w:tr>
      <w:tr>
        <w:trPr>
          <w:trHeight w:val="219"/>
        </w:trPr>
        <w:tc>
          <w:tcPr>
            <w:tcW w:w="92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Restricted and other assets</w:t>
            </w:r>
          </w:p>
        </w:tc>
        <w:tc>
          <w:tcPr>
            <w:tcW w:w="7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w:t>
            </w:r>
          </w:p>
        </w:tc>
      </w:tr>
      <w:tr>
        <w:trPr>
          <w:trHeight w:val="219"/>
        </w:trPr>
        <w:tc>
          <w:tcPr>
            <w:tcW w:w="9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Indefinite-lived intangibles</w:t>
            </w: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77,990</w:t>
            </w:r>
          </w:p>
        </w:tc>
      </w:tr>
      <w:tr>
        <w:trPr>
          <w:trHeight w:val="219"/>
        </w:trPr>
        <w:tc>
          <w:tcPr>
            <w:tcW w:w="928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7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75,712</w:t>
            </w:r>
          </w:p>
        </w:tc>
      </w:tr>
      <w:tr>
        <w:trPr>
          <w:trHeight w:val="212"/>
        </w:trPr>
        <w:tc>
          <w:tcPr>
            <w:tcW w:w="20" w:type="dxa"/>
            <w:vAlign w:val="bottom"/>
            <w:shd w:val="clear" w:color="auto" w:fill="CCEEFF"/>
          </w:tcPr>
          <w:p>
            <w:pPr>
              <w:spacing w:after="0"/>
              <w:rPr>
                <w:sz w:val="18"/>
                <w:szCs w:val="18"/>
                <w:color w:val="auto"/>
              </w:rPr>
            </w:pPr>
          </w:p>
        </w:tc>
        <w:tc>
          <w:tcPr>
            <w:tcW w:w="9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preliminary fair value of assets acquired</w:t>
            </w:r>
          </w:p>
        </w:tc>
        <w:tc>
          <w:tcPr>
            <w:tcW w:w="7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179,543</w:t>
            </w:r>
          </w:p>
        </w:tc>
      </w:tr>
      <w:tr>
        <w:trPr>
          <w:trHeight w:val="180"/>
        </w:trPr>
        <w:tc>
          <w:tcPr>
            <w:tcW w:w="20" w:type="dxa"/>
            <w:vAlign w:val="bottom"/>
          </w:tcPr>
          <w:p>
            <w:pPr>
              <w:spacing w:after="0"/>
              <w:rPr>
                <w:sz w:val="15"/>
                <w:szCs w:val="15"/>
                <w:color w:val="auto"/>
              </w:rPr>
            </w:pPr>
          </w:p>
        </w:tc>
        <w:tc>
          <w:tcPr>
            <w:tcW w:w="9260" w:type="dxa"/>
            <w:vAlign w:val="bottom"/>
            <w:gridSpan w:val="3"/>
          </w:tcPr>
          <w:p>
            <w:pPr>
              <w:spacing w:after="0" w:line="181" w:lineRule="exact"/>
              <w:rPr>
                <w:sz w:val="20"/>
                <w:szCs w:val="20"/>
                <w:color w:val="auto"/>
              </w:rPr>
            </w:pPr>
            <w:r>
              <w:rPr>
                <w:rFonts w:ascii="Times New Roman" w:cs="Times New Roman" w:eastAsia="Times New Roman" w:hAnsi="Times New Roman"/>
                <w:sz w:val="17"/>
                <w:szCs w:val="17"/>
                <w:b w:val="1"/>
                <w:bCs w:val="1"/>
                <w:color w:val="auto"/>
              </w:rPr>
              <w:t>Liabilities assumed:</w:t>
            </w:r>
          </w:p>
        </w:tc>
        <w:tc>
          <w:tcPr>
            <w:tcW w:w="72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9"/>
        </w:trPr>
        <w:tc>
          <w:tcPr>
            <w:tcW w:w="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8"/>
        </w:trPr>
        <w:tc>
          <w:tcPr>
            <w:tcW w:w="20" w:type="dxa"/>
            <w:vAlign w:val="bottom"/>
            <w:shd w:val="clear" w:color="auto" w:fill="CCEEFF"/>
          </w:tcPr>
          <w:p>
            <w:pPr>
              <w:spacing w:after="0"/>
              <w:rPr>
                <w:sz w:val="19"/>
                <w:szCs w:val="19"/>
                <w:color w:val="auto"/>
              </w:rPr>
            </w:pPr>
          </w:p>
        </w:tc>
        <w:tc>
          <w:tcPr>
            <w:tcW w:w="9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wages and related liabilities</w:t>
            </w:r>
          </w:p>
        </w:tc>
        <w:tc>
          <w:tcPr>
            <w:tcW w:w="72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3,556</w:t>
            </w:r>
          </w:p>
        </w:tc>
      </w:tr>
      <w:tr>
        <w:trPr>
          <w:trHeight w:val="219"/>
        </w:trPr>
        <w:tc>
          <w:tcPr>
            <w:tcW w:w="20" w:type="dxa"/>
            <w:vAlign w:val="bottom"/>
          </w:tcPr>
          <w:p>
            <w:pPr>
              <w:spacing w:after="0"/>
              <w:rPr>
                <w:sz w:val="19"/>
                <w:szCs w:val="19"/>
                <w:color w:val="auto"/>
              </w:rPr>
            </w:pPr>
          </w:p>
        </w:tc>
        <w:tc>
          <w:tcPr>
            <w:tcW w:w="92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Lease liabilities—current</w:t>
            </w:r>
          </w:p>
        </w:tc>
        <w:tc>
          <w:tcPr>
            <w:tcW w:w="7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2,344</w:t>
            </w:r>
          </w:p>
        </w:tc>
      </w:tr>
      <w:tr>
        <w:trPr>
          <w:trHeight w:val="219"/>
        </w:trPr>
        <w:tc>
          <w:tcPr>
            <w:tcW w:w="9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7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3,507</w:t>
            </w:r>
          </w:p>
        </w:tc>
      </w:tr>
      <w:tr>
        <w:trPr>
          <w:trHeight w:val="219"/>
        </w:trPr>
        <w:tc>
          <w:tcPr>
            <w:tcW w:w="92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Long-term lease liabilities—less current portion</w:t>
            </w:r>
          </w:p>
        </w:tc>
        <w:tc>
          <w:tcPr>
            <w:tcW w:w="7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3,854</w:t>
            </w:r>
          </w:p>
        </w:tc>
      </w:tr>
      <w:tr>
        <w:trPr>
          <w:trHeight w:val="219"/>
        </w:trPr>
        <w:tc>
          <w:tcPr>
            <w:tcW w:w="9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7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w:t>
            </w:r>
          </w:p>
        </w:tc>
      </w:tr>
      <w:tr>
        <w:trPr>
          <w:trHeight w:val="212"/>
        </w:trPr>
        <w:tc>
          <w:tcPr>
            <w:tcW w:w="20" w:type="dxa"/>
            <w:vAlign w:val="bottom"/>
            <w:tcBorders>
              <w:bottom w:val="single" w:sz="8" w:color="CCEEFF"/>
            </w:tcBorders>
          </w:tcPr>
          <w:p>
            <w:pPr>
              <w:spacing w:after="0"/>
              <w:rPr>
                <w:sz w:val="18"/>
                <w:szCs w:val="18"/>
                <w:color w:val="auto"/>
              </w:rPr>
            </w:pPr>
          </w:p>
        </w:tc>
        <w:tc>
          <w:tcPr>
            <w:tcW w:w="926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7"/>
                <w:szCs w:val="17"/>
                <w:color w:val="auto"/>
              </w:rPr>
              <w:t>Total preliminary fair value of liabilities assumed</w:t>
            </w:r>
          </w:p>
        </w:tc>
        <w:tc>
          <w:tcPr>
            <w:tcW w:w="7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13,557</w:t>
            </w:r>
          </w:p>
        </w:tc>
      </w:tr>
      <w:tr>
        <w:trPr>
          <w:trHeight w:val="212"/>
        </w:trPr>
        <w:tc>
          <w:tcPr>
            <w:tcW w:w="92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 of acquired net assets</w:t>
            </w:r>
          </w:p>
        </w:tc>
        <w:tc>
          <w:tcPr>
            <w:tcW w:w="7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18,781</w:t>
            </w:r>
          </w:p>
        </w:tc>
      </w:tr>
      <w:tr>
        <w:trPr>
          <w:trHeight w:val="212"/>
        </w:trPr>
        <w:tc>
          <w:tcPr>
            <w:tcW w:w="92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Preliminary fair value of net assets acquired</w:t>
            </w:r>
          </w:p>
        </w:tc>
        <w:tc>
          <w:tcPr>
            <w:tcW w:w="72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147,205</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purchase price is subject to further adjustment based on final working capital and other closing considerations to be determined following the transaction’s close. The areas that remain provisional primarily relate to (i) the assessment of accounts receivable, (ii) income taxes, (iii) accrued liabilities, and (iv) the finalization of net working capital, which will be settled during 2026 and may impact the total purchase consideration.</w:t>
      </w:r>
    </w:p>
    <w:p>
      <w:pPr>
        <w:spacing w:after="0" w:line="191"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There were no material acquisition costs that were incurred related to the business combinations during the year ended December 31, 2025, apart from the UnitedHealth and Amedisys acquisition noted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2024 Acquisitions</w:t>
      </w:r>
    </w:p>
    <w:p>
      <w:pPr>
        <w:spacing w:after="0" w:line="249"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During the year ended December 31, 2024, the Company expanded its operations with the addition of eight home health agencies, three hospice agencies, and six senior living communities. The Company also acquired the real estate of two of the six acquired senior living communities. In connection with the remaining senior living communities acquired, the Company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entered into new long-term “triple-net” leases. A subsidiary of the Company entered into a separate operations transfer agreement with the prior operator of each acquired operation as part of each transaction.</w:t>
      </w:r>
    </w:p>
    <w:p>
      <w:pPr>
        <w:spacing w:after="0" w:line="17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One of the home health agencies was added through a joint venture, which is majority-owned and managed by an independent operating subsidiary of the Company and provides home health services to patients throughout the San Francisco east bay region. There were no material acquisition costs that were expensed related to the business combinations during the year ended December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2023 Acquisitions</w:t>
      </w:r>
    </w:p>
    <w:p>
      <w:pPr>
        <w:spacing w:after="0" w:line="249"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During the year ended December 31, 2023, the Company expanded its operations with the addition of three home health agencies, eight hospice agencies, two home care agencies, and two senior living communities. In connection with the addition of the two senior living communities, the Company entered into a new long-term “triple-net” lease. A subsidiary of the Company entered into a separate operations transfer agreement with the prior operator of each acquired operation as part of each transaction.</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were no material acquisition costs that were expensed related to the business combinations during the year ended December 31, 2023.</w:t>
      </w:r>
    </w:p>
    <w:p>
      <w:pPr>
        <w:spacing w:after="0" w:line="243"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fair value of assets for home health and hospice acquisitions was mostly concentrated in goodwill and as such, these transactions were classified as business combinations in accordance with ASC 805. The table below presents the allocation of the purchase price for the operations acquired in acquisitions during the years ended December 31, 2025, 2024, and 2023 as noted above: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r>
      <w:tr>
        <w:trPr>
          <w:trHeight w:val="212"/>
        </w:trPr>
        <w:tc>
          <w:tcPr>
            <w:tcW w:w="6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 net</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18,608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11,326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108,122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11,517</w:t>
            </w:r>
          </w:p>
        </w:tc>
      </w:tr>
      <w:tr>
        <w:trPr>
          <w:trHeight w:val="219"/>
        </w:trPr>
        <w:tc>
          <w:tcPr>
            <w:tcW w:w="6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indefinite-lived intangible assets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103,260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8,914</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w:t>
            </w:r>
          </w:p>
        </w:tc>
      </w:tr>
      <w:tr>
        <w:trPr>
          <w:trHeight w:val="219"/>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Liabilities assumed</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(7,603)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12"/>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acquisitions</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233,774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75,123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21,376</w:t>
            </w:r>
          </w:p>
        </w:tc>
      </w:tr>
      <w:tr>
        <w:trPr>
          <w:trHeight w:val="219"/>
        </w:trPr>
        <w:tc>
          <w:tcPr>
            <w:tcW w:w="63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Less: noncontrolling interest</w:t>
            </w:r>
            <w:r>
              <w:rPr>
                <w:rFonts w:ascii="Times New Roman" w:cs="Times New Roman" w:eastAsia="Times New Roman" w:hAnsi="Times New Roman"/>
                <w:sz w:val="22"/>
                <w:szCs w:val="22"/>
                <w:color w:val="auto"/>
                <w:vertAlign w:val="superscript"/>
              </w:rPr>
              <w:t>(a)</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additional paid in capital</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3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Less: cash paid in prior year (held in escrow)</w:t>
            </w:r>
            <w:r>
              <w:rPr>
                <w:rFonts w:ascii="Times New Roman" w:cs="Times New Roman" w:eastAsia="Times New Roman" w:hAnsi="Times New Roman"/>
                <w:sz w:val="22"/>
                <w:szCs w:val="22"/>
                <w:color w:val="auto"/>
                <w:vertAlign w:val="superscript"/>
              </w:rPr>
              <w:t>(b)</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cash paid for acquisitions</w:t>
            </w: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213,984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59,796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21,376</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460" w:hanging="440"/>
        <w:spacing w:after="0"/>
        <w:tabs>
          <w:tab w:leader="none" w:pos="4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noncontrolling interest related to the joint ventures acquired.</w:t>
      </w:r>
    </w:p>
    <w:p>
      <w:pPr>
        <w:spacing w:after="0" w:line="32" w:lineRule="exact"/>
        <w:rPr>
          <w:rFonts w:ascii="Times New Roman" w:cs="Times New Roman" w:eastAsia="Times New Roman" w:hAnsi="Times New Roman"/>
          <w:sz w:val="14"/>
          <w:szCs w:val="14"/>
          <w:color w:val="auto"/>
        </w:rPr>
      </w:pPr>
    </w:p>
    <w:p>
      <w:pPr>
        <w:ind w:left="460" w:hanging="440"/>
        <w:spacing w:after="0"/>
        <w:tabs>
          <w:tab w:leader="none" w:pos="4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cash paid for acquisitions for the year ended December 31, 2025 includes $1,009 as an escrow deposit that was paid in the prior year.</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Supplemental Pro Forma Information (Unaudited)</w:t>
      </w:r>
    </w:p>
    <w:p>
      <w:pPr>
        <w:spacing w:after="0" w:line="249"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The financial information in the table below summarizes the combined results of operations of The Pennant Group Inc. and the acquired UnitedHealth and Amedisys operations, on a pro forma basis, as though the companies had been combined as of January 1, 2024. The unaudited supplemental pro forma information is presented for informational purposes only and is not indicative of the actual results of operations that would have been achieved if the UnitedHealth and Amedisys acquisitions had taken place on January 1, 2024 or of future results. Such unaudited pro forma financial information is based on the historical financial statements of The Pennant Group, Inc. and the acquired UnitedHealth and Amedisys operations. The unaudited pro forma financial information is based on estimates and assumptions that have been made solely for the purpose of developing such unaudited pro forma financial information, including, without limitation, purchase accounting adjustments, acquisition related transaction costs, and debt financing adjustments together with their consequential tax effects. The pro forma adjustments were based upon information available at the time they were prepared and certain assumptions that the Company believes are reasonable under the circumstances. The unaudited pro forma financial information does not reflect any anticipated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synergies or operating cost reductions that may be achieved from integrating the acquired UnitedHealth and Amedisys operations into the rest of the Company.</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unaudited supplemental pro forma financial information for periods presented herein are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6"/>
          </w:tcPr>
          <w:p>
            <w:pPr>
              <w:jc w:val="right"/>
              <w:ind w:right="43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r>
      <w:tr>
        <w:trPr>
          <w:trHeight w:val="212"/>
        </w:trPr>
        <w:tc>
          <w:tcPr>
            <w:tcW w:w="72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1,099,996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879,290</w:t>
            </w:r>
          </w:p>
        </w:tc>
      </w:tr>
      <w:tr>
        <w:trPr>
          <w:trHeight w:val="223"/>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attributable to The Pennant Group, Inc.</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8"/>
              </w:rPr>
              <w:t>33,691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29,171</w:t>
            </w:r>
          </w:p>
        </w:tc>
      </w:tr>
      <w:tr>
        <w:trPr>
          <w:trHeight w:val="796"/>
        </w:trPr>
        <w:tc>
          <w:tcPr>
            <w:tcW w:w="72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8. PROPERTY AND EQUIPMENT, NET</w:t>
            </w: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8"/>
        </w:trPr>
        <w:tc>
          <w:tcPr>
            <w:tcW w:w="72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Property and equipment, net consist of the following:</w:t>
            </w: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477"/>
        </w:trPr>
        <w:tc>
          <w:tcPr>
            <w:tcW w:w="720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12"/>
        </w:trPr>
        <w:tc>
          <w:tcPr>
            <w:tcW w:w="72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Land</w:t>
            </w:r>
          </w:p>
        </w:tc>
        <w:tc>
          <w:tcPr>
            <w:tcW w:w="108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5,632</w:t>
            </w:r>
          </w:p>
        </w:tc>
      </w:tr>
      <w:tr>
        <w:trPr>
          <w:trHeight w:val="219"/>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Building</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16,025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8,778</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25,349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21,879</w:t>
            </w:r>
          </w:p>
        </w:tc>
      </w:tr>
      <w:tr>
        <w:trPr>
          <w:trHeight w:val="219"/>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Equipment</w:t>
            </w: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37,697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31,200</w:t>
            </w:r>
          </w:p>
        </w:tc>
      </w:tr>
      <w:tr>
        <w:trPr>
          <w:trHeight w:val="219"/>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10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6,147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2,715</w:t>
            </w:r>
          </w:p>
        </w:tc>
      </w:tr>
      <w:tr>
        <w:trPr>
          <w:trHeight w:val="219"/>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Furniture and fixtures</w:t>
            </w:r>
          </w:p>
        </w:tc>
        <w:tc>
          <w:tcPr>
            <w:tcW w:w="10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1,541</w:t>
            </w:r>
          </w:p>
        </w:tc>
      </w:tr>
      <w:tr>
        <w:trPr>
          <w:trHeight w:val="212"/>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property and equipment</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96,446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71,745</w:t>
            </w:r>
          </w:p>
        </w:tc>
      </w:tr>
      <w:tr>
        <w:trPr>
          <w:trHeight w:val="219"/>
        </w:trPr>
        <w:tc>
          <w:tcPr>
            <w:tcW w:w="7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0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(35,462)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(28,449)</w:t>
            </w:r>
          </w:p>
        </w:tc>
      </w:tr>
      <w:tr>
        <w:trPr>
          <w:trHeight w:val="237"/>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1080" w:type="dxa"/>
            <w:vAlign w:val="bottom"/>
            <w:tcBorders>
              <w:bottom w:val="single" w:sz="8" w:color="auto"/>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3"/>
              </w:rPr>
              <w:t>$</w:t>
            </w:r>
          </w:p>
        </w:tc>
        <w:tc>
          <w:tcPr>
            <w:tcW w:w="18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60,984</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43,296</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Depreciation expense was $8,538, $6,119 and $5,120 for the years ended December 31, 2025, 2024, and 2023, respectively.</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GOODWILL AND INTANGIBLE ASSETS</w:t>
      </w:r>
    </w:p>
    <w:p>
      <w:pPr>
        <w:spacing w:after="0" w:line="5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 xml:space="preserve">The Company tests goodwill annually and also if events or changes in circumstances indicate the occurrence of a triggering event which might indicate there may be impairment. The Company performs its goodwill impairment analysis for each reporting unit that constitutes a component for which (1) discrete financial information is available and (2) segment management regularly reviews the operating results of that component, in accordance with the provisions of ASC Topic 350, </w:t>
      </w:r>
      <w:r>
        <w:rPr>
          <w:rFonts w:ascii="Times New Roman" w:cs="Times New Roman" w:eastAsia="Times New Roman" w:hAnsi="Times New Roman"/>
          <w:sz w:val="17"/>
          <w:szCs w:val="17"/>
          <w:i w:val="1"/>
          <w:iCs w:val="1"/>
          <w:color w:val="auto"/>
        </w:rPr>
        <w:t>Intangibles-Goodwill and Other</w:t>
      </w:r>
      <w:r>
        <w:rPr>
          <w:rFonts w:ascii="Times New Roman" w:cs="Times New Roman" w:eastAsia="Times New Roman" w:hAnsi="Times New Roman"/>
          <w:sz w:val="17"/>
          <w:szCs w:val="17"/>
          <w:color w:val="auto"/>
        </w:rPr>
        <w:t>.</w:t>
      </w:r>
    </w:p>
    <w:p>
      <w:pPr>
        <w:spacing w:after="0" w:line="19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Company reviews goodwill for impairment by initially considering qualitative factors to determine whether it is more likely than not that the fair value of a reporting unit is less than its carrying amount as a basis for determining whether it is necessary to perform a quantitative analysis. If it is determined that it is more likely than not that the fair value of a reporting unit is less than its carrying amount, a quantitative analysis is performed to identify goodwill impairment. If it is determined that it is not more likely than not that the fair value of the reporting unit is less than its carrying amount, it is unnecessary to perform a quantitative analysis. The Company may elect to bypass the qualitative assessment and proceed directly to performing a quantitative analysis. An impairment loss is recognized for the amount that the carrying amount of the reporting unit, including goodwill, exceeds its fair value, limited to the total amount of goodwill allocated to that reporting unit. The Company did not identify any impairment charges during the years ended December 31, 2025, 2024, and 2023.</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2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following table represents activity in goodwill by segment:</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Home Health and</w:t>
            </w:r>
          </w:p>
        </w:tc>
        <w:tc>
          <w:tcPr>
            <w:tcW w:w="120" w:type="dxa"/>
            <w:vAlign w:val="bottom"/>
          </w:tcPr>
          <w:p>
            <w:pPr>
              <w:spacing w:after="0"/>
              <w:rPr>
                <w:sz w:val="24"/>
                <w:szCs w:val="24"/>
                <w:color w:val="auto"/>
              </w:rPr>
            </w:pPr>
          </w:p>
        </w:tc>
        <w:tc>
          <w:tcPr>
            <w:tcW w:w="190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Senior Living Services</w:t>
            </w:r>
          </w:p>
        </w:tc>
        <w:tc>
          <w:tcPr>
            <w:tcW w:w="460" w:type="dxa"/>
            <w:vAlign w:val="bottom"/>
          </w:tcPr>
          <w:p>
            <w:pPr>
              <w:spacing w:after="0"/>
              <w:rPr>
                <w:sz w:val="24"/>
                <w:szCs w:val="24"/>
                <w:color w:val="auto"/>
              </w:rPr>
            </w:pPr>
          </w:p>
        </w:tc>
        <w:tc>
          <w:tcPr>
            <w:tcW w:w="1460" w:type="dxa"/>
            <w:vAlign w:val="bottom"/>
            <w:vMerge w:val="restart"/>
          </w:tcPr>
          <w:p>
            <w:pPr>
              <w:jc w:val="right"/>
              <w:ind w:right="674"/>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2"/>
        </w:trPr>
        <w:tc>
          <w:tcPr>
            <w:tcW w:w="5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Hospice Services</w:t>
            </w:r>
          </w:p>
        </w:tc>
        <w:tc>
          <w:tcPr>
            <w:tcW w:w="120" w:type="dxa"/>
            <w:vAlign w:val="bottom"/>
          </w:tcPr>
          <w:p>
            <w:pPr>
              <w:spacing w:after="0"/>
              <w:rPr>
                <w:sz w:val="20"/>
                <w:szCs w:val="20"/>
                <w:color w:val="auto"/>
              </w:rPr>
            </w:pPr>
          </w:p>
        </w:tc>
        <w:tc>
          <w:tcPr>
            <w:tcW w:w="1900" w:type="dxa"/>
            <w:vAlign w:val="bottom"/>
            <w:gridSpan w:val="5"/>
            <w:vMerge w:val="continue"/>
          </w:tcPr>
          <w:p>
            <w:pPr>
              <w:spacing w:after="0"/>
              <w:rPr>
                <w:sz w:val="20"/>
                <w:szCs w:val="20"/>
                <w:color w:val="auto"/>
              </w:rPr>
            </w:pPr>
          </w:p>
        </w:tc>
        <w:tc>
          <w:tcPr>
            <w:tcW w:w="460" w:type="dxa"/>
            <w:vAlign w:val="bottom"/>
          </w:tcPr>
          <w:p>
            <w:pPr>
              <w:spacing w:after="0"/>
              <w:rPr>
                <w:sz w:val="20"/>
                <w:szCs w:val="20"/>
                <w:color w:val="auto"/>
              </w:rPr>
            </w:pPr>
          </w:p>
        </w:tc>
        <w:tc>
          <w:tcPr>
            <w:tcW w:w="1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2023</w:t>
            </w:r>
          </w:p>
        </w:tc>
        <w:tc>
          <w:tcPr>
            <w:tcW w:w="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87,372</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3,642</w:t>
            </w:r>
          </w:p>
        </w:tc>
        <w:tc>
          <w:tcPr>
            <w:tcW w:w="100" w:type="dxa"/>
            <w:vAlign w:val="bottom"/>
          </w:tcPr>
          <w:p>
            <w:pPr>
              <w:spacing w:after="0"/>
              <w:rPr>
                <w:sz w:val="18"/>
                <w:szCs w:val="18"/>
                <w:color w:val="auto"/>
              </w:rPr>
            </w:pPr>
          </w:p>
        </w:tc>
        <w:tc>
          <w:tcPr>
            <w:tcW w:w="460" w:type="dxa"/>
            <w:vAlign w:val="bottom"/>
            <w:tcBorders>
              <w:top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91,014</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Additions</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38,110</w:t>
            </w:r>
          </w:p>
        </w:tc>
        <w:tc>
          <w:tcPr>
            <w:tcW w:w="0" w:type="dxa"/>
            <w:vAlign w:val="bottom"/>
          </w:tcPr>
          <w:p>
            <w:pPr>
              <w:spacing w:after="0"/>
              <w:rPr>
                <w:sz w:val="1"/>
                <w:szCs w:val="1"/>
                <w:color w:val="auto"/>
              </w:rPr>
            </w:pPr>
          </w:p>
        </w:tc>
      </w:tr>
      <w:tr>
        <w:trPr>
          <w:trHeight w:val="212"/>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2024</w:t>
            </w: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125,482</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3,642</w:t>
            </w: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129,124</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Additions</w:t>
            </w:r>
          </w:p>
        </w:tc>
        <w:tc>
          <w:tcPr>
            <w:tcW w:w="2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36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108,122</w:t>
            </w:r>
          </w:p>
        </w:tc>
        <w:tc>
          <w:tcPr>
            <w:tcW w:w="0" w:type="dxa"/>
            <w:vAlign w:val="bottom"/>
          </w:tcPr>
          <w:p>
            <w:pPr>
              <w:spacing w:after="0"/>
              <w:rPr>
                <w:sz w:val="1"/>
                <w:szCs w:val="1"/>
                <w:color w:val="auto"/>
              </w:rPr>
            </w:pPr>
          </w:p>
        </w:tc>
      </w:tr>
      <w:tr>
        <w:trPr>
          <w:trHeight w:val="212"/>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December 31, 2025</w:t>
            </w: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233,604</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8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color w:val="auto"/>
              </w:rPr>
              <w:t>3,642</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237,246</w:t>
            </w:r>
          </w:p>
        </w:tc>
        <w:tc>
          <w:tcPr>
            <w:tcW w:w="0" w:type="dxa"/>
            <w:vAlign w:val="bottom"/>
          </w:tcPr>
          <w:p>
            <w:pPr>
              <w:spacing w:after="0"/>
              <w:rPr>
                <w:sz w:val="1"/>
                <w:szCs w:val="1"/>
                <w:color w:val="auto"/>
              </w:rPr>
            </w:pPr>
          </w:p>
        </w:tc>
      </w:tr>
      <w:tr>
        <w:trPr>
          <w:trHeight w:val="20"/>
        </w:trPr>
        <w:tc>
          <w:tcPr>
            <w:tcW w:w="5280" w:type="dxa"/>
            <w:vAlign w:val="bottom"/>
            <w:vMerge w:val="restart"/>
          </w:tcPr>
          <w:p>
            <w:pPr>
              <w:ind w:left="620"/>
              <w:spacing w:after="0"/>
              <w:rPr>
                <w:sz w:val="20"/>
                <w:szCs w:val="20"/>
                <w:color w:val="auto"/>
              </w:rPr>
            </w:pPr>
            <w:r>
              <w:rPr>
                <w:rFonts w:ascii="Times New Roman" w:cs="Times New Roman" w:eastAsia="Times New Roman" w:hAnsi="Times New Roman"/>
                <w:sz w:val="17"/>
                <w:szCs w:val="17"/>
                <w:color w:val="auto"/>
              </w:rPr>
              <w:t>Other indefinite-lived intangible assets consist of the following:</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5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2"/>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Trade names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8,465</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Medicare and Medicaid licenses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181,281</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87,717</w:t>
            </w:r>
          </w:p>
        </w:tc>
        <w:tc>
          <w:tcPr>
            <w:tcW w:w="0" w:type="dxa"/>
            <w:vAlign w:val="bottom"/>
          </w:tcPr>
          <w:p>
            <w:pPr>
              <w:spacing w:after="0"/>
              <w:rPr>
                <w:sz w:val="1"/>
                <w:szCs w:val="1"/>
                <w:color w:val="auto"/>
              </w:rPr>
            </w:pPr>
          </w:p>
        </w:tc>
      </w:tr>
      <w:tr>
        <w:trPr>
          <w:trHeight w:val="212"/>
        </w:trPr>
        <w:tc>
          <w:tcPr>
            <w:tcW w:w="5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other indefinite-lived intangibles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199,442</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96,182</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10. OTHER ACCRUED LIABILITIES</w:t>
            </w: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52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52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Other accrued liabilities consist of the following:</w:t>
            </w: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6"/>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2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3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21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Self-insurance liabilities</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8,368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5,396</w:t>
            </w:r>
          </w:p>
        </w:tc>
        <w:tc>
          <w:tcPr>
            <w:tcW w:w="0" w:type="dxa"/>
            <w:vAlign w:val="bottom"/>
          </w:tcPr>
          <w:p>
            <w:pPr>
              <w:spacing w:after="0"/>
              <w:rPr>
                <w:sz w:val="1"/>
                <w:szCs w:val="1"/>
                <w:color w:val="auto"/>
              </w:rPr>
            </w:pPr>
          </w:p>
        </w:tc>
      </w:tr>
      <w:tr>
        <w:trPr>
          <w:trHeight w:val="219"/>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Refunds payable</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1,382</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Hospice CAP liabilities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4,007</w:t>
            </w:r>
          </w:p>
        </w:tc>
        <w:tc>
          <w:tcPr>
            <w:tcW w:w="0" w:type="dxa"/>
            <w:vAlign w:val="bottom"/>
          </w:tcPr>
          <w:p>
            <w:pPr>
              <w:spacing w:after="0"/>
              <w:rPr>
                <w:sz w:val="1"/>
                <w:szCs w:val="1"/>
                <w:color w:val="auto"/>
              </w:rPr>
            </w:pPr>
          </w:p>
        </w:tc>
      </w:tr>
      <w:tr>
        <w:trPr>
          <w:trHeight w:val="219"/>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revenue</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2,284</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taxes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1,028</w:t>
            </w:r>
          </w:p>
        </w:tc>
        <w:tc>
          <w:tcPr>
            <w:tcW w:w="0" w:type="dxa"/>
            <w:vAlign w:val="bottom"/>
          </w:tcPr>
          <w:p>
            <w:pPr>
              <w:spacing w:after="0"/>
              <w:rPr>
                <w:sz w:val="1"/>
                <w:szCs w:val="1"/>
                <w:color w:val="auto"/>
              </w:rPr>
            </w:pPr>
          </w:p>
        </w:tc>
      </w:tr>
      <w:tr>
        <w:trPr>
          <w:trHeight w:val="219"/>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 license payable</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1,170</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Resident deposits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w:t>
            </w:r>
          </w:p>
        </w:tc>
        <w:tc>
          <w:tcPr>
            <w:tcW w:w="0" w:type="dxa"/>
            <w:vAlign w:val="bottom"/>
          </w:tcPr>
          <w:p>
            <w:pPr>
              <w:spacing w:after="0"/>
              <w:rPr>
                <w:sz w:val="1"/>
                <w:szCs w:val="1"/>
                <w:color w:val="auto"/>
              </w:rPr>
            </w:pPr>
          </w:p>
        </w:tc>
      </w:tr>
      <w:tr>
        <w:trPr>
          <w:trHeight w:val="219"/>
        </w:trPr>
        <w:tc>
          <w:tcPr>
            <w:tcW w:w="5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state relief funds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w:t>
            </w:r>
          </w:p>
        </w:tc>
        <w:tc>
          <w:tcPr>
            <w:tcW w:w="0" w:type="dxa"/>
            <w:vAlign w:val="bottom"/>
          </w:tcPr>
          <w:p>
            <w:pPr>
              <w:spacing w:after="0"/>
              <w:rPr>
                <w:sz w:val="1"/>
                <w:szCs w:val="1"/>
                <w:color w:val="auto"/>
              </w:rPr>
            </w:pPr>
          </w:p>
        </w:tc>
      </w:tr>
      <w:tr>
        <w:trPr>
          <w:trHeight w:val="21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4,318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2,815</w:t>
            </w:r>
          </w:p>
        </w:tc>
        <w:tc>
          <w:tcPr>
            <w:tcW w:w="0" w:type="dxa"/>
            <w:vAlign w:val="bottom"/>
          </w:tcPr>
          <w:p>
            <w:pPr>
              <w:spacing w:after="0"/>
              <w:rPr>
                <w:sz w:val="1"/>
                <w:szCs w:val="1"/>
                <w:color w:val="auto"/>
              </w:rPr>
            </w:pPr>
          </w:p>
        </w:tc>
      </w:tr>
      <w:tr>
        <w:trPr>
          <w:trHeight w:val="212"/>
        </w:trPr>
        <w:tc>
          <w:tcPr>
            <w:tcW w:w="52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accrued liabilities</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6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26,851</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20,186</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Deferred revenue occurs when the Company receives payments in advance of services provided. Refunds payable includes payables related to overpayments, duplicate payments and credit balances from various payor sources. Resident deposits include refundable deposits to residents and a small portion consists of non-refundable deposits recognized into revenue over a period of time.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11. DEBT</w:t>
            </w:r>
          </w:p>
        </w:tc>
        <w:tc>
          <w:tcPr>
            <w:tcW w:w="1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45"/>
        </w:trPr>
        <w:tc>
          <w:tcPr>
            <w:tcW w:w="66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Long-term debt, net consists of the following:</w:t>
            </w:r>
          </w:p>
        </w:tc>
        <w:tc>
          <w:tcPr>
            <w:tcW w:w="1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45"/>
        </w:trPr>
        <w:tc>
          <w:tcPr>
            <w:tcW w:w="6680" w:type="dxa"/>
            <w:vAlign w:val="bottom"/>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520" w:type="dxa"/>
            <w:vAlign w:val="bottom"/>
            <w:tcBorders>
              <w:bottom w:val="single" w:sz="8" w:color="auto"/>
            </w:tcBorders>
          </w:tcPr>
          <w:p>
            <w:pPr>
              <w:spacing w:after="0"/>
              <w:rPr>
                <w:sz w:val="21"/>
                <w:szCs w:val="21"/>
                <w:color w:val="auto"/>
              </w:rPr>
            </w:pPr>
          </w:p>
        </w:tc>
      </w:tr>
      <w:tr>
        <w:trPr>
          <w:trHeight w:val="212"/>
        </w:trPr>
        <w:tc>
          <w:tcPr>
            <w:tcW w:w="668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7"/>
                <w:szCs w:val="17"/>
                <w:b w:val="1"/>
                <w:bCs w:val="1"/>
                <w:color w:val="auto"/>
              </w:rPr>
              <w:t>2024</w:t>
            </w:r>
          </w:p>
        </w:tc>
      </w:tr>
      <w:tr>
        <w:trPr>
          <w:trHeight w:val="212"/>
        </w:trPr>
        <w:tc>
          <w:tcPr>
            <w:tcW w:w="668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7"/>
                <w:szCs w:val="17"/>
                <w:color w:val="auto"/>
              </w:rPr>
              <w:t>Revolving credit facility</w:t>
            </w:r>
            <w:r>
              <w:rPr>
                <w:rFonts w:ascii="Times New Roman" w:cs="Times New Roman" w:eastAsia="Times New Roman" w:hAnsi="Times New Roman"/>
                <w:sz w:val="22"/>
                <w:szCs w:val="22"/>
                <w:color w:val="auto"/>
                <w:vertAlign w:val="superscript"/>
              </w:rPr>
              <w:t>(a)</w:t>
            </w:r>
          </w:p>
        </w:tc>
        <w:tc>
          <w:tcPr>
            <w:tcW w:w="1440" w:type="dxa"/>
            <w:vAlign w:val="bottom"/>
            <w:shd w:val="clear" w:color="auto" w:fill="CCEEFF"/>
          </w:tcPr>
          <w:p>
            <w:pPr>
              <w:jc w:val="right"/>
              <w:ind w:right="125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Incremental term loans</w:t>
            </w:r>
          </w:p>
        </w:tc>
        <w:tc>
          <w:tcPr>
            <w:tcW w:w="1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debt</w:t>
            </w:r>
          </w:p>
        </w:tc>
        <w:tc>
          <w:tcPr>
            <w:tcW w:w="14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175,000</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current maturities</w:t>
            </w:r>
          </w:p>
        </w:tc>
        <w:tc>
          <w:tcPr>
            <w:tcW w:w="1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520" w:type="dxa"/>
            <w:vAlign w:val="bottom"/>
          </w:tcPr>
          <w:p>
            <w:pPr>
              <w:ind w:left="1280"/>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6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Less: unamortized debt issuance costs</w:t>
            </w:r>
            <w:r>
              <w:rPr>
                <w:rFonts w:ascii="Times New Roman" w:cs="Times New Roman" w:eastAsia="Times New Roman" w:hAnsi="Times New Roman"/>
                <w:sz w:val="22"/>
                <w:szCs w:val="22"/>
                <w:color w:val="auto"/>
                <w:vertAlign w:val="superscript"/>
              </w:rPr>
              <w:t>(b)</w:t>
            </w:r>
          </w:p>
        </w:tc>
        <w:tc>
          <w:tcPr>
            <w:tcW w:w="1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(1,163)</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ind w:left="1280"/>
              <w:spacing w:after="0"/>
              <w:rPr>
                <w:sz w:val="20"/>
                <w:szCs w:val="20"/>
                <w:color w:val="auto"/>
              </w:rPr>
            </w:pPr>
            <w:r>
              <w:rPr>
                <w:rFonts w:ascii="Times New Roman" w:cs="Times New Roman" w:eastAsia="Times New Roman" w:hAnsi="Times New Roman"/>
                <w:sz w:val="17"/>
                <w:szCs w:val="17"/>
                <w:color w:val="auto"/>
              </w:rPr>
              <w:t>—</w:t>
            </w:r>
          </w:p>
        </w:tc>
      </w:tr>
      <w:tr>
        <w:trPr>
          <w:trHeight w:val="212"/>
        </w:trPr>
        <w:tc>
          <w:tcPr>
            <w:tcW w:w="6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 net</w:t>
            </w:r>
          </w:p>
        </w:tc>
        <w:tc>
          <w:tcPr>
            <w:tcW w:w="1440" w:type="dxa"/>
            <w:vAlign w:val="bottom"/>
            <w:tcBorders>
              <w:bottom w:val="single" w:sz="8" w:color="auto"/>
            </w:tcBorders>
          </w:tcPr>
          <w:p>
            <w:pPr>
              <w:jc w:val="right"/>
              <w:ind w:right="1254"/>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168,837</w:t>
            </w:r>
          </w:p>
        </w:tc>
        <w:tc>
          <w:tcPr>
            <w:tcW w:w="100" w:type="dxa"/>
            <w:vAlign w:val="bottom"/>
          </w:tcPr>
          <w:p>
            <w:pPr>
              <w:spacing w:after="0"/>
              <w:rPr>
                <w:sz w:val="18"/>
                <w:szCs w:val="18"/>
                <w:color w:val="auto"/>
              </w:rPr>
            </w:pPr>
          </w:p>
        </w:tc>
        <w:tc>
          <w:tcPr>
            <w:tcW w:w="7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Borders>
              <w:bottom w:val="single" w:sz="8" w:color="auto"/>
            </w:tcBorders>
          </w:tcPr>
          <w:p>
            <w:pPr>
              <w:ind w:left="128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66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1080" w:hanging="441"/>
        <w:spacing w:after="0"/>
        <w:tabs>
          <w:tab w:leader="none" w:pos="10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October 4, 2024, the Company used the proceeds from the Offering of common stock to pay in full the outstanding balance on our Amended Revolving Credit Facility.</w:t>
      </w:r>
    </w:p>
    <w:p>
      <w:pPr>
        <w:spacing w:after="0" w:line="32" w:lineRule="exact"/>
        <w:rPr>
          <w:rFonts w:ascii="Times New Roman" w:cs="Times New Roman" w:eastAsia="Times New Roman" w:hAnsi="Times New Roman"/>
          <w:sz w:val="14"/>
          <w:szCs w:val="14"/>
          <w:color w:val="auto"/>
        </w:rPr>
      </w:pPr>
    </w:p>
    <w:p>
      <w:pPr>
        <w:ind w:left="1080" w:hanging="441"/>
        <w:spacing w:after="0" w:line="229" w:lineRule="auto"/>
        <w:tabs>
          <w:tab w:leader="none" w:pos="10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2025, outstanding debt issuance costs of $3,058 are recorded in Restricted and other assets and $1,163 are recorded in Long-term debt, net. For the ye December 31, 2024, outstanding debt issuance costs of $3,906 were recorded in Restricted and other assets.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0" w:type="dxa"/>
            <w:vAlign w:val="bottom"/>
          </w:tcPr>
          <w:p>
            <w:pPr>
              <w:spacing w:after="0"/>
              <w:rPr>
                <w:sz w:val="19"/>
                <w:szCs w:val="19"/>
                <w:color w:val="auto"/>
              </w:rPr>
            </w:pPr>
          </w:p>
        </w:tc>
        <w:tc>
          <w:tcPr>
            <w:tcW w:w="9360" w:type="dxa"/>
            <w:vAlign w:val="bottom"/>
            <w:gridSpan w:val="2"/>
          </w:tcPr>
          <w:p>
            <w:pPr>
              <w:jc w:val="right"/>
              <w:ind w:right="2774"/>
              <w:spacing w:after="0"/>
              <w:rPr>
                <w:sz w:val="20"/>
                <w:szCs w:val="20"/>
                <w:color w:val="auto"/>
              </w:rPr>
            </w:pPr>
            <w:r>
              <w:rPr>
                <w:rFonts w:ascii="Times New Roman" w:cs="Times New Roman" w:eastAsia="Times New Roman" w:hAnsi="Times New Roman"/>
                <w:sz w:val="17"/>
                <w:szCs w:val="17"/>
                <w:color w:val="auto"/>
              </w:rPr>
              <w:t>As of December 31, 2025, the future maturities of long-term debt consisted of the following:</w:t>
            </w:r>
          </w:p>
        </w:tc>
        <w:tc>
          <w:tcPr>
            <w:tcW w:w="1380" w:type="dxa"/>
            <w:vAlign w:val="bottom"/>
          </w:tcPr>
          <w:p>
            <w:pPr>
              <w:spacing w:after="0"/>
              <w:rPr>
                <w:sz w:val="19"/>
                <w:szCs w:val="19"/>
                <w:color w:val="auto"/>
              </w:rPr>
            </w:pPr>
          </w:p>
        </w:tc>
      </w:tr>
      <w:tr>
        <w:trPr>
          <w:trHeight w:val="257"/>
        </w:trPr>
        <w:tc>
          <w:tcPr>
            <w:tcW w:w="500" w:type="dxa"/>
            <w:vAlign w:val="bottom"/>
          </w:tcPr>
          <w:p>
            <w:pPr>
              <w:spacing w:after="0"/>
              <w:rPr>
                <w:sz w:val="22"/>
                <w:szCs w:val="22"/>
                <w:color w:val="auto"/>
              </w:rPr>
            </w:pPr>
          </w:p>
        </w:tc>
        <w:tc>
          <w:tcPr>
            <w:tcW w:w="85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19"/>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9360" w:type="dxa"/>
            <w:vAlign w:val="bottom"/>
            <w:gridSpan w:val="2"/>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r>
      <w:tr>
        <w:trPr>
          <w:trHeight w:val="219"/>
        </w:trPr>
        <w:tc>
          <w:tcPr>
            <w:tcW w:w="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8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r>
      <w:tr>
        <w:trPr>
          <w:trHeight w:val="219"/>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8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r>
      <w:tr>
        <w:trPr>
          <w:trHeight w:val="219"/>
        </w:trPr>
        <w:tc>
          <w:tcPr>
            <w:tcW w:w="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85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85,000</w:t>
            </w:r>
          </w:p>
        </w:tc>
      </w:tr>
      <w:tr>
        <w:trPr>
          <w:trHeight w:val="237"/>
        </w:trPr>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85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85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100" w:firstLine="619"/>
        <w:spacing w:after="0" w:line="258" w:lineRule="auto"/>
        <w:rPr>
          <w:sz w:val="20"/>
          <w:szCs w:val="20"/>
          <w:color w:val="auto"/>
        </w:rPr>
      </w:pPr>
      <w:r>
        <w:rPr>
          <w:rFonts w:ascii="Times New Roman" w:cs="Times New Roman" w:eastAsia="Times New Roman" w:hAnsi="Times New Roman"/>
          <w:sz w:val="17"/>
          <w:szCs w:val="17"/>
          <w:color w:val="auto"/>
        </w:rPr>
        <w:t>On February 23, 2021, Pennant entered into an amendment to its existing credit agreement (as amended, the “Credit Agreement”), which provided for an increased revolving credit facility with a syndicate of banks with a borrowing capacity of $150,000 (the “Revolving Credit Facility”). On June 12, 2023, Pennant entered into a second amendment to the Credit Agreement that modified the reference rate from LIBOR to Standard Overnight Financing Rate (“SOFR”). The interest rates applicable to loans under the Revolving Credit Facility were, at the Company’s election, either (i) Adjusted Term SOFR (as defined in the Credit Agreement) plus a margin ranging from 2.25% to 3.25% per annum or (ii) Base Rate plus a margin ranging from 1.25% to 2.25% per annum, in each case, based on the ratio of Consolidated Total Net Debt to Consolidated EBITDA (each, as defined in the Credit Agreement). In addition, Pennant paid a commitment fee on the undrawn portion of the commitments under the Revolving Credit Facility which ranged from 0.35% to 0.50% per annum, depending on the Consolidated Total Net Debt to Consolidated EBITDA ratio of the Company and its subsidiaries.</w:t>
      </w:r>
    </w:p>
    <w:p>
      <w:pPr>
        <w:spacing w:after="0" w:line="201" w:lineRule="exact"/>
        <w:rPr>
          <w:sz w:val="20"/>
          <w:szCs w:val="20"/>
          <w:color w:val="auto"/>
        </w:rPr>
      </w:pPr>
    </w:p>
    <w:p>
      <w:pPr>
        <w:jc w:val="both"/>
        <w:ind w:right="100" w:firstLine="619"/>
        <w:spacing w:after="0" w:line="256" w:lineRule="auto"/>
        <w:rPr>
          <w:sz w:val="20"/>
          <w:szCs w:val="20"/>
          <w:color w:val="auto"/>
        </w:rPr>
      </w:pPr>
      <w:r>
        <w:rPr>
          <w:rFonts w:ascii="Times New Roman" w:cs="Times New Roman" w:eastAsia="Times New Roman" w:hAnsi="Times New Roman"/>
          <w:sz w:val="17"/>
          <w:szCs w:val="17"/>
          <w:color w:val="auto"/>
        </w:rPr>
        <w:t>On July 31, 2024, Pennant entered into an Amended and Restated Credit Agreement (the Credit Agreement, as amended and restated, the “Amended Credit Agreement”), which provides for a revolving credit facility (the Revolving Credit Facility, as upsized, the “Amended Revolving Credit Facility”) with a syndicate of banks with a borrowing capacity of $250,000. In conjunction with the amendment, the Company incurred additional debt issuance costs of $3,915 and wrote off previously deferred unamortized debt issuance costs of $428. The debt issuance costs associated with the Amended Credit Agreement are recorded in Restricted and other assets. After the effectiveness of the Amended Credit Agreement, the interest rates applicable to loans under the Amended Revolving Credit Facility are, at the Company’s election, either (i) Term SOFR (as defined in the Amended Credit Agreement) plus a margin ranging from 1.75% to 2.75% per annum or (ii) Base Rate plus a margin ranging from 0.75% to 1.75% per annum, in each case based on the ratio of Consolidated Total Net Debt to Consolidated EBITDA (each, as defined in the Amended Credit Agreement). In addition, Pennant pays a commitment fee on the undrawn portion of the commitments under the Amended Revolving Credit Facility that ranges from 0.25% to 0.45% per annum, depending on the Consolidated Total Net Debt to Consolidated EBITDA ratio of the Company and its subsidiaries. The Company is not required to repay any loans under the Amended Credit Agreement prior to maturity in July 2029. On October 4, 2024, the Company used the proceeds from the Offering of common stock to pay in full the outstanding balance on our Amended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23"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On November 3, 2025, Pennant entered into the First Amendment to Amended and Restated Credit Agreement (the “First Amendment”), which provides for an incremental term loan credit facility (the “Incremental Term Loans”) in an aggregate principal amount of $100,000 (the “Incremental Term Loans”). The Incremental Term Loans constitute term loans under, and are subject to the terms and provisions of, the Amended Credit Agreement, including bearing interest at the same interest rate, and having the same maturity date, as the Amended Revolving Credit Facility. In conjunction with the First Amendment, the Company incurred additional debt issuance costs of $1,203. The debt issuance costs associated with the Incremental Term Loans are recorded in Long-term debt, net. As of December 31, 2025, the Company’s weighted average interest rate on its outstanding debt was 6.1%. As of December 31, 2025, the Company had available borrowing on the Amended Revolving Credit Facility of $171,564, which is net of outstanding letters of credit of $3,436.</w:t>
      </w:r>
    </w:p>
    <w:p>
      <w:pPr>
        <w:spacing w:after="0" w:line="205"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fair value of the Amended Revolving Credit Facility and the Incremental Term Loans approximate carrying value, due to the short-term nature and variable interest rates. The fair value of this debt is categorized within Level 2 of the fair value hierarchy based on the observable market borrowing rates.</w:t>
      </w:r>
    </w:p>
    <w:p>
      <w:pPr>
        <w:spacing w:after="0" w:line="177"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color w:val="auto"/>
        </w:rPr>
        <w:t>The Amended Credit Agreement is guaranteed, jointly and severally, by certain of the Company’s independent operating subsidiaries, and is secured by a pledge of stock of the Company's material independent operating subsidiaries as well as a first lien on substantially all of each material operating subsidiary's personal property. The Amended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December 31, 2025 and 2024, the Company was compliant with all such financial covenants.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OPTIONS AND AWARDS</w:t>
      </w:r>
    </w:p>
    <w:p>
      <w:pPr>
        <w:spacing w:after="0" w:line="247"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Outstanding options and restricted stock awards of the Company were granted under the Amended and Restated 2019 Omnibus Incentive Plan (the “Amended and Restated Plan”) and Long-Term Incentive Plan (the “LTIP”), (together referred to as the “Pennant Plans”). During the second quarter of 2025, the Company’s stockholders approved the Amended and Restated Plan, which increased the total number of shares authorized for issuance under the 2019 Omnibus Incentive Plan (the “Predecessor Plan”). Including the shares rolled over from the Predecessor Plan, the Amended and Restated Plan provides for the issuance of 3,293 shares of common stock.</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Under the Pennant Plans, stock-based payment awards, including employee stock options, restricted stock awards (“RSA”), and restricted stock units (“RSU” and together with RSA, “Restricted Stock”) are issued based on estimated fair value. The following disclosures represent share-based compensation expense relating to employees of the Company’s subsidiaries and non-employee directors who have awards under the Pennant Plans.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Share-Based Compensation</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following disclosures represent share-based compensation expense relating to the Pennant Plans, including awards to employees of the Company’s subsidiaries.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Total share-based compensation expense for all of the Pennant Plans for the years ended December 31, 2025, 2024, and 2023 were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1200" w:type="dxa"/>
            <w:vAlign w:val="bottom"/>
            <w:tcBorders>
              <w:bottom w:val="single" w:sz="8" w:color="auto"/>
            </w:tcBorders>
          </w:tcPr>
          <w:p>
            <w:pPr>
              <w:spacing w:after="0"/>
              <w:rPr>
                <w:sz w:val="19"/>
                <w:szCs w:val="19"/>
                <w:color w:val="auto"/>
              </w:rPr>
            </w:pPr>
          </w:p>
        </w:tc>
      </w:tr>
      <w:tr>
        <w:trPr>
          <w:trHeight w:val="212"/>
        </w:trPr>
        <w:tc>
          <w:tcPr>
            <w:tcW w:w="63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4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 related to stock options</w:t>
            </w:r>
          </w:p>
        </w:tc>
        <w:tc>
          <w:tcPr>
            <w:tcW w:w="104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3,945</w:t>
            </w:r>
          </w:p>
        </w:tc>
      </w:tr>
      <w:tr>
        <w:trPr>
          <w:trHeight w:val="219"/>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 related to Restricted Stock</w:t>
            </w:r>
          </w:p>
        </w:tc>
        <w:tc>
          <w:tcPr>
            <w:tcW w:w="10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Share-based compensation expense related to Restricted Stock to non-employee directors</w:t>
            </w:r>
          </w:p>
        </w:tc>
        <w:tc>
          <w:tcPr>
            <w:tcW w:w="10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1,414</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w:t>
            </w:r>
          </w:p>
        </w:tc>
      </w:tr>
      <w:tr>
        <w:trPr>
          <w:trHeight w:val="212"/>
        </w:trPr>
        <w:tc>
          <w:tcPr>
            <w:tcW w:w="6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share-based compensation</w:t>
            </w:r>
          </w:p>
        </w:tc>
        <w:tc>
          <w:tcPr>
            <w:tcW w:w="104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8,940</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7,781</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5,369</w:t>
            </w:r>
          </w:p>
        </w:tc>
      </w:tr>
      <w:tr>
        <w:trPr>
          <w:trHeight w:val="20"/>
        </w:trPr>
        <w:tc>
          <w:tcPr>
            <w:tcW w:w="63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Income tax benefits related to the tax deductions for share-based awards are recognized only upon the settlement of the related share-based awards.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Income tax benefits for share-based awards were $730, $1,429, and $6 for the years ended December 31, 2025, 2024, and 2023.</w:t>
      </w:r>
    </w:p>
    <w:p>
      <w:pPr>
        <w:spacing w:after="0" w:line="2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future periods, the Company estimates it will recognize the following share-based compensation expense for unvested stock options and unvested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Restricted Stock. Total unrecognized share-based compensation as of December 31, 2025 was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20" w:type="dxa"/>
            <w:vAlign w:val="bottom"/>
          </w:tcPr>
          <w:p>
            <w:pPr>
              <w:jc w:val="right"/>
              <w:ind w:right="54"/>
              <w:spacing w:after="0"/>
              <w:rPr>
                <w:sz w:val="20"/>
                <w:szCs w:val="20"/>
                <w:color w:val="auto"/>
              </w:rPr>
            </w:pPr>
            <w:r>
              <w:rPr>
                <w:rFonts w:ascii="Times New Roman" w:cs="Times New Roman" w:eastAsia="Times New Roman" w:hAnsi="Times New Roman"/>
                <w:sz w:val="17"/>
                <w:szCs w:val="17"/>
                <w:b w:val="1"/>
                <w:bCs w:val="1"/>
                <w:color w:val="auto"/>
                <w:w w:val="99"/>
              </w:rPr>
              <w:t>Unrecognized Share-Based</w:t>
            </w:r>
          </w:p>
        </w:tc>
        <w:tc>
          <w:tcPr>
            <w:tcW w:w="100" w:type="dxa"/>
            <w:vAlign w:val="bottom"/>
          </w:tcPr>
          <w:p>
            <w:pPr>
              <w:spacing w:after="0"/>
              <w:rPr>
                <w:sz w:val="17"/>
                <w:szCs w:val="17"/>
                <w:color w:val="auto"/>
              </w:rPr>
            </w:pPr>
          </w:p>
        </w:tc>
        <w:tc>
          <w:tcPr>
            <w:tcW w:w="222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Weighted Average</w:t>
            </w:r>
          </w:p>
        </w:tc>
      </w:tr>
      <w:tr>
        <w:trPr>
          <w:trHeight w:val="230"/>
        </w:trPr>
        <w:tc>
          <w:tcPr>
            <w:tcW w:w="66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Compensation Expense</w:t>
            </w:r>
          </w:p>
        </w:tc>
        <w:tc>
          <w:tcPr>
            <w:tcW w:w="1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Recognition Period (in years)</w:t>
            </w:r>
          </w:p>
        </w:tc>
      </w:tr>
      <w:tr>
        <w:trPr>
          <w:trHeight w:val="215"/>
        </w:trPr>
        <w:tc>
          <w:tcPr>
            <w:tcW w:w="6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stock options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23,745</w:t>
            </w:r>
          </w:p>
        </w:tc>
        <w:tc>
          <w:tcPr>
            <w:tcW w:w="10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19"/>
        </w:trPr>
        <w:tc>
          <w:tcPr>
            <w:tcW w:w="6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Unvested Restricted Stock</w:t>
            </w:r>
          </w:p>
        </w:tc>
        <w:tc>
          <w:tcPr>
            <w:tcW w:w="12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2,020</w:t>
            </w:r>
          </w:p>
        </w:tc>
        <w:tc>
          <w:tcPr>
            <w:tcW w:w="23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237"/>
        </w:trPr>
        <w:tc>
          <w:tcPr>
            <w:tcW w:w="6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unrecognized share-based compensation expense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25,765</w:t>
            </w:r>
          </w:p>
        </w:tc>
        <w:tc>
          <w:tcPr>
            <w:tcW w:w="100" w:type="dxa"/>
            <w:vAlign w:val="bottom"/>
            <w:tcBorders>
              <w:bottom w:val="single" w:sz="8" w:color="CCEEFF"/>
            </w:tcBorders>
            <w:shd w:val="clear" w:color="auto" w:fill="CCEEFF"/>
          </w:tcPr>
          <w:p>
            <w:pPr>
              <w:spacing w:after="0"/>
              <w:rPr>
                <w:sz w:val="20"/>
                <w:szCs w:val="20"/>
                <w:color w:val="auto"/>
              </w:rPr>
            </w:pPr>
          </w:p>
        </w:tc>
        <w:tc>
          <w:tcPr>
            <w:tcW w:w="2220" w:type="dxa"/>
            <w:vAlign w:val="bottom"/>
            <w:tcBorders>
              <w:bottom w:val="single" w:sz="8" w:color="CCEEFF"/>
            </w:tcBorders>
            <w:shd w:val="clear" w:color="auto" w:fill="CCEEFF"/>
          </w:tcPr>
          <w:p>
            <w:pPr>
              <w:spacing w:after="0"/>
              <w:rPr>
                <w:sz w:val="20"/>
                <w:szCs w:val="20"/>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r>
    </w:tbl>
    <w:p>
      <w:pPr>
        <w:spacing w:after="0" w:line="2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were no modifications of awards during the years ended December 31, 2025, 2024, and 2023.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 Options</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Under the Pennant Plans, options granted to employees of the subsidiaries of Pennant generally vest over five years at 20% per year on the anniversary of the grant date. Options expire ten years after the date of grant.</w:t>
      </w:r>
    </w:p>
    <w:p>
      <w:pPr>
        <w:spacing w:after="0" w:line="177"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uses the Black-Scholes option-pricing model to determine the grant date fair value which is used to recognize the value of share-based compensation expense for share-based payment awards under the Pennant Plans. Determining the appropriate fair-value model and calculating the fair value of share-based awards at the grant date requires considerable judgment, including estimating stock price volatility and expected option life. The Company develops estimates based on historical data and market information, which can change significantly over time.</w:t>
      </w:r>
    </w:p>
    <w:p>
      <w:pPr>
        <w:spacing w:after="0" w:line="19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fair value of each option is estimated on the grant date using a Black-Scholes option-pricing model with the following weighted average assumptions for stock options granted: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Risk-Free Interest</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Expected</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0" w:type="dxa"/>
            <w:vAlign w:val="bottom"/>
          </w:tcPr>
          <w:p>
            <w:pPr>
              <w:spacing w:after="0"/>
              <w:rPr>
                <w:sz w:val="1"/>
                <w:szCs w:val="1"/>
                <w:color w:val="auto"/>
              </w:rPr>
            </w:pPr>
          </w:p>
        </w:tc>
      </w:tr>
      <w:tr>
        <w:trPr>
          <w:trHeight w:val="175"/>
        </w:trPr>
        <w:tc>
          <w:tcPr>
            <w:tcW w:w="2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Grant Year</w:t>
            </w:r>
          </w:p>
        </w:tc>
        <w:tc>
          <w:tcPr>
            <w:tcW w:w="136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b w:val="1"/>
                <w:bCs w:val="1"/>
                <w:color w:val="auto"/>
              </w:rPr>
              <w:t>Expected Life</w:t>
            </w:r>
            <w:r>
              <w:rPr>
                <w:rFonts w:ascii="Times New Roman" w:cs="Times New Roman" w:eastAsia="Times New Roman" w:hAnsi="Times New Roman"/>
                <w:sz w:val="22"/>
                <w:szCs w:val="22"/>
                <w:b w:val="1"/>
                <w:bCs w:val="1"/>
                <w:color w:val="auto"/>
                <w:vertAlign w:val="superscript"/>
              </w:rPr>
              <w:t>(a)</w:t>
            </w:r>
          </w:p>
        </w:tc>
        <w:tc>
          <w:tcPr>
            <w:tcW w:w="1520" w:type="dxa"/>
            <w:vAlign w:val="bottom"/>
            <w:gridSpan w:val="2"/>
            <w:vMerge w:val="continue"/>
          </w:tcPr>
          <w:p>
            <w:pPr>
              <w:spacing w:after="0"/>
              <w:rPr>
                <w:sz w:val="15"/>
                <w:szCs w:val="15"/>
                <w:color w:val="auto"/>
              </w:rPr>
            </w:pPr>
          </w:p>
        </w:tc>
        <w:tc>
          <w:tcPr>
            <w:tcW w:w="15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Dividend Yield</w:t>
            </w:r>
          </w:p>
        </w:tc>
        <w:tc>
          <w:tcPr>
            <w:tcW w:w="140" w:type="dxa"/>
            <w:vAlign w:val="bottom"/>
          </w:tcPr>
          <w:p>
            <w:pPr>
              <w:spacing w:after="0"/>
              <w:rPr>
                <w:sz w:val="15"/>
                <w:szCs w:val="15"/>
                <w:color w:val="auto"/>
              </w:rPr>
            </w:pPr>
          </w:p>
        </w:tc>
        <w:tc>
          <w:tcPr>
            <w:tcW w:w="1140" w:type="dxa"/>
            <w:vAlign w:val="bottom"/>
          </w:tcPr>
          <w:p>
            <w:pPr>
              <w:jc w:val="right"/>
              <w:ind w:right="74"/>
              <w:spacing w:after="0" w:line="175" w:lineRule="exact"/>
              <w:rPr>
                <w:sz w:val="20"/>
                <w:szCs w:val="20"/>
                <w:color w:val="auto"/>
              </w:rPr>
            </w:pPr>
            <w:r>
              <w:rPr>
                <w:rFonts w:ascii="Times New Roman" w:cs="Times New Roman" w:eastAsia="Times New Roman" w:hAnsi="Times New Roman"/>
                <w:sz w:val="17"/>
                <w:szCs w:val="17"/>
                <w:b w:val="1"/>
                <w:bCs w:val="1"/>
                <w:color w:val="auto"/>
              </w:rPr>
              <w:t>Average Fair</w:t>
            </w:r>
          </w:p>
        </w:tc>
        <w:tc>
          <w:tcPr>
            <w:tcW w:w="0" w:type="dxa"/>
            <w:vAlign w:val="bottom"/>
          </w:tcPr>
          <w:p>
            <w:pPr>
              <w:spacing w:after="0"/>
              <w:rPr>
                <w:sz w:val="1"/>
                <w:szCs w:val="1"/>
                <w:color w:val="auto"/>
              </w:rPr>
            </w:pPr>
          </w:p>
        </w:tc>
      </w:tr>
      <w:tr>
        <w:trPr>
          <w:trHeight w:val="219"/>
        </w:trPr>
        <w:tc>
          <w:tcPr>
            <w:tcW w:w="2720" w:type="dxa"/>
            <w:vAlign w:val="bottom"/>
            <w:gridSpan w:val="2"/>
            <w:vMerge w:val="continue"/>
          </w:tcPr>
          <w:p>
            <w:pPr>
              <w:spacing w:after="0"/>
              <w:rPr>
                <w:sz w:val="19"/>
                <w:szCs w:val="19"/>
                <w:color w:val="auto"/>
              </w:rPr>
            </w:pPr>
          </w:p>
        </w:tc>
        <w:tc>
          <w:tcPr>
            <w:tcW w:w="136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Granted</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Rate</w:t>
            </w:r>
          </w:p>
        </w:tc>
        <w:tc>
          <w:tcPr>
            <w:tcW w:w="1360" w:type="dxa"/>
            <w:vAlign w:val="bottom"/>
            <w:gridSpan w:val="2"/>
            <w:vMerge w:val="continue"/>
          </w:tcPr>
          <w:p>
            <w:pPr>
              <w:spacing w:after="0"/>
              <w:rPr>
                <w:sz w:val="19"/>
                <w:szCs w:val="19"/>
                <w:color w:val="auto"/>
              </w:rPr>
            </w:pPr>
          </w:p>
        </w:tc>
        <w:tc>
          <w:tcPr>
            <w:tcW w:w="1520" w:type="dxa"/>
            <w:vAlign w:val="bottom"/>
            <w:gridSpan w:val="2"/>
          </w:tcPr>
          <w:p>
            <w:pPr>
              <w:jc w:val="center"/>
              <w:ind w:right="100"/>
              <w:spacing w:after="0" w:line="219" w:lineRule="exact"/>
              <w:rPr>
                <w:sz w:val="20"/>
                <w:szCs w:val="20"/>
                <w:color w:val="auto"/>
              </w:rPr>
            </w:pPr>
            <w:r>
              <w:rPr>
                <w:rFonts w:ascii="Times New Roman" w:cs="Times New Roman" w:eastAsia="Times New Roman" w:hAnsi="Times New Roman"/>
                <w:sz w:val="17"/>
                <w:szCs w:val="17"/>
                <w:b w:val="1"/>
                <w:bCs w:val="1"/>
                <w:color w:val="auto"/>
                <w:w w:val="95"/>
              </w:rPr>
              <w:t>Volatility</w:t>
            </w:r>
            <w:r>
              <w:rPr>
                <w:rFonts w:ascii="Times New Roman" w:cs="Times New Roman" w:eastAsia="Times New Roman" w:hAnsi="Times New Roman"/>
                <w:sz w:val="22"/>
                <w:szCs w:val="22"/>
                <w:b w:val="1"/>
                <w:bCs w:val="1"/>
                <w:color w:val="auto"/>
                <w:w w:val="95"/>
                <w:vertAlign w:val="superscript"/>
              </w:rPr>
              <w:t>(b)</w:t>
            </w:r>
          </w:p>
        </w:tc>
        <w:tc>
          <w:tcPr>
            <w:tcW w:w="1500" w:type="dxa"/>
            <w:vAlign w:val="bottom"/>
            <w:gridSpan w:val="2"/>
            <w:vMerge w:val="continue"/>
          </w:tcPr>
          <w:p>
            <w:pPr>
              <w:spacing w:after="0"/>
              <w:rPr>
                <w:sz w:val="19"/>
                <w:szCs w:val="19"/>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w w:val="99"/>
              </w:rPr>
              <w:t>Value of Options</w:t>
            </w:r>
          </w:p>
        </w:tc>
        <w:tc>
          <w:tcPr>
            <w:tcW w:w="0" w:type="dxa"/>
            <w:vAlign w:val="bottom"/>
          </w:tcPr>
          <w:p>
            <w:pPr>
              <w:spacing w:after="0"/>
              <w:rPr>
                <w:sz w:val="1"/>
                <w:szCs w:val="1"/>
                <w:color w:val="auto"/>
              </w:rPr>
            </w:pPr>
          </w:p>
        </w:tc>
      </w:tr>
      <w:tr>
        <w:trPr>
          <w:trHeight w:val="212"/>
        </w:trPr>
        <w:tc>
          <w:tcPr>
            <w:tcW w:w="2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1,214</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4.1 %</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42.1 %</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w:t>
            </w:r>
          </w:p>
        </w:tc>
        <w:tc>
          <w:tcPr>
            <w:tcW w:w="0" w:type="dxa"/>
            <w:vAlign w:val="bottom"/>
          </w:tcPr>
          <w:p>
            <w:pPr>
              <w:spacing w:after="0"/>
              <w:rPr>
                <w:sz w:val="1"/>
                <w:szCs w:val="1"/>
                <w:color w:val="auto"/>
              </w:rPr>
            </w:pPr>
          </w:p>
        </w:tc>
      </w:tr>
      <w:tr>
        <w:trPr>
          <w:trHeight w:val="219"/>
        </w:trPr>
        <w:tc>
          <w:tcPr>
            <w:tcW w:w="2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42.6 %</w:t>
            </w:r>
          </w:p>
        </w:tc>
        <w:tc>
          <w:tcPr>
            <w:tcW w:w="100" w:type="dxa"/>
            <w:vAlign w:val="bottom"/>
          </w:tcPr>
          <w:p>
            <w:pPr>
              <w:spacing w:after="0"/>
              <w:rPr>
                <w:sz w:val="19"/>
                <w:szCs w:val="19"/>
                <w:color w:val="auto"/>
              </w:rPr>
            </w:pPr>
          </w:p>
        </w:tc>
        <w:tc>
          <w:tcPr>
            <w:tcW w:w="150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w:t>
            </w:r>
          </w:p>
        </w:tc>
        <w:tc>
          <w:tcPr>
            <w:tcW w:w="0" w:type="dxa"/>
            <w:vAlign w:val="bottom"/>
          </w:tcPr>
          <w:p>
            <w:pPr>
              <w:spacing w:after="0"/>
              <w:rPr>
                <w:sz w:val="1"/>
                <w:szCs w:val="1"/>
                <w:color w:val="auto"/>
              </w:rPr>
            </w:pPr>
          </w:p>
        </w:tc>
      </w:tr>
      <w:tr>
        <w:trPr>
          <w:trHeight w:val="21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41.8 %</w:t>
            </w: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7"/>
                <w:szCs w:val="17"/>
                <w:color w:val="auto"/>
              </w:rPr>
              <w:t>— %</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460" w:right="20" w:hanging="440"/>
        <w:spacing w:after="0" w:line="238" w:lineRule="auto"/>
        <w:tabs>
          <w:tab w:leader="none" w:pos="4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midpoint method, the expected option life is the midpoint between the contractual option life and the average vesting period for the options being granted. This resulted in an expected option life of 6.5 years for the options granted.</w:t>
      </w:r>
    </w:p>
    <w:p>
      <w:pPr>
        <w:spacing w:after="0" w:line="3" w:lineRule="exact"/>
        <w:rPr>
          <w:rFonts w:ascii="Times New Roman" w:cs="Times New Roman" w:eastAsia="Times New Roman" w:hAnsi="Times New Roman"/>
          <w:sz w:val="14"/>
          <w:szCs w:val="14"/>
          <w:color w:val="auto"/>
        </w:rPr>
      </w:pPr>
    </w:p>
    <w:p>
      <w:pPr>
        <w:ind w:left="460" w:hanging="440"/>
        <w:spacing w:after="0"/>
        <w:tabs>
          <w:tab w:leader="none" w:pos="4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the Company’s equity shares have been traded for a relatively short period of time, expected volatility assumption was based on the volatility of related industry stocks.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represents the employee stock option activity during the year ended December 31, 2025:</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80"/>
              <w:spacing w:after="0" w:line="155" w:lineRule="exact"/>
              <w:rPr>
                <w:sz w:val="20"/>
                <w:szCs w:val="20"/>
                <w:color w:val="auto"/>
              </w:rPr>
            </w:pPr>
            <w:r>
              <w:rPr>
                <w:rFonts w:ascii="Times New Roman" w:cs="Times New Roman" w:eastAsia="Times New Roman" w:hAnsi="Times New Roman"/>
                <w:sz w:val="15"/>
                <w:szCs w:val="15"/>
                <w:b w:val="1"/>
                <w:bCs w:val="1"/>
                <w:color w:val="auto"/>
              </w:rPr>
              <w:t>Average</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60" w:type="dxa"/>
            <w:vAlign w:val="bottom"/>
          </w:tcPr>
          <w:p>
            <w:pPr>
              <w:spacing w:after="0"/>
              <w:rPr>
                <w:sz w:val="13"/>
                <w:szCs w:val="13"/>
                <w:color w:val="auto"/>
              </w:rPr>
            </w:pPr>
          </w:p>
        </w:tc>
        <w:tc>
          <w:tcPr>
            <w:tcW w:w="1220" w:type="dxa"/>
            <w:vAlign w:val="bottom"/>
          </w:tcPr>
          <w:p>
            <w:pPr>
              <w:jc w:val="center"/>
              <w:ind w:right="80"/>
              <w:spacing w:after="0" w:line="155" w:lineRule="exact"/>
              <w:rPr>
                <w:sz w:val="20"/>
                <w:szCs w:val="20"/>
                <w:color w:val="auto"/>
              </w:rPr>
            </w:pPr>
            <w:r>
              <w:rPr>
                <w:rFonts w:ascii="Times New Roman" w:cs="Times New Roman" w:eastAsia="Times New Roman" w:hAnsi="Times New Roman"/>
                <w:sz w:val="15"/>
                <w:szCs w:val="15"/>
                <w:b w:val="1"/>
                <w:bCs w:val="1"/>
                <w:color w:val="auto"/>
              </w:rPr>
              <w:t>Exercise Price</w:t>
            </w:r>
          </w:p>
        </w:tc>
        <w:tc>
          <w:tcPr>
            <w:tcW w:w="0" w:type="dxa"/>
            <w:vAlign w:val="bottom"/>
          </w:tcPr>
          <w:p>
            <w:pPr>
              <w:spacing w:after="0"/>
              <w:rPr>
                <w:sz w:val="1"/>
                <w:szCs w:val="1"/>
                <w:color w:val="auto"/>
              </w:rPr>
            </w:pPr>
          </w:p>
        </w:tc>
      </w:tr>
      <w:tr>
        <w:trPr>
          <w:trHeight w:val="155"/>
        </w:trPr>
        <w:tc>
          <w:tcPr>
            <w:tcW w:w="5400" w:type="dxa"/>
            <w:vAlign w:val="bottom"/>
          </w:tcPr>
          <w:p>
            <w:pPr>
              <w:spacing w:after="0"/>
              <w:rPr>
                <w:sz w:val="13"/>
                <w:szCs w:val="13"/>
                <w:color w:val="auto"/>
              </w:rPr>
            </w:pPr>
          </w:p>
        </w:tc>
        <w:tc>
          <w:tcPr>
            <w:tcW w:w="1400" w:type="dxa"/>
            <w:vAlign w:val="bottom"/>
          </w:tcPr>
          <w:p>
            <w:pPr>
              <w:jc w:val="center"/>
              <w:spacing w:after="0" w:line="155" w:lineRule="exact"/>
              <w:rPr>
                <w:sz w:val="20"/>
                <w:szCs w:val="20"/>
                <w:color w:val="auto"/>
              </w:rPr>
            </w:pPr>
            <w:r>
              <w:rPr>
                <w:rFonts w:ascii="Times New Roman" w:cs="Times New Roman" w:eastAsia="Times New Roman" w:hAnsi="Times New Roman"/>
                <w:sz w:val="15"/>
                <w:szCs w:val="15"/>
                <w:b w:val="1"/>
                <w:bCs w:val="1"/>
                <w:color w:val="auto"/>
              </w:rPr>
              <w:t>Options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5"/>
                <w:szCs w:val="15"/>
                <w:b w:val="1"/>
                <w:bCs w:val="1"/>
                <w:color w:val="auto"/>
              </w:rPr>
              <w:t>Average</w:t>
            </w:r>
          </w:p>
        </w:tc>
        <w:tc>
          <w:tcPr>
            <w:tcW w:w="15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jc w:val="center"/>
              <w:ind w:right="80"/>
              <w:spacing w:after="0" w:line="155" w:lineRule="exact"/>
              <w:rPr>
                <w:sz w:val="20"/>
                <w:szCs w:val="20"/>
                <w:color w:val="auto"/>
              </w:rPr>
            </w:pPr>
            <w:r>
              <w:rPr>
                <w:rFonts w:ascii="Times New Roman" w:cs="Times New Roman" w:eastAsia="Times New Roman" w:hAnsi="Times New Roman"/>
                <w:sz w:val="15"/>
                <w:szCs w:val="15"/>
                <w:b w:val="1"/>
                <w:bCs w:val="1"/>
                <w:color w:val="auto"/>
              </w:rPr>
              <w:t>of Options</w:t>
            </w:r>
          </w:p>
        </w:tc>
        <w:tc>
          <w:tcPr>
            <w:tcW w:w="0" w:type="dxa"/>
            <w:vAlign w:val="bottom"/>
          </w:tcPr>
          <w:p>
            <w:pPr>
              <w:spacing w:after="0"/>
              <w:rPr>
                <w:sz w:val="1"/>
                <w:szCs w:val="1"/>
                <w:color w:val="auto"/>
              </w:rPr>
            </w:pPr>
          </w:p>
        </w:tc>
      </w:tr>
      <w:tr>
        <w:trPr>
          <w:trHeight w:val="205"/>
        </w:trPr>
        <w:tc>
          <w:tcPr>
            <w:tcW w:w="540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Outstanding</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Options Vested</w:t>
            </w:r>
          </w:p>
        </w:tc>
        <w:tc>
          <w:tcPr>
            <w:tcW w:w="160" w:type="dxa"/>
            <w:vAlign w:val="bottom"/>
          </w:tcPr>
          <w:p>
            <w:pPr>
              <w:spacing w:after="0"/>
              <w:rPr>
                <w:sz w:val="17"/>
                <w:szCs w:val="17"/>
                <w:color w:val="auto"/>
              </w:rPr>
            </w:pPr>
          </w:p>
        </w:tc>
        <w:tc>
          <w:tcPr>
            <w:tcW w:w="1220" w:type="dxa"/>
            <w:vAlign w:val="bottom"/>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w w:val="96"/>
              </w:rPr>
              <w:t>Vested</w:t>
            </w:r>
          </w:p>
        </w:tc>
        <w:tc>
          <w:tcPr>
            <w:tcW w:w="0" w:type="dxa"/>
            <w:vAlign w:val="bottom"/>
          </w:tcPr>
          <w:p>
            <w:pPr>
              <w:spacing w:after="0"/>
              <w:rPr>
                <w:sz w:val="1"/>
                <w:szCs w:val="1"/>
                <w:color w:val="auto"/>
              </w:rPr>
            </w:pPr>
          </w:p>
        </w:tc>
      </w:tr>
      <w:tr>
        <w:trPr>
          <w:trHeight w:val="213"/>
        </w:trPr>
        <w:tc>
          <w:tcPr>
            <w:tcW w:w="5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20.01</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20.67</w:t>
            </w:r>
          </w:p>
        </w:tc>
        <w:tc>
          <w:tcPr>
            <w:tcW w:w="0" w:type="dxa"/>
            <w:vAlign w:val="bottom"/>
          </w:tcPr>
          <w:p>
            <w:pPr>
              <w:spacing w:after="0"/>
              <w:rPr>
                <w:sz w:val="1"/>
                <w:szCs w:val="1"/>
                <w:color w:val="auto"/>
              </w:rPr>
            </w:pPr>
          </w:p>
        </w:tc>
      </w:tr>
      <w:tr>
        <w:trPr>
          <w:trHeight w:val="219"/>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27.73</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12.19</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22.17</w:t>
            </w: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Expired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26.22</w:t>
            </w:r>
          </w:p>
        </w:tc>
        <w:tc>
          <w:tcPr>
            <w:tcW w:w="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22.34</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1,811</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21.44</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The aggregate intrinsic value of options outstanding, vested, unvested and exercised as of and for the years ended December 31, 2025, 2024, and 2023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3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6"/>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1200" w:type="dxa"/>
            <w:vAlign w:val="bottom"/>
            <w:tcBorders>
              <w:bottom w:val="single" w:sz="8" w:color="auto"/>
            </w:tcBorders>
          </w:tcPr>
          <w:p>
            <w:pPr>
              <w:spacing w:after="0"/>
              <w:rPr>
                <w:sz w:val="19"/>
                <w:szCs w:val="19"/>
                <w:color w:val="auto"/>
              </w:rPr>
            </w:pPr>
          </w:p>
        </w:tc>
      </w:tr>
      <w:tr>
        <w:trPr>
          <w:trHeight w:val="212"/>
        </w:trPr>
        <w:tc>
          <w:tcPr>
            <w:tcW w:w="6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32,493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28,471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3,776</w:t>
            </w:r>
          </w:p>
        </w:tc>
      </w:tr>
      <w:tr>
        <w:trPr>
          <w:trHeight w:val="219"/>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16,747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2,699</w:t>
            </w:r>
          </w:p>
        </w:tc>
      </w:tr>
      <w:tr>
        <w:trPr>
          <w:trHeight w:val="21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15,746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1,077</w:t>
            </w:r>
          </w:p>
        </w:tc>
      </w:tr>
      <w:tr>
        <w:trPr>
          <w:trHeight w:val="223"/>
        </w:trPr>
        <w:tc>
          <w:tcPr>
            <w:tcW w:w="6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577</w:t>
            </w:r>
          </w:p>
        </w:tc>
      </w:tr>
    </w:tbl>
    <w:p>
      <w:pPr>
        <w:spacing w:after="0" w:line="186"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intrinsic value is calculated as the difference between the market value of the underlying common stock and the exercise price of the options. During 2025, 2024, and 2023, the aggregate fair value of options that vested was $5,312, $4,069, and $3,268, respectively. There were 2,556 unvested and outstanding options at December 31, 2025. The weighted average contractual life for options outstanding, vested and expected to vest at December 31, 2025 was 7.14 years.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Restricted Stock</w:t>
      </w:r>
    </w:p>
    <w:p>
      <w:pPr>
        <w:spacing w:after="0" w:line="247"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Under the Pennant Plans, the Company granted Restricted Stock to Pennant employees, Ensign employees, and to non-employee directors. All awards generally vest between three to five years. During 2025, 2024, and 2023, the aggregate fair value of restricted awards that vested was $2,797, $5,825, and $2,483, respectively. A summary of the status of Pennant’s non-vested Restricted Stock, and changes during the year ended December 31, 2025, is presented below:</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8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Non-Vested Restricted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ind w:right="136"/>
              <w:spacing w:after="0"/>
              <w:rPr>
                <w:sz w:val="20"/>
                <w:szCs w:val="20"/>
                <w:color w:val="auto"/>
              </w:rPr>
            </w:pPr>
            <w:r>
              <w:rPr>
                <w:rFonts w:ascii="Times New Roman" w:cs="Times New Roman" w:eastAsia="Times New Roman" w:hAnsi="Times New Roman"/>
                <w:sz w:val="15"/>
                <w:szCs w:val="15"/>
                <w:b w:val="1"/>
                <w:bCs w:val="1"/>
                <w:color w:val="auto"/>
              </w:rPr>
              <w:t>Weighted Average</w:t>
            </w:r>
          </w:p>
        </w:tc>
      </w:tr>
      <w:tr>
        <w:trPr>
          <w:trHeight w:val="205"/>
        </w:trPr>
        <w:tc>
          <w:tcPr>
            <w:tcW w:w="784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5"/>
                <w:szCs w:val="15"/>
                <w:b w:val="1"/>
                <w:bCs w:val="1"/>
                <w:color w:val="auto"/>
              </w:rPr>
              <w:t>Awards</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Grant Date Fair Value</w:t>
            </w:r>
          </w:p>
        </w:tc>
      </w:tr>
      <w:tr>
        <w:trPr>
          <w:trHeight w:val="213"/>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16.27</w:t>
            </w:r>
          </w:p>
        </w:tc>
      </w:tr>
      <w:tr>
        <w:trPr>
          <w:trHeight w:val="219"/>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25.05</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w:t>
            </w:r>
          </w:p>
        </w:tc>
      </w:tr>
      <w:tr>
        <w:trPr>
          <w:trHeight w:val="219"/>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Forfeited</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7"/>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LEASES</w:t>
      </w:r>
    </w:p>
    <w:p>
      <w:pPr>
        <w:spacing w:after="0" w:line="66"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The Company has operating leases through which its independent operating subsidiaries lease administrative offices of home health and hospice agencies, senior living communities, and corporate offices with initial lease terms ranging from one to 25 years. Most of these operating leases are non-cancelable, contain renewal options, most involve rent increases and none contain purchase options. The lease term excludes lease renewals because the renewal rents are not at a bargain, there are no economic penalties for the Company to renew the lease, and it is not reasonably certain that the Company will exercise the extension options. The Company elected the accounting policy practical expedients in ASC 842 to: (i) combine associated lease and non-lease components into a single lease component; and (ii) exclude recording short-term leases as right-of-use assets and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liabilities on the Consolidated Balance Sheets. Non-lease components, which are not significant overall, are combined with lease components. The Company also has finance leases which have initial terms between 2 and 5 years. As of December 31, 2025, the Company has a real estate lease with a purchase option that the Company is reasonably certain to exercise and leased vehicles that are considered finance leases under ASC 842.</w:t>
      </w:r>
    </w:p>
    <w:p>
      <w:pPr>
        <w:spacing w:after="0" w:line="191"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As of December 31, 2025, the Company’s independent operating subsidiaries leased 32 senior living communities from subsidiaries of Ensign (“Ensign Leases”) under two master lease arrangements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existing leases with subsidiaries of Ensign are for initial terms of between 14 to 20 years. The total amount of rent expense included in rent - cost of services paid to subsidiaries of Ensign was $15,116, $14,018, and $13,567, for the years ended December 31, 2025, 2024, and 2023, respectively. In addition to rent, each of the operating companies are required to pay the following: (1) all impositions and taxes levied on or with respect to the leased properties (other than taxes on the income of the lessor); (2) all utilities and other services necessary or appropriate for the leased properties and the business conducted on the leased properties; (3) all insurance required in connection with the leased properties and the business conducted on the leased properties; (4) all community maintenance and repair costs; and (5) all fees in connection with any licenses or authorizations necessary or appropriate for the leased properties and the business conducted on the leased properties.</w:t>
      </w:r>
    </w:p>
    <w:p>
      <w:pPr>
        <w:spacing w:after="0" w:line="20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Fourteen of the Company’s affiliated senior living communities, excluding the communities that are operated under the Ensign Leases (as defined herein), are operated under three separate master lease arrangements. Under these master leases, a breach at a single community could subject one or more of the other communities covered by the same master lease to the same default risk. Failure to comply with Medicare and Medicaid provider requirements is a default under several of the Company’s leases and master leases. With an indivisible lease, it is difficult to restructure the composition of the portfolio or economic terms of the master lease without the consent of the landlord.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10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Finance lease balances as of December 31, 2025 and December 31, 2024 are as follows: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7"/>
        </w:trPr>
        <w:tc>
          <w:tcPr>
            <w:tcW w:w="8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0" w:type="dxa"/>
            <w:vAlign w:val="bottom"/>
          </w:tcPr>
          <w:p>
            <w:pPr>
              <w:spacing w:after="0"/>
              <w:rPr>
                <w:sz w:val="1"/>
                <w:szCs w:val="1"/>
                <w:color w:val="auto"/>
              </w:rPr>
            </w:pPr>
          </w:p>
        </w:tc>
      </w:tr>
      <w:tr>
        <w:trPr>
          <w:trHeight w:val="212"/>
        </w:trPr>
        <w:tc>
          <w:tcPr>
            <w:tcW w:w="8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Finance lease balances: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199"/>
        </w:trPr>
        <w:tc>
          <w:tcPr>
            <w:tcW w:w="81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Finance right-of-use assets</w:t>
            </w:r>
            <w:r>
              <w:rPr>
                <w:rFonts w:ascii="Times New Roman" w:cs="Times New Roman" w:eastAsia="Times New Roman" w:hAnsi="Times New Roman"/>
                <w:sz w:val="22"/>
                <w:szCs w:val="22"/>
                <w:color w:val="auto"/>
                <w:vertAlign w:val="superscript"/>
              </w:rPr>
              <w:t>(a)</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w:t>
            </w:r>
          </w:p>
        </w:tc>
        <w:tc>
          <w:tcPr>
            <w:tcW w:w="0" w:type="dxa"/>
            <w:vAlign w:val="bottom"/>
          </w:tcPr>
          <w:p>
            <w:pPr>
              <w:spacing w:after="0"/>
              <w:rPr>
                <w:sz w:val="1"/>
                <w:szCs w:val="1"/>
                <w:color w:val="auto"/>
              </w:rPr>
            </w:pPr>
          </w:p>
        </w:tc>
      </w:tr>
      <w:tr>
        <w:trPr>
          <w:trHeight w:val="219"/>
        </w:trPr>
        <w:tc>
          <w:tcPr>
            <w:tcW w:w="810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Finance lease liabilities—current</w:t>
            </w:r>
            <w:r>
              <w:rPr>
                <w:rFonts w:ascii="Times New Roman" w:cs="Times New Roman" w:eastAsia="Times New Roman" w:hAnsi="Times New Roman"/>
                <w:sz w:val="22"/>
                <w:szCs w:val="22"/>
                <w:color w:val="auto"/>
                <w:vertAlign w:val="superscript"/>
              </w:rPr>
              <w:t>(b)</w:t>
            </w: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7"/>
                <w:szCs w:val="17"/>
                <w:color w:val="auto"/>
              </w:rPr>
              <w:t>Long-term finance lease liabilities—less current portion</w:t>
            </w:r>
            <w:r>
              <w:rPr>
                <w:rFonts w:ascii="Times New Roman" w:cs="Times New Roman" w:eastAsia="Times New Roman" w:hAnsi="Times New Roman"/>
                <w:sz w:val="22"/>
                <w:szCs w:val="22"/>
                <w:color w:val="auto"/>
                <w:vertAlign w:val="superscript"/>
              </w:rPr>
              <w:t>(c)</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60" w:hanging="440"/>
        <w:spacing w:after="0"/>
        <w:tabs>
          <w:tab w:leader="none" w:pos="4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Finance right-of-use assets are included in Restricted and other assets on our Consolidated Balance Sheets.</w:t>
      </w:r>
    </w:p>
    <w:p>
      <w:pPr>
        <w:spacing w:after="0" w:line="32" w:lineRule="exact"/>
        <w:rPr>
          <w:rFonts w:ascii="Times New Roman" w:cs="Times New Roman" w:eastAsia="Times New Roman" w:hAnsi="Times New Roman"/>
          <w:sz w:val="14"/>
          <w:szCs w:val="14"/>
          <w:color w:val="auto"/>
        </w:rPr>
      </w:pPr>
    </w:p>
    <w:p>
      <w:pPr>
        <w:ind w:left="460" w:hanging="440"/>
        <w:spacing w:after="0"/>
        <w:tabs>
          <w:tab w:leader="none" w:pos="4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Finance lease liabilities—current are included in Other accrued liabilities on our Consolidated Balance Sheets.</w:t>
      </w:r>
    </w:p>
    <w:p>
      <w:pPr>
        <w:spacing w:after="0" w:line="32" w:lineRule="exact"/>
        <w:rPr>
          <w:rFonts w:ascii="Times New Roman" w:cs="Times New Roman" w:eastAsia="Times New Roman" w:hAnsi="Times New Roman"/>
          <w:sz w:val="14"/>
          <w:szCs w:val="14"/>
          <w:color w:val="auto"/>
        </w:rPr>
      </w:pPr>
    </w:p>
    <w:p>
      <w:pPr>
        <w:ind w:left="460" w:hanging="440"/>
        <w:spacing w:after="0"/>
        <w:tabs>
          <w:tab w:leader="none" w:pos="4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Long-term finance lease liabilities—less current portion are included in Other long-term liabilities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components of total lease cost, net are as follows:</w:t>
            </w:r>
          </w:p>
        </w:tc>
        <w:tc>
          <w:tcPr>
            <w:tcW w:w="9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477"/>
        </w:trPr>
        <w:tc>
          <w:tcPr>
            <w:tcW w:w="67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6"/>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080" w:type="dxa"/>
            <w:vAlign w:val="bottom"/>
            <w:tcBorders>
              <w:bottom w:val="single" w:sz="8" w:color="auto"/>
            </w:tcBorders>
          </w:tcPr>
          <w:p>
            <w:pPr>
              <w:spacing w:after="0"/>
              <w:rPr>
                <w:sz w:val="24"/>
                <w:szCs w:val="24"/>
                <w:color w:val="auto"/>
              </w:rPr>
            </w:pPr>
          </w:p>
        </w:tc>
      </w:tr>
      <w:tr>
        <w:trPr>
          <w:trHeight w:val="212"/>
        </w:trPr>
        <w:tc>
          <w:tcPr>
            <w:tcW w:w="67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9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lease costs:</w:t>
            </w: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9"/>
        </w:trPr>
        <w:tc>
          <w:tcPr>
            <w:tcW w:w="6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Community Rent—cost of services</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4"/>
              </w:rPr>
              <w:t>38,949</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35,840</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33,992</w:t>
            </w: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Office Rent—cost of services</w:t>
            </w:r>
          </w:p>
        </w:tc>
        <w:tc>
          <w:tcPr>
            <w:tcW w:w="9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9,751</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7,189</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5,767</w:t>
            </w:r>
          </w:p>
        </w:tc>
      </w:tr>
      <w:tr>
        <w:trPr>
          <w:trHeight w:val="212"/>
        </w:trPr>
        <w:tc>
          <w:tcPr>
            <w:tcW w:w="6740" w:type="dxa"/>
            <w:vAlign w:val="bottom"/>
          </w:tcPr>
          <w:p>
            <w:pPr>
              <w:ind w:left="220"/>
              <w:spacing w:after="0" w:line="212" w:lineRule="exact"/>
              <w:rPr>
                <w:sz w:val="20"/>
                <w:szCs w:val="20"/>
                <w:color w:val="auto"/>
              </w:rPr>
            </w:pPr>
            <w:r>
              <w:rPr>
                <w:rFonts w:ascii="Times New Roman" w:cs="Times New Roman" w:eastAsia="Times New Roman" w:hAnsi="Times New Roman"/>
                <w:sz w:val="17"/>
                <w:szCs w:val="17"/>
                <w:color w:val="auto"/>
              </w:rPr>
              <w:t>Rent—cost of services</w:t>
            </w:r>
            <w:r>
              <w:rPr>
                <w:rFonts w:ascii="Times New Roman" w:cs="Times New Roman" w:eastAsia="Times New Roman" w:hAnsi="Times New Roman"/>
                <w:sz w:val="22"/>
                <w:szCs w:val="22"/>
                <w:color w:val="auto"/>
                <w:vertAlign w:val="superscript"/>
              </w:rPr>
              <w:t>(a)</w:t>
            </w:r>
          </w:p>
        </w:tc>
        <w:tc>
          <w:tcPr>
            <w:tcW w:w="90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4"/>
              </w:rPr>
              <w:t>48,700</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43,029</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39,759</w:t>
            </w:r>
          </w:p>
        </w:tc>
      </w:tr>
      <w:tr>
        <w:trPr>
          <w:trHeight w:val="20"/>
        </w:trPr>
        <w:tc>
          <w:tcPr>
            <w:tcW w:w="67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11"/>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 expense</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w:t>
            </w:r>
          </w:p>
        </w:tc>
      </w:tr>
      <w:tr>
        <w:trPr>
          <w:trHeight w:val="219"/>
        </w:trPr>
        <w:tc>
          <w:tcPr>
            <w:tcW w:w="674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Variable lease cost</w:t>
            </w:r>
            <w:r>
              <w:rPr>
                <w:rFonts w:ascii="Times New Roman" w:cs="Times New Roman" w:eastAsia="Times New Roman" w:hAnsi="Times New Roman"/>
                <w:sz w:val="22"/>
                <w:szCs w:val="22"/>
                <w:color w:val="auto"/>
                <w:vertAlign w:val="superscript"/>
              </w:rPr>
              <w:t>(b)</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9,729</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8,688</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7,369</w:t>
            </w:r>
          </w:p>
        </w:tc>
      </w:tr>
      <w:tr>
        <w:trPr>
          <w:trHeight w:val="21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Finance lease costs:</w:t>
            </w: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9"/>
        </w:trPr>
        <w:tc>
          <w:tcPr>
            <w:tcW w:w="6740" w:type="dxa"/>
            <w:vAlign w:val="bottom"/>
          </w:tcPr>
          <w:p>
            <w:pPr>
              <w:ind w:left="120"/>
              <w:spacing w:after="0" w:line="219" w:lineRule="exact"/>
              <w:rPr>
                <w:sz w:val="20"/>
                <w:szCs w:val="20"/>
                <w:color w:val="auto"/>
              </w:rPr>
            </w:pPr>
            <w:r>
              <w:rPr>
                <w:rFonts w:ascii="Times New Roman" w:cs="Times New Roman" w:eastAsia="Times New Roman" w:hAnsi="Times New Roman"/>
                <w:sz w:val="17"/>
                <w:szCs w:val="17"/>
                <w:color w:val="auto"/>
              </w:rPr>
              <w:t>Amortization of lease assets</w:t>
            </w:r>
            <w:r>
              <w:rPr>
                <w:rFonts w:ascii="Times New Roman" w:cs="Times New Roman" w:eastAsia="Times New Roman" w:hAnsi="Times New Roman"/>
                <w:sz w:val="22"/>
                <w:szCs w:val="22"/>
                <w:color w:val="auto"/>
                <w:vertAlign w:val="superscript"/>
              </w:rPr>
              <w:t>(c)</w:t>
            </w:r>
          </w:p>
        </w:tc>
        <w:tc>
          <w:tcPr>
            <w:tcW w:w="900" w:type="dxa"/>
            <w:vAlign w:val="bottom"/>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19"/>
        </w:trPr>
        <w:tc>
          <w:tcPr>
            <w:tcW w:w="674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7"/>
                <w:szCs w:val="17"/>
                <w:color w:val="auto"/>
              </w:rPr>
              <w:t>Interest on lease liabilities</w:t>
            </w:r>
            <w:r>
              <w:rPr>
                <w:rFonts w:ascii="Times New Roman" w:cs="Times New Roman" w:eastAsia="Times New Roman" w:hAnsi="Times New Roman"/>
                <w:sz w:val="22"/>
                <w:szCs w:val="22"/>
                <w:color w:val="auto"/>
                <w:vertAlign w:val="superscript"/>
              </w:rPr>
              <w:t>(d)</w:t>
            </w:r>
          </w:p>
        </w:tc>
        <w:tc>
          <w:tcPr>
            <w:tcW w:w="90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r>
    </w:tbl>
    <w:p>
      <w:pPr>
        <w:spacing w:after="0" w:line="96" w:lineRule="exact"/>
        <w:rPr>
          <w:sz w:val="20"/>
          <w:szCs w:val="20"/>
          <w:color w:val="auto"/>
        </w:rPr>
      </w:pPr>
    </w:p>
    <w:p>
      <w:pPr>
        <w:ind w:left="460" w:hanging="440"/>
        <w:spacing w:after="0"/>
        <w:tabs>
          <w:tab w:leader="none" w:pos="4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short-term lease cost, which is immaterial</w:t>
      </w:r>
    </w:p>
    <w:p>
      <w:pPr>
        <w:spacing w:after="0" w:line="32" w:lineRule="exact"/>
        <w:rPr>
          <w:rFonts w:ascii="Times New Roman" w:cs="Times New Roman" w:eastAsia="Times New Roman" w:hAnsi="Times New Roman"/>
          <w:sz w:val="14"/>
          <w:szCs w:val="14"/>
          <w:color w:val="auto"/>
        </w:rPr>
      </w:pPr>
    </w:p>
    <w:p>
      <w:pPr>
        <w:ind w:left="460" w:right="20" w:hanging="440"/>
        <w:spacing w:after="0" w:line="238" w:lineRule="auto"/>
        <w:tabs>
          <w:tab w:leader="none" w:pos="4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variable lease cost for operating leases including property taxes, insurance, common area maintenance, and consumer price index increases. Costs of $5,263, $5,348, and $4,891 are recorded in cost of services and $4,466, $3,340, and $2,478 are included in rent-cost of services for the years ended December 31, 2025, 2024, and 2023.</w:t>
      </w:r>
    </w:p>
    <w:p>
      <w:pPr>
        <w:spacing w:after="0" w:line="3" w:lineRule="exact"/>
        <w:rPr>
          <w:rFonts w:ascii="Times New Roman" w:cs="Times New Roman" w:eastAsia="Times New Roman" w:hAnsi="Times New Roman"/>
          <w:sz w:val="14"/>
          <w:szCs w:val="14"/>
          <w:color w:val="auto"/>
        </w:rPr>
      </w:pPr>
    </w:p>
    <w:p>
      <w:pPr>
        <w:ind w:left="460" w:hanging="440"/>
        <w:spacing w:after="0"/>
        <w:tabs>
          <w:tab w:leader="none" w:pos="4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of lease assets is included in Depreciation and amortization on our Consolidated Statements of Income.</w:t>
      </w:r>
    </w:p>
    <w:p>
      <w:pPr>
        <w:spacing w:after="0" w:line="32" w:lineRule="exact"/>
        <w:rPr>
          <w:rFonts w:ascii="Times New Roman" w:cs="Times New Roman" w:eastAsia="Times New Roman" w:hAnsi="Times New Roman"/>
          <w:sz w:val="14"/>
          <w:szCs w:val="14"/>
          <w:color w:val="auto"/>
        </w:rPr>
      </w:pPr>
    </w:p>
    <w:p>
      <w:pPr>
        <w:ind w:left="460" w:hanging="440"/>
        <w:spacing w:after="0"/>
        <w:tabs>
          <w:tab w:leader="none" w:pos="46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on lease liabilities is included in Interest expense, net on our Consolidated Statements of Income.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following table shows the lease maturity analysis for all leases as of December 31, 2025:</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5"/>
        </w:trPr>
        <w:tc>
          <w:tcPr>
            <w:tcW w:w="808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Year</w:t>
            </w:r>
          </w:p>
        </w:tc>
        <w:tc>
          <w:tcPr>
            <w:tcW w:w="140" w:type="dxa"/>
            <w:vAlign w:val="bottom"/>
          </w:tcPr>
          <w:p>
            <w:pPr>
              <w:spacing w:after="0"/>
              <w:rPr>
                <w:sz w:val="24"/>
                <w:szCs w:val="24"/>
                <w:color w:val="auto"/>
              </w:rPr>
            </w:pPr>
          </w:p>
        </w:tc>
        <w:tc>
          <w:tcPr>
            <w:tcW w:w="142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Operating Lease</w:t>
            </w:r>
          </w:p>
        </w:tc>
        <w:tc>
          <w:tcPr>
            <w:tcW w:w="180" w:type="dxa"/>
            <w:vAlign w:val="bottom"/>
          </w:tcPr>
          <w:p>
            <w:pPr>
              <w:spacing w:after="0"/>
              <w:rPr>
                <w:sz w:val="24"/>
                <w:szCs w:val="24"/>
                <w:color w:val="auto"/>
              </w:rPr>
            </w:pPr>
          </w:p>
        </w:tc>
        <w:tc>
          <w:tcPr>
            <w:tcW w:w="140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Finance Lease</w:t>
            </w:r>
          </w:p>
        </w:tc>
        <w:tc>
          <w:tcPr>
            <w:tcW w:w="0" w:type="dxa"/>
            <w:vAlign w:val="bottom"/>
          </w:tcPr>
          <w:p>
            <w:pPr>
              <w:spacing w:after="0"/>
              <w:rPr>
                <w:sz w:val="1"/>
                <w:szCs w:val="1"/>
                <w:color w:val="auto"/>
              </w:rPr>
            </w:pPr>
          </w:p>
        </w:tc>
      </w:tr>
      <w:tr>
        <w:trPr>
          <w:trHeight w:val="232"/>
        </w:trPr>
        <w:tc>
          <w:tcPr>
            <w:tcW w:w="808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Amounts</w:t>
            </w: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Amounts</w:t>
            </w:r>
          </w:p>
        </w:tc>
        <w:tc>
          <w:tcPr>
            <w:tcW w:w="0" w:type="dxa"/>
            <w:vAlign w:val="bottom"/>
          </w:tcPr>
          <w:p>
            <w:pPr>
              <w:spacing w:after="0"/>
              <w:rPr>
                <w:sz w:val="1"/>
                <w:szCs w:val="1"/>
                <w:color w:val="auto"/>
              </w:rPr>
            </w:pPr>
          </w:p>
        </w:tc>
      </w:tr>
      <w:tr>
        <w:trPr>
          <w:trHeight w:val="21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45,787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w:t>
            </w:r>
          </w:p>
        </w:tc>
        <w:tc>
          <w:tcPr>
            <w:tcW w:w="0" w:type="dxa"/>
            <w:vAlign w:val="bottom"/>
          </w:tcPr>
          <w:p>
            <w:pPr>
              <w:spacing w:after="0"/>
              <w:rPr>
                <w:sz w:val="1"/>
                <w:szCs w:val="1"/>
                <w:color w:val="auto"/>
              </w:rPr>
            </w:pPr>
          </w:p>
        </w:tc>
      </w:tr>
      <w:tr>
        <w:trPr>
          <w:trHeight w:val="219"/>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43,389</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5,703</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40,546</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0" w:type="dxa"/>
            <w:vAlign w:val="bottom"/>
          </w:tcPr>
          <w:p>
            <w:pPr>
              <w:spacing w:after="0"/>
              <w:rPr>
                <w:sz w:val="1"/>
                <w:szCs w:val="1"/>
                <w:color w:val="auto"/>
              </w:rPr>
            </w:pPr>
          </w:p>
        </w:tc>
      </w:tr>
      <w:tr>
        <w:trPr>
          <w:trHeight w:val="219"/>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38,348</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2030</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36,722</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212,735</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417,527</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7,151</w:t>
            </w:r>
          </w:p>
        </w:tc>
        <w:tc>
          <w:tcPr>
            <w:tcW w:w="0" w:type="dxa"/>
            <w:vAlign w:val="bottom"/>
          </w:tcPr>
          <w:p>
            <w:pPr>
              <w:spacing w:after="0"/>
              <w:rPr>
                <w:sz w:val="1"/>
                <w:szCs w:val="1"/>
                <w:color w:val="auto"/>
              </w:rPr>
            </w:pPr>
          </w:p>
        </w:tc>
      </w:tr>
      <w:tr>
        <w:trPr>
          <w:trHeight w:val="219"/>
        </w:trPr>
        <w:tc>
          <w:tcPr>
            <w:tcW w:w="8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Less: present value adjustments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(138,203)</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0" w:type="dxa"/>
            <w:vAlign w:val="bottom"/>
          </w:tcPr>
          <w:p>
            <w:pPr>
              <w:spacing w:after="0"/>
              <w:rPr>
                <w:sz w:val="1"/>
                <w:szCs w:val="1"/>
                <w:color w:val="auto"/>
              </w:rPr>
            </w:pPr>
          </w:p>
        </w:tc>
      </w:tr>
      <w:tr>
        <w:trPr>
          <w:trHeight w:val="21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total lease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279,324</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6,663</w:t>
            </w:r>
          </w:p>
        </w:tc>
        <w:tc>
          <w:tcPr>
            <w:tcW w:w="0" w:type="dxa"/>
            <w:vAlign w:val="bottom"/>
          </w:tcPr>
          <w:p>
            <w:pPr>
              <w:spacing w:after="0"/>
              <w:rPr>
                <w:sz w:val="1"/>
                <w:szCs w:val="1"/>
                <w:color w:val="auto"/>
              </w:rPr>
            </w:pPr>
          </w:p>
        </w:tc>
      </w:tr>
      <w:tr>
        <w:trPr>
          <w:trHeight w:val="212"/>
        </w:trPr>
        <w:tc>
          <w:tcPr>
            <w:tcW w:w="8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Less: current lease liabilities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(25,013)</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(818)</w:t>
            </w:r>
          </w:p>
        </w:tc>
        <w:tc>
          <w:tcPr>
            <w:tcW w:w="0" w:type="dxa"/>
            <w:vAlign w:val="bottom"/>
          </w:tcPr>
          <w:p>
            <w:pPr>
              <w:spacing w:after="0"/>
              <w:rPr>
                <w:sz w:val="1"/>
                <w:szCs w:val="1"/>
                <w:color w:val="auto"/>
              </w:rPr>
            </w:pPr>
          </w:p>
        </w:tc>
      </w:tr>
      <w:tr>
        <w:trPr>
          <w:trHeight w:val="237"/>
        </w:trPr>
        <w:tc>
          <w:tcPr>
            <w:tcW w:w="8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254,311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5,845</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Lease liabilities are based on the net present value of the remaining lease payments over the remaining lease term. In determining the present value of lease payments, the Company used its incremental borrowing rate based on the information available at each lease’s commencement date to determine each lease's operating lease liability. As of December 31, 2025, for our operating leases, the weighted average remaining lease term is 10.7 years and the weighted average discount rate is 7.9%. As of December 31, 2025, for our finance leases, the weighted average remaining lease term is 1.5 years and the weighted average discount rate is 6.34%.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INCOME TAXES</w:t>
      </w:r>
    </w:p>
    <w:p>
      <w:pPr>
        <w:spacing w:after="0" w:line="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provision for income tax expense for the years ended December 31, 2025, 2024, and 2023 is summarized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6"/>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00" w:type="dxa"/>
            <w:vAlign w:val="bottom"/>
            <w:tcBorders>
              <w:bottom w:val="single" w:sz="8" w:color="auto"/>
            </w:tcBorders>
          </w:tcPr>
          <w:p>
            <w:pPr>
              <w:spacing w:after="0"/>
              <w:rPr>
                <w:sz w:val="19"/>
                <w:szCs w:val="19"/>
                <w:color w:val="auto"/>
              </w:rPr>
            </w:pPr>
          </w:p>
        </w:tc>
      </w:tr>
      <w:tr>
        <w:trPr>
          <w:trHeight w:val="212"/>
        </w:trPr>
        <w:tc>
          <w:tcPr>
            <w:tcW w:w="67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9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9"/>
        </w:trPr>
        <w:tc>
          <w:tcPr>
            <w:tcW w:w="6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Federal</w:t>
            </w:r>
          </w:p>
        </w:tc>
        <w:tc>
          <w:tcPr>
            <w:tcW w:w="900" w:type="dxa"/>
            <w:vAlign w:val="bottom"/>
          </w:tcPr>
          <w:p>
            <w:pPr>
              <w:jc w:val="right"/>
              <w:ind w:right="69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10,429</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6,449</w:t>
            </w:r>
          </w:p>
        </w:tc>
        <w:tc>
          <w:tcPr>
            <w:tcW w:w="100" w:type="dxa"/>
            <w:vAlign w:val="bottom"/>
          </w:tcPr>
          <w:p>
            <w:pPr>
              <w:spacing w:after="0"/>
              <w:rPr>
                <w:sz w:val="19"/>
                <w:szCs w:val="19"/>
                <w:color w:val="auto"/>
              </w:rPr>
            </w:pPr>
          </w:p>
        </w:tc>
        <w:tc>
          <w:tcPr>
            <w:tcW w:w="360" w:type="dxa"/>
            <w:vAlign w:val="bottom"/>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1,178</w:t>
            </w:r>
          </w:p>
        </w:tc>
      </w:tr>
      <w:tr>
        <w:trPr>
          <w:trHeight w:val="21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State</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w:t>
            </w:r>
          </w:p>
        </w:tc>
      </w:tr>
      <w:tr>
        <w:trPr>
          <w:trHeight w:val="212"/>
        </w:trPr>
        <w:tc>
          <w:tcPr>
            <w:tcW w:w="67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current</w:t>
            </w: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14,056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8,215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1,670</w:t>
            </w:r>
          </w:p>
        </w:tc>
      </w:tr>
      <w:tr>
        <w:trPr>
          <w:trHeight w:val="19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w:t>
            </w:r>
          </w:p>
        </w:tc>
        <w:tc>
          <w:tcPr>
            <w:tcW w:w="9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9"/>
        </w:trPr>
        <w:tc>
          <w:tcPr>
            <w:tcW w:w="6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Federal</w:t>
            </w:r>
          </w:p>
        </w:tc>
        <w:tc>
          <w:tcPr>
            <w:tcW w:w="9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3,217</w:t>
            </w:r>
          </w:p>
        </w:tc>
      </w:tr>
      <w:tr>
        <w:trPr>
          <w:trHeight w:val="21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State</w:t>
            </w:r>
          </w:p>
        </w:tc>
        <w:tc>
          <w:tcPr>
            <w:tcW w:w="9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w:t>
            </w:r>
          </w:p>
        </w:tc>
      </w:tr>
      <w:tr>
        <w:trPr>
          <w:trHeight w:val="212"/>
        </w:trPr>
        <w:tc>
          <w:tcPr>
            <w:tcW w:w="67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7"/>
                <w:szCs w:val="17"/>
                <w:color w:val="auto"/>
              </w:rPr>
              <w:t>Total deferred</w:t>
            </w: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(1,187)</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4,004</w:t>
            </w:r>
          </w:p>
        </w:tc>
      </w:tr>
      <w:tr>
        <w:trPr>
          <w:trHeight w:val="237"/>
        </w:trPr>
        <w:tc>
          <w:tcPr>
            <w:tcW w:w="67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provision for income taxes</w:t>
            </w:r>
          </w:p>
        </w:tc>
        <w:tc>
          <w:tcPr>
            <w:tcW w:w="900" w:type="dxa"/>
            <w:vAlign w:val="bottom"/>
            <w:tcBorders>
              <w:bottom w:val="single" w:sz="8" w:color="auto"/>
            </w:tcBorders>
            <w:shd w:val="clear" w:color="auto" w:fill="CCEEFF"/>
          </w:tcPr>
          <w:p>
            <w:pPr>
              <w:jc w:val="right"/>
              <w:ind w:right="69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11,866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7,028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5,674</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A reconciliation of the federal statutory tax rate to the effective tax rate for income from continuing operations for the years ended December 31, 2025, 2024, and 2023, respectively, is comprised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r>
      <w:tr>
        <w:trPr>
          <w:trHeight w:val="212"/>
        </w:trPr>
        <w:tc>
          <w:tcPr>
            <w:tcW w:w="4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2024</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2023</w:t>
            </w:r>
          </w:p>
        </w:tc>
        <w:tc>
          <w:tcPr>
            <w:tcW w:w="740" w:type="dxa"/>
            <w:vAlign w:val="bottom"/>
            <w:tcBorders>
              <w:bottom w:val="single" w:sz="8" w:color="auto"/>
            </w:tcBorders>
          </w:tcPr>
          <w:p>
            <w:pPr>
              <w:spacing w:after="0"/>
              <w:rPr>
                <w:sz w:val="18"/>
                <w:szCs w:val="18"/>
                <w:color w:val="auto"/>
              </w:rPr>
            </w:pPr>
          </w:p>
        </w:tc>
      </w:tr>
      <w:tr>
        <w:trPr>
          <w:trHeight w:val="212"/>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 at statutory rate</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7"/>
                <w:szCs w:val="17"/>
                <w:color w:val="auto"/>
              </w:rPr>
              <w:t>9,582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ind w:right="454"/>
              <w:spacing w:after="0"/>
              <w:rPr>
                <w:sz w:val="20"/>
                <w:szCs w:val="20"/>
                <w:color w:val="auto"/>
              </w:rPr>
            </w:pPr>
            <w:r>
              <w:rPr>
                <w:rFonts w:ascii="Times New Roman" w:cs="Times New Roman" w:eastAsia="Times New Roman" w:hAnsi="Times New Roman"/>
                <w:sz w:val="17"/>
                <w:szCs w:val="17"/>
                <w:color w:val="auto"/>
              </w:rPr>
              <w:t>6,587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4,113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21.0 %</w:t>
            </w:r>
          </w:p>
        </w:tc>
      </w:tr>
      <w:tr>
        <w:trPr>
          <w:trHeight w:val="219"/>
        </w:trPr>
        <w:tc>
          <w:tcPr>
            <w:tcW w:w="4200" w:type="dxa"/>
            <w:vAlign w:val="bottom"/>
          </w:tcPr>
          <w:p>
            <w:pPr>
              <w:ind w:left="20"/>
              <w:spacing w:after="0" w:line="219" w:lineRule="exact"/>
              <w:rPr>
                <w:sz w:val="20"/>
                <w:szCs w:val="20"/>
                <w:color w:val="auto"/>
              </w:rPr>
            </w:pPr>
            <w:r>
              <w:rPr>
                <w:rFonts w:ascii="Times New Roman" w:cs="Times New Roman" w:eastAsia="Times New Roman" w:hAnsi="Times New Roman"/>
                <w:sz w:val="17"/>
                <w:szCs w:val="17"/>
                <w:color w:val="auto"/>
              </w:rPr>
              <w:t xml:space="preserve">State income taxes - net of federal benefit </w:t>
            </w:r>
            <w:r>
              <w:rPr>
                <w:rFonts w:ascii="Times New Roman" w:cs="Times New Roman" w:eastAsia="Times New Roman" w:hAnsi="Times New Roman"/>
                <w:sz w:val="22"/>
                <w:szCs w:val="22"/>
                <w:color w:val="auto"/>
                <w:vertAlign w:val="superscript"/>
              </w:rPr>
              <w:t>(a)</w:t>
            </w:r>
          </w:p>
        </w:tc>
        <w:tc>
          <w:tcPr>
            <w:tcW w:w="320" w:type="dxa"/>
            <w:vAlign w:val="bottom"/>
          </w:tcPr>
          <w:p>
            <w:pPr>
              <w:spacing w:after="0"/>
              <w:rPr>
                <w:sz w:val="19"/>
                <w:szCs w:val="19"/>
                <w:color w:val="auto"/>
              </w:rPr>
            </w:pPr>
          </w:p>
        </w:tc>
        <w:tc>
          <w:tcPr>
            <w:tcW w:w="124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2,578</w:t>
            </w: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1,314</w:t>
            </w: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1,031</w:t>
            </w: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5.3</w:t>
            </w:r>
          </w:p>
        </w:tc>
      </w:tr>
      <w:tr>
        <w:trPr>
          <w:trHeight w:val="21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Tax credits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(98)</w:t>
            </w:r>
          </w:p>
        </w:tc>
        <w:tc>
          <w:tcPr>
            <w:tcW w:w="7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(93)</w:t>
            </w:r>
          </w:p>
        </w:tc>
        <w:tc>
          <w:tcPr>
            <w:tcW w:w="7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(47)</w:t>
            </w:r>
          </w:p>
        </w:tc>
        <w:tc>
          <w:tcPr>
            <w:tcW w:w="7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(0.2)</w:t>
            </w:r>
          </w:p>
        </w:tc>
      </w:tr>
      <w:tr>
        <w:trPr>
          <w:trHeight w:val="219"/>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Nontaxable or nondeductible items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19"/>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Stock based compensation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(730)</w:t>
            </w:r>
          </w:p>
        </w:tc>
        <w:tc>
          <w:tcPr>
            <w:tcW w:w="7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(1,429)</w:t>
            </w:r>
          </w:p>
        </w:tc>
        <w:tc>
          <w:tcPr>
            <w:tcW w:w="7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(6)</w:t>
            </w:r>
          </w:p>
        </w:tc>
        <w:tc>
          <w:tcPr>
            <w:tcW w:w="7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4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Section 162(m) limitation</w:t>
            </w:r>
          </w:p>
        </w:tc>
        <w:tc>
          <w:tcPr>
            <w:tcW w:w="320" w:type="dxa"/>
            <w:vAlign w:val="bottom"/>
          </w:tcPr>
          <w:p>
            <w:pPr>
              <w:spacing w:after="0"/>
              <w:rPr>
                <w:sz w:val="19"/>
                <w:szCs w:val="19"/>
                <w:color w:val="auto"/>
              </w:rPr>
            </w:pPr>
          </w:p>
        </w:tc>
        <w:tc>
          <w:tcPr>
            <w:tcW w:w="124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1,295</w:t>
            </w: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972</w:t>
            </w: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593</w:t>
            </w: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3.0</w:t>
            </w:r>
          </w:p>
        </w:tc>
      </w:tr>
      <w:tr>
        <w:trPr>
          <w:trHeight w:val="219"/>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Noncontrolling interest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(1,040)</w:t>
            </w:r>
          </w:p>
        </w:tc>
        <w:tc>
          <w:tcPr>
            <w:tcW w:w="7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(443)</w:t>
            </w:r>
          </w:p>
        </w:tc>
        <w:tc>
          <w:tcPr>
            <w:tcW w:w="7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(133)</w:t>
            </w:r>
          </w:p>
        </w:tc>
        <w:tc>
          <w:tcPr>
            <w:tcW w:w="7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(0.7)</w:t>
            </w:r>
          </w:p>
        </w:tc>
      </w:tr>
      <w:tr>
        <w:trPr>
          <w:trHeight w:val="219"/>
        </w:trPr>
        <w:tc>
          <w:tcPr>
            <w:tcW w:w="42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 non-deductible expenses</w:t>
            </w:r>
          </w:p>
        </w:tc>
        <w:tc>
          <w:tcPr>
            <w:tcW w:w="320" w:type="dxa"/>
            <w:vAlign w:val="bottom"/>
          </w:tcPr>
          <w:p>
            <w:pPr>
              <w:spacing w:after="0"/>
              <w:rPr>
                <w:sz w:val="19"/>
                <w:szCs w:val="19"/>
                <w:color w:val="auto"/>
              </w:rPr>
            </w:pPr>
          </w:p>
        </w:tc>
        <w:tc>
          <w:tcPr>
            <w:tcW w:w="124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235</w:t>
            </w: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156</w:t>
            </w:r>
          </w:p>
        </w:tc>
        <w:tc>
          <w:tcPr>
            <w:tcW w:w="74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0.5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434"/>
              <w:spacing w:after="0"/>
              <w:rPr>
                <w:sz w:val="20"/>
                <w:szCs w:val="20"/>
                <w:color w:val="auto"/>
              </w:rPr>
            </w:pPr>
            <w:r>
              <w:rPr>
                <w:rFonts w:ascii="Times New Roman" w:cs="Times New Roman" w:eastAsia="Times New Roman" w:hAnsi="Times New Roman"/>
                <w:sz w:val="17"/>
                <w:szCs w:val="17"/>
                <w:color w:val="auto"/>
              </w:rPr>
              <w:t>204</w:t>
            </w: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1.0</w:t>
            </w:r>
          </w:p>
        </w:tc>
      </w:tr>
      <w:tr>
        <w:trPr>
          <w:trHeight w:val="219"/>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adjustments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434"/>
              <w:spacing w:after="0"/>
              <w:rPr>
                <w:sz w:val="20"/>
                <w:szCs w:val="20"/>
                <w:color w:val="auto"/>
              </w:rPr>
            </w:pPr>
            <w:r>
              <w:rPr>
                <w:rFonts w:ascii="Times New Roman" w:cs="Times New Roman" w:eastAsia="Times New Roman" w:hAnsi="Times New Roman"/>
                <w:sz w:val="17"/>
                <w:szCs w:val="17"/>
                <w:color w:val="auto"/>
              </w:rPr>
              <w:t>44</w:t>
            </w:r>
          </w:p>
        </w:tc>
        <w:tc>
          <w:tcPr>
            <w:tcW w:w="74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(36)</w:t>
            </w:r>
          </w:p>
        </w:tc>
        <w:tc>
          <w:tcPr>
            <w:tcW w:w="74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94"/>
              <w:spacing w:after="0"/>
              <w:rPr>
                <w:sz w:val="20"/>
                <w:szCs w:val="20"/>
                <w:color w:val="auto"/>
              </w:rPr>
            </w:pPr>
            <w:r>
              <w:rPr>
                <w:rFonts w:ascii="Times New Roman" w:cs="Times New Roman" w:eastAsia="Times New Roman" w:hAnsi="Times New Roman"/>
                <w:sz w:val="17"/>
                <w:szCs w:val="17"/>
                <w:color w:val="auto"/>
              </w:rPr>
              <w:t>(81)</w:t>
            </w:r>
          </w:p>
        </w:tc>
        <w:tc>
          <w:tcPr>
            <w:tcW w:w="74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(0.4)</w:t>
            </w:r>
          </w:p>
        </w:tc>
      </w:tr>
      <w:tr>
        <w:trPr>
          <w:trHeight w:val="212"/>
        </w:trPr>
        <w:tc>
          <w:tcPr>
            <w:tcW w:w="4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income tax expense at effective rate</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color w:val="auto"/>
              </w:rPr>
              <w:t>11,866</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26.0 %</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7"/>
                <w:szCs w:val="17"/>
                <w:color w:val="auto"/>
              </w:rPr>
              <w:t>7,028</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22.4 %</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7"/>
                <w:szCs w:val="17"/>
                <w:color w:val="auto"/>
              </w:rPr>
              <w:t>5,674</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29.0 %</w:t>
            </w:r>
          </w:p>
        </w:tc>
      </w:tr>
      <w:tr>
        <w:trPr>
          <w:trHeight w:val="20"/>
        </w:trPr>
        <w:tc>
          <w:tcPr>
            <w:tcW w:w="4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460" w:right="20" w:hanging="440"/>
        <w:spacing w:after="0" w:line="238" w:lineRule="auto"/>
        <w:tabs>
          <w:tab w:leader="none" w:pos="4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2025, state taxes in Arizona, California, and Oregon made up the majority (greater than 50%) of the tax effect in this category. In 2024 and 2023, state taxes in Arizona, California, and Wisconsin made up the majority (greater than 50%) of the tax effect in this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Company’s deferred tax assets and liabilities for the years ended December 31, 2025 and 2024 are summarized below.</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0" w:type="dxa"/>
            <w:vAlign w:val="bottom"/>
          </w:tcPr>
          <w:p>
            <w:pPr>
              <w:spacing w:after="0"/>
              <w:rPr>
                <w:sz w:val="1"/>
                <w:szCs w:val="1"/>
                <w:color w:val="auto"/>
              </w:rPr>
            </w:pPr>
          </w:p>
        </w:tc>
      </w:tr>
      <w:tr>
        <w:trPr>
          <w:trHeight w:val="212"/>
        </w:trPr>
        <w:tc>
          <w:tcPr>
            <w:tcW w:w="8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Deferred tax assets (liabilities):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2024</w:t>
            </w:r>
          </w:p>
        </w:tc>
        <w:tc>
          <w:tcPr>
            <w:tcW w:w="0" w:type="dxa"/>
            <w:vAlign w:val="bottom"/>
          </w:tcPr>
          <w:p>
            <w:pPr>
              <w:spacing w:after="0"/>
              <w:rPr>
                <w:sz w:val="1"/>
                <w:szCs w:val="1"/>
                <w:color w:val="auto"/>
              </w:rPr>
            </w:pPr>
          </w:p>
        </w:tc>
      </w:tr>
      <w:tr>
        <w:trPr>
          <w:trHeight w:val="199"/>
        </w:trPr>
        <w:tc>
          <w:tcPr>
            <w:tcW w:w="81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compensation</w:t>
            </w: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11,196</w:t>
            </w:r>
          </w:p>
        </w:tc>
        <w:tc>
          <w:tcPr>
            <w:tcW w:w="0" w:type="dxa"/>
            <w:vAlign w:val="bottom"/>
          </w:tcPr>
          <w:p>
            <w:pPr>
              <w:spacing w:after="0"/>
              <w:rPr>
                <w:sz w:val="1"/>
                <w:szCs w:val="1"/>
                <w:color w:val="auto"/>
              </w:rPr>
            </w:pPr>
          </w:p>
        </w:tc>
      </w:tr>
      <w:tr>
        <w:trPr>
          <w:trHeight w:val="21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Allowance for doubtful accounts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1,690</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 taxes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0" w:type="dxa"/>
            <w:vAlign w:val="bottom"/>
          </w:tcPr>
          <w:p>
            <w:pPr>
              <w:spacing w:after="0"/>
              <w:rPr>
                <w:sz w:val="1"/>
                <w:szCs w:val="1"/>
                <w:color w:val="auto"/>
              </w:rPr>
            </w:pPr>
          </w:p>
        </w:tc>
      </w:tr>
      <w:tr>
        <w:trPr>
          <w:trHeight w:val="21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70,706</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Insurance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w:t>
            </w:r>
          </w:p>
        </w:tc>
        <w:tc>
          <w:tcPr>
            <w:tcW w:w="0" w:type="dxa"/>
            <w:vAlign w:val="bottom"/>
          </w:tcPr>
          <w:p>
            <w:pPr>
              <w:spacing w:after="0"/>
              <w:rPr>
                <w:sz w:val="1"/>
                <w:szCs w:val="1"/>
                <w:color w:val="auto"/>
              </w:rPr>
            </w:pPr>
          </w:p>
        </w:tc>
      </w:tr>
      <w:tr>
        <w:trPr>
          <w:trHeight w:val="219"/>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1,276</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deferred tax assets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96,022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86,835</w:t>
            </w:r>
          </w:p>
        </w:tc>
        <w:tc>
          <w:tcPr>
            <w:tcW w:w="0" w:type="dxa"/>
            <w:vAlign w:val="bottom"/>
          </w:tcPr>
          <w:p>
            <w:pPr>
              <w:spacing w:after="0"/>
              <w:rPr>
                <w:sz w:val="1"/>
                <w:szCs w:val="1"/>
                <w:color w:val="auto"/>
              </w:rPr>
            </w:pPr>
          </w:p>
        </w:tc>
      </w:tr>
      <w:tr>
        <w:trPr>
          <w:trHeight w:val="212"/>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valuation allowance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deferred tax assets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95,825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86,835</w:t>
            </w:r>
          </w:p>
        </w:tc>
        <w:tc>
          <w:tcPr>
            <w:tcW w:w="0" w:type="dxa"/>
            <w:vAlign w:val="bottom"/>
          </w:tcPr>
          <w:p>
            <w:pPr>
              <w:spacing w:after="0"/>
              <w:rPr>
                <w:sz w:val="1"/>
                <w:szCs w:val="1"/>
                <w:color w:val="auto"/>
              </w:rPr>
            </w:pPr>
          </w:p>
        </w:tc>
      </w:tr>
      <w:tr>
        <w:trPr>
          <w:trHeight w:val="212"/>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(16,010)</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0" w:type="dxa"/>
            <w:vAlign w:val="bottom"/>
          </w:tcPr>
          <w:p>
            <w:pPr>
              <w:spacing w:after="0"/>
              <w:rPr>
                <w:sz w:val="1"/>
                <w:szCs w:val="1"/>
                <w:color w:val="auto"/>
              </w:rPr>
            </w:pPr>
          </w:p>
        </w:tc>
      </w:tr>
      <w:tr>
        <w:trPr>
          <w:trHeight w:val="219"/>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assets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(72,493)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(69,813)</w:t>
            </w:r>
          </w:p>
        </w:tc>
        <w:tc>
          <w:tcPr>
            <w:tcW w:w="0" w:type="dxa"/>
            <w:vAlign w:val="bottom"/>
          </w:tcPr>
          <w:p>
            <w:pPr>
              <w:spacing w:after="0"/>
              <w:rPr>
                <w:sz w:val="1"/>
                <w:szCs w:val="1"/>
                <w:color w:val="auto"/>
              </w:rPr>
            </w:pPr>
          </w:p>
        </w:tc>
      </w:tr>
      <w:tr>
        <w:trPr>
          <w:trHeight w:val="21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State taxes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(1,971)</w:t>
            </w:r>
          </w:p>
        </w:tc>
        <w:tc>
          <w:tcPr>
            <w:tcW w:w="0" w:type="dxa"/>
            <w:vAlign w:val="bottom"/>
          </w:tcPr>
          <w:p>
            <w:pPr>
              <w:spacing w:after="0"/>
              <w:rPr>
                <w:sz w:val="1"/>
                <w:szCs w:val="1"/>
                <w:color w:val="auto"/>
              </w:rPr>
            </w:pPr>
          </w:p>
        </w:tc>
      </w:tr>
      <w:tr>
        <w:trPr>
          <w:trHeight w:val="212"/>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deferred tax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(95,497)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(88,696)</w:t>
            </w:r>
          </w:p>
        </w:tc>
        <w:tc>
          <w:tcPr>
            <w:tcW w:w="0" w:type="dxa"/>
            <w:vAlign w:val="bottom"/>
          </w:tcPr>
          <w:p>
            <w:pPr>
              <w:spacing w:after="0"/>
              <w:rPr>
                <w:sz w:val="1"/>
                <w:szCs w:val="1"/>
                <w:color w:val="auto"/>
              </w:rPr>
            </w:pPr>
          </w:p>
        </w:tc>
      </w:tr>
      <w:tr>
        <w:trPr>
          <w:trHeight w:val="212"/>
        </w:trPr>
        <w:tc>
          <w:tcPr>
            <w:tcW w:w="810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Net deferred tax assets (liabilities)</w:t>
            </w: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(1,861)</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The Company evaluates positive and negative evidence to determine if existing deferred tax assets will be realized or a valuation allowance is required. As of December 31, 2025, and December 31, 2024, the Company had a valuation allowance of $197 and $0, respectively, against net deferred tax assets primarily related to carryforwards in U.S. states. 2025 changes in the valuation allowance were due to adjustments based on management’s assessment of the realizability of net operating losses. As of December 31, 2025, net operating loss carryforward amounts and expiration periods, as reported to tax authorities (not tax effected) were $3,869 in various U.S. states expiring between December 2033 and December 2042.</w:t>
      </w:r>
    </w:p>
    <w:p>
      <w:pPr>
        <w:spacing w:after="0" w:line="200"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of December 31, 2025, 2024, and 2023, the Company did not have any unrecognized tax benefits, net of its state benefits that would affect the Company’s effective tax rate. The Company classifies interest and/or penalties on income tax liabilities or refunds as additional income tax expense or income. Such amounts are not material.</w:t>
      </w:r>
    </w:p>
    <w:p>
      <w:pPr>
        <w:spacing w:after="0" w:line="19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As of December 31, 2025, the Company is no longer subject to federal tax examinations for the fiscal years prior to 2022, and in most states, is no longer subject to state income tax examinations for fiscal years before 2021. The lapsing of the statutes of limitation for the years ended December 31, 2021 and December 31, 2020 had no impact on the Company’s unrecognized tax benefits.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income taxes paid (net of refunds received) for the years ended December 31, 2025, 2024, and 2023, respectively:</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6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6"/>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20" w:type="dxa"/>
            <w:vAlign w:val="bottom"/>
            <w:tcBorders>
              <w:bottom w:val="single" w:sz="8" w:color="auto"/>
            </w:tcBorders>
          </w:tcPr>
          <w:p>
            <w:pPr>
              <w:spacing w:after="0"/>
              <w:rPr>
                <w:sz w:val="19"/>
                <w:szCs w:val="19"/>
                <w:color w:val="auto"/>
              </w:rPr>
            </w:pPr>
          </w:p>
        </w:tc>
      </w:tr>
      <w:tr>
        <w:trPr>
          <w:trHeight w:val="212"/>
        </w:trPr>
        <w:tc>
          <w:tcPr>
            <w:tcW w:w="66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12"/>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Federal</w:t>
            </w:r>
          </w:p>
        </w:tc>
        <w:tc>
          <w:tcPr>
            <w:tcW w:w="920" w:type="dxa"/>
            <w:vAlign w:val="bottom"/>
            <w:shd w:val="clear" w:color="auto" w:fill="CCEEFF"/>
          </w:tcPr>
          <w:p>
            <w:pPr>
              <w:jc w:val="right"/>
              <w:ind w:right="714"/>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10,555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r>
      <w:tr>
        <w:trPr>
          <w:trHeight w:val="219"/>
        </w:trPr>
        <w:tc>
          <w:tcPr>
            <w:tcW w:w="6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State</w:t>
            </w:r>
          </w:p>
        </w:tc>
        <w:tc>
          <w:tcPr>
            <w:tcW w:w="9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19"/>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California</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19"/>
        </w:trPr>
        <w:tc>
          <w:tcPr>
            <w:tcW w:w="6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Oregon</w:t>
            </w:r>
          </w:p>
        </w:tc>
        <w:tc>
          <w:tcPr>
            <w:tcW w:w="9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19"/>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w:t>
            </w:r>
          </w:p>
        </w:tc>
      </w:tr>
      <w:tr>
        <w:trPr>
          <w:trHeight w:val="212"/>
        </w:trPr>
        <w:tc>
          <w:tcPr>
            <w:tcW w:w="6660" w:type="dxa"/>
            <w:vAlign w:val="bottom"/>
          </w:tcPr>
          <w:p>
            <w:pPr>
              <w:spacing w:after="0"/>
              <w:rPr>
                <w:sz w:val="18"/>
                <w:szCs w:val="18"/>
                <w:color w:val="auto"/>
              </w:rPr>
            </w:pPr>
          </w:p>
        </w:tc>
        <w:tc>
          <w:tcPr>
            <w:tcW w:w="92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14,049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7,351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841</w:t>
            </w:r>
          </w:p>
        </w:tc>
      </w:tr>
      <w:tr>
        <w:trPr>
          <w:trHeight w:val="20"/>
        </w:trPr>
        <w:tc>
          <w:tcPr>
            <w:tcW w:w="6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DEFINED CONTRIBUTION PLAN</w:t>
      </w:r>
    </w:p>
    <w:p>
      <w:pPr>
        <w:spacing w:after="0" w:line="53" w:lineRule="exact"/>
        <w:rPr>
          <w:sz w:val="20"/>
          <w:szCs w:val="20"/>
          <w:color w:val="auto"/>
        </w:rPr>
      </w:pPr>
    </w:p>
    <w:p>
      <w:pPr>
        <w:jc w:val="both"/>
        <w:ind w:firstLine="619"/>
        <w:spacing w:after="0" w:line="264" w:lineRule="auto"/>
        <w:rPr>
          <w:sz w:val="20"/>
          <w:szCs w:val="20"/>
          <w:color w:val="auto"/>
        </w:rPr>
      </w:pPr>
      <w:r>
        <w:rPr>
          <w:rFonts w:ascii="Times New Roman" w:cs="Times New Roman" w:eastAsia="Times New Roman" w:hAnsi="Times New Roman"/>
          <w:sz w:val="17"/>
          <w:szCs w:val="17"/>
          <w:color w:val="auto"/>
        </w:rPr>
        <w:t>The Company has a 401(k) defined contribution plan (the “401(k) Plan”), whereby eligible employees may contribute up to 90% of their annual basic earnings, subject to applicable annual Internal Revenue Code limits. Additionally, the 401(k) Plan provides for discretionary matching contributions (as defined in the 401(k) Plan) by the Company. The Company expensed matching contributions to the 401(k) Plan of $2,349, $1,219, and $866 during the years ended December 31, 2025, 2024 and 2023, respectively.</w:t>
      </w:r>
    </w:p>
    <w:p>
      <w:pPr>
        <w:spacing w:after="0" w:line="197" w:lineRule="exact"/>
        <w:rPr>
          <w:sz w:val="20"/>
          <w:szCs w:val="20"/>
          <w:color w:val="auto"/>
        </w:rPr>
      </w:pPr>
    </w:p>
    <w:p>
      <w:pPr>
        <w:jc w:val="both"/>
        <w:ind w:firstLine="619"/>
        <w:spacing w:after="0" w:line="256" w:lineRule="auto"/>
        <w:rPr>
          <w:sz w:val="20"/>
          <w:szCs w:val="20"/>
          <w:color w:val="auto"/>
        </w:rPr>
      </w:pPr>
      <w:r>
        <w:rPr>
          <w:rFonts w:ascii="Times New Roman" w:cs="Times New Roman" w:eastAsia="Times New Roman" w:hAnsi="Times New Roman"/>
          <w:sz w:val="17"/>
          <w:szCs w:val="17"/>
          <w:color w:val="auto"/>
        </w:rPr>
        <w:t>During fiscal year 2021, the Company implemented a non-qualified deferred compensation plan (the “DCP”) for executives, other highly compensated employees, independent contractors and non-employee directors which went into effect on June 1, 2021, effective for compensation to be paid in 2022 and thereafter. The independent contractors and non-employee directors are otherwise ineligible for participation in the Company's 401(k) plan. The DCP allows participants to defer the receipt of a portion of their base compensation, and further allows certain participants to defer up to 80% of their base salary and bonus compensation or director fees. At the participant’s election, payments can be deferred until a specific date at least one year after the year of deferral or until termination of engagement with the Company and can be paid in a lump sum or in up to ten annual installments. Separate deferral elections can be made for each year, and in limited circumstances, existing payment elections may be changed. The amounts deferred are credited with earnings and losses based upon the actual performance of the deemed investments selected by the participant. The rate of return for each participant varies depending on the specific investment elections made by the participant. Additionally, the plan deposits the employee deferrals into a rabbi trust and the funds are generally invested in individual variable life insurance contracts owned by the Company that are specifically designed to informally fund savings plans of this nature. The Company paid for related administrative costs, which were immaterial during the fiscal years presented.</w:t>
      </w:r>
    </w:p>
    <w:p>
      <w:pPr>
        <w:spacing w:after="0" w:line="20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As of December 31, 2025 and 2024, the Company’s deferred compensation liabilities were $3,816 and $2,170, respectively, in other long-term liabilities on the consolidated balance sheets. The cash surrender value of the individual variable life insurance contracts is based on investment funds that shadow the investment allocations specified by participants in the DCP. As of December 31, 2025 and 2024, the cash surrender value of the company owned life insurance (“COLI”) policies were $3,812 and $2,182, respectively, and were included as a component of restricted and other assets on the consolidated balance sheets. There are no outstanding loan amounts offset against the cash surrender value of the COLI policies. The losses recorded for the change in cash surrender value were immaterial for each period presented.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COMMITMENTS AND CONTINGENCIES</w:t>
      </w:r>
    </w:p>
    <w:p>
      <w:pPr>
        <w:spacing w:after="0" w:line="49"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Regulatory Matters - </w:t>
      </w:r>
      <w:r>
        <w:rPr>
          <w:rFonts w:ascii="Times New Roman" w:cs="Times New Roman" w:eastAsia="Times New Roman" w:hAnsi="Times New Roman"/>
          <w:sz w:val="17"/>
          <w:szCs w:val="17"/>
          <w:color w:val="auto"/>
        </w:rPr>
        <w:t>The Company provides services in complex and highly regulated industries. The Company’s compliance with applicable 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federal, state and local laws and regulations governing these industries may be subject to governmental review and adverse findings may result in significant regulatory action, which could include sanctions, damages, fines, penalties (many of which may not be covered by insurance), and even exclusion from government programs. The Company is a party to various regulatory and other governmental audits and investigations in the ordinary course of business and cannot predict the ultimate outcome of any federal or state regulatory survey, audit or investigation. While governmental audits and investigations are the subject of administrative appeals, the appeals process, even if successful, may take several years to resolve and penalties subject to appeal may remain in place during such appeals. The Department of Justice, CMS, or other federal and state enforcement and regulatory agencies may conduct additional investigations related to the Company's businesses. The Company believes that it is presently in compliance in all material respects with all applicable laws and regulations.</w:t>
      </w:r>
    </w:p>
    <w:p>
      <w:pPr>
        <w:spacing w:after="0" w:line="201" w:lineRule="exact"/>
        <w:rPr>
          <w:sz w:val="20"/>
          <w:szCs w:val="20"/>
          <w:color w:val="auto"/>
        </w:rPr>
      </w:pPr>
    </w:p>
    <w:p>
      <w:pPr>
        <w:jc w:val="both"/>
        <w:ind w:firstLine="619"/>
        <w:spacing w:after="0" w:line="272" w:lineRule="auto"/>
        <w:rPr>
          <w:sz w:val="20"/>
          <w:szCs w:val="20"/>
          <w:color w:val="auto"/>
        </w:rPr>
      </w:pPr>
      <w:r>
        <w:rPr>
          <w:rFonts w:ascii="Times New Roman" w:cs="Times New Roman" w:eastAsia="Times New Roman" w:hAnsi="Times New Roman"/>
          <w:sz w:val="17"/>
          <w:szCs w:val="17"/>
          <w:i w:val="1"/>
          <w:iCs w:val="1"/>
          <w:color w:val="auto"/>
        </w:rPr>
        <w:t xml:space="preserve">Cost-Containment Measures - </w:t>
      </w:r>
      <w:r>
        <w:rPr>
          <w:rFonts w:ascii="Times New Roman" w:cs="Times New Roman" w:eastAsia="Times New Roman" w:hAnsi="Times New Roman"/>
          <w:sz w:val="17"/>
          <w:szCs w:val="17"/>
          <w:color w:val="auto"/>
        </w:rPr>
        <w:t>Government and third-party payors have instituted cost-containment measures designed to limit payments made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providers of healthcare services, may propose future cost-containment measures, and there can be no assurance that future measures designed to limit payments made to providers will not adversely affect the Company.</w:t>
      </w:r>
    </w:p>
    <w:p>
      <w:pPr>
        <w:spacing w:after="0" w:line="186" w:lineRule="exact"/>
        <w:rPr>
          <w:sz w:val="20"/>
          <w:szCs w:val="20"/>
          <w:color w:val="auto"/>
        </w:rPr>
      </w:pPr>
    </w:p>
    <w:p>
      <w:pPr>
        <w:jc w:val="both"/>
        <w:ind w:firstLine="619"/>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Indemnities - </w:t>
      </w:r>
      <w:r>
        <w:rPr>
          <w:rFonts w:ascii="Times New Roman" w:cs="Times New Roman" w:eastAsia="Times New Roman" w:hAnsi="Times New Roman"/>
          <w:sz w:val="17"/>
          <w:szCs w:val="17"/>
          <w:color w:val="auto"/>
        </w:rPr>
        <w:t>From time to time, the Company enters into certain types of contracts that contingently require the Company to indemnify parties against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third-party claims. These contracts primarily include (i) certain real estate leases, under which the Company may be required to indemnify property owners or prior operators for post-transfer environmental or other liabilities and other claims arising from the Company’s use of the applicable premises, (ii) operations transfer agreements, in which the Company agrees to indemnify past operators of agencies and communities the Company acquires against certain liabilities arising from the transfer of the operation and/or the operation thereof after the transfer, (iii) certain lending agreements, and (iv) certain agreements with management, directors and employees, under which the subsidiaries of the Company may be required to indemnify such persons for liabilities arising out of their employment relationships. The terms of such obligations vary by contract, and, in most instances, a specific or maximum dollar amount is not explicitly stated therein.</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Generally, amounts under these contracts cannot be reasonably estimated until a specific claim is asserted. Consequently, because no claims have been asserted, no liabilities have been recorded for these obligations on the Company’s consolidated balance sheets for any of the periods presented.</w:t>
      </w:r>
    </w:p>
    <w:p>
      <w:pPr>
        <w:spacing w:after="0" w:line="173"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Litigation - </w:t>
      </w:r>
      <w:r>
        <w:rPr>
          <w:rFonts w:ascii="Times New Roman" w:cs="Times New Roman" w:eastAsia="Times New Roman" w:hAnsi="Times New Roman"/>
          <w:sz w:val="17"/>
          <w:szCs w:val="17"/>
          <w:color w:val="auto"/>
        </w:rPr>
        <w:t>The Company’s businesses involve a significant risk of liability given the age and health of the patients and residents served by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independent operating subsidiaries. The Company, its operating companies, and others in the industry may be subject to a number of claims and lawsuits, including professional liability claims, alleging that services provided have resulted in personal injury, elder abuse, wrongful death or other related claims. Healthcare litigation (including class action litigation) is common and is filed based upon a wide variety of claims and theories, and the Company is routinely subjected to these claims in the ordinary course of business, including potential claims related to patient care and treatment, and professional negligence. The Company may also face employment related claims, including wage and hour class actions, which are frequent in our industries. If there were a significant increase in the number of these claims or an increase in amounts owing should plaintiffs be successful in their prosecution of these claims, this could materially adversely affect the Company’s business, financial condition, results of operations and cash flows. In addition, the defense of these lawsuits may result in significant legal costs, regardless of the outcome, and may result in large settlement amounts or damage awards.</w:t>
      </w:r>
    </w:p>
    <w:p>
      <w:pPr>
        <w:spacing w:after="0" w:line="201"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In addition to the potential lawsuits and claims described above, the Company is also subject to potential lawsuits under the False Claims Act (the “FCA”) and comparable state laws alleging submission of fraudulent claims for services to any healthcare program (such as Medicare) or payor. A violation may provide the basis for exclusion from federally funded healthcare programs. Such exclusions could have a correlative negative impact on the Company’s financial performance. Several states in which we operate have enacted similar whistleblower and false claims laws and regulations. As such, the Company could face increased scrutiny, potential liability and legal expenses and costs based on claims under state false claims acts in markets in which it conducts business.</w:t>
      </w:r>
    </w:p>
    <w:p>
      <w:pPr>
        <w:spacing w:after="0" w:line="188"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17"/>
          <w:szCs w:val="17"/>
          <w:color w:val="auto"/>
        </w:rPr>
        <w:t>Under the Fraud Enforcement and Recovery Act (“FERA”) and its associated rules, healthcare providers face significant penalties for the knowing retention of government overpayments, even if no false claim was involved. Providers have an obligation to proactively exercise “reasonable diligence” to identify overpayments and return those overpayments to CMS within 60 days of “identification” or the date any corresponding cost report is due, whichever is later. Retention of overpayments beyond this period may create liability under the FCA. In addition, FERA protects whistleblowers (including employees, contractors, and agents) from retaliation.</w:t>
      </w:r>
    </w:p>
    <w:p>
      <w:pPr>
        <w:spacing w:after="0" w:line="21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The Company cannot predict or provide any assurance as to the possible outcome of any litigation. If any litigation were to proceed, and the Company and its operating companies are subjected to, alleged to be liable for, or agree to a settlement of, claims or obligations under federal Medicare statutes, the FCA, or similar state and federal statutes and related regulations, the Company’s business, financial condition and results of operations and cash flows could be materially and adversely affected. Among other things, any settlement or litigation could involve the payment of substantial sums to settle any alleged civil violations and may also include the assumption of specific procedural and financial obligations by the Company or its independent operating subsidiaries going forward under a corporate integrity agreement and/or other arrangement with the government. The Company establishes reserves to cover the anticipated costs of such litigation, including legal fees and expected settlements, based on the Company’s historical litigation experience, current developments, and other factors.</w:t>
      </w:r>
    </w:p>
    <w:p>
      <w:pPr>
        <w:spacing w:after="0" w:line="201" w:lineRule="exact"/>
        <w:rPr>
          <w:sz w:val="20"/>
          <w:szCs w:val="20"/>
          <w:color w:val="auto"/>
        </w:rPr>
      </w:pPr>
    </w:p>
    <w:p>
      <w:pPr>
        <w:jc w:val="both"/>
        <w:ind w:firstLine="619"/>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Medicare Revenue Recoupments - </w:t>
      </w:r>
      <w:r>
        <w:rPr>
          <w:rFonts w:ascii="Times New Roman" w:cs="Times New Roman" w:eastAsia="Times New Roman" w:hAnsi="Times New Roman"/>
          <w:sz w:val="17"/>
          <w:szCs w:val="17"/>
          <w:color w:val="auto"/>
        </w:rPr>
        <w:t>The Company is subject to probe reviews relating to Medicare services, billings and potential overpayments by Unified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Program Integrity Contractors (“UPIC”), Recovery Audit Contractors (“RAC”), Zone Program Integrity Contractors (“ZPIC”), Program Safeguard Contractors (“PSC”), Supplemental Medical Review Contractors (“SMRC”) and Medicaid Integrity Contributors (“MIC”) programs, (each of the foregoing collectively referred to as “Reviews.”)</w:t>
      </w:r>
    </w:p>
    <w:p>
      <w:pPr>
        <w:spacing w:after="0" w:line="194" w:lineRule="exact"/>
        <w:rPr>
          <w:sz w:val="20"/>
          <w:szCs w:val="20"/>
          <w:color w:val="auto"/>
        </w:rPr>
      </w:pPr>
    </w:p>
    <w:p>
      <w:pPr>
        <w:jc w:val="both"/>
        <w:ind w:firstLine="619"/>
        <w:spacing w:after="0" w:line="257" w:lineRule="auto"/>
        <w:rPr>
          <w:sz w:val="20"/>
          <w:szCs w:val="20"/>
          <w:color w:val="auto"/>
        </w:rPr>
      </w:pPr>
      <w:r>
        <w:rPr>
          <w:rFonts w:ascii="Times New Roman" w:cs="Times New Roman" w:eastAsia="Times New Roman" w:hAnsi="Times New Roman"/>
          <w:sz w:val="17"/>
          <w:szCs w:val="17"/>
          <w:color w:val="auto"/>
        </w:rPr>
        <w:t>As of December 31, 2025, 12 of the Company’s independent operating subsidiaries had Reviews scheduled, on appeal or in dispute resolution process, both pre- and post-payment. If an operation fails an initial or subsequent Review, the operation could then be subject to extended Review, suspension of payment, or extrapolation of the identified error rate to all billing in the same time period. The Company, from time to time, receives record requests in Reviews which have resulted in claim denials on paid claims. The Company has appealed substantially all denials arising from these Reviews using the applicable appeals process. As of December 31, 2025, and through the filing of this Annual Report on Form 10-K, the Company’s independent operating subsidiaries have responded to the Reviews that are currently ongoing, on appeal or in dispute resolution process. The Company cannot predict the ultimate outcome of any regulatory and other governmental Reviews. While such reviews are the subject of administrative appeals, the appeals process, even if successful, may take several years to resolve. The costs to respond to and defend such Reviews may be significant and an adverse determination in such reviews may subject the Company to sanctions, damages, extrapolation of damage findings, additional recoupments, fines, other penalties (some of</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PENNANT GROUP,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36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which may not be covered by insurance), and termination from Medicare programs which may, either individually or in the aggregate, have a material adverse effect on the Company's business and financial condition.</w:t>
      </w:r>
    </w:p>
    <w:p>
      <w:pPr>
        <w:spacing w:after="0" w:line="173"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Insurance </w:t>
      </w:r>
      <w:r>
        <w:rPr>
          <w:rFonts w:ascii="Times New Roman" w:cs="Times New Roman" w:eastAsia="Times New Roman" w:hAnsi="Times New Roman"/>
          <w:sz w:val="17"/>
          <w:szCs w:val="17"/>
          <w:color w:val="auto"/>
        </w:rPr>
        <w:t>- The Company retains risk for a substantial portion of potential claims for general and professional liability, workers’ compensation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automobile liability. The Company recognizes obligations associated with these costs, up to specified deductible limits in the period in which a claim is incurred, including with respect to both reported claims and claims incurred but not reported. The general and professional liability insurance has a retention limit of $250 per claim with a $600 corridor as an additional out-of-pocket retention the Company must satisfy for claims within the policy year before the carrier will reimburse losses. The workers’ compensation insurance has a retention limit of $250 per claim, except for policies held in Texas, which has a retention limit of $100 per claim, California, which has a retention limit of $500 per claim, and Washington and Wyoming, which are subject to state insurance and possess their own limits.</w:t>
      </w:r>
    </w:p>
    <w:p>
      <w:pPr>
        <w:spacing w:after="0" w:line="198"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The Company is self-insured for claims related to employee health, dental and vision care. To protect itself against loss exposure, the Company has purchased individual stop-loss insurance coverage that insures individual health claims that exceed $350 for each covered person for fiscal year 2025, and $350 for each covered person for fiscal year 2024.</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7"/>
          <w:szCs w:val="17"/>
          <w:b w:val="1"/>
          <w:bCs w:val="1"/>
          <w:color w:val="auto"/>
        </w:rPr>
        <w:t xml:space="preserve">Item 9. </w:t>
      </w:r>
      <w:r>
        <w:rPr>
          <w:rFonts w:ascii="Times New Roman" w:cs="Times New Roman" w:eastAsia="Times New Roman" w:hAnsi="Times New Roman"/>
          <w:sz w:val="17"/>
          <w:szCs w:val="17"/>
          <w:b w:val="1"/>
          <w:bCs w:val="1"/>
          <w:i w:val="1"/>
          <w:iCs w:val="1"/>
          <w:color w:val="auto"/>
        </w:rPr>
        <w:t>Changes in and Disagreements with Accountants on Accounting and Financial Disclosure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9A. </w:t>
      </w:r>
      <w:r>
        <w:rPr>
          <w:rFonts w:ascii="Times New Roman" w:cs="Times New Roman" w:eastAsia="Times New Roman" w:hAnsi="Times New Roman"/>
          <w:sz w:val="17"/>
          <w:szCs w:val="17"/>
          <w:b w:val="1"/>
          <w:bCs w:val="1"/>
          <w:i w:val="1"/>
          <w:iCs w:val="1"/>
          <w:color w:val="auto"/>
        </w:rPr>
        <w:t>Controls and Procedures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p>
    <w:p>
      <w:pPr>
        <w:spacing w:after="0" w:line="247"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Under the supervision and with the participation of our management, including the Chief Executive Officer and Chief Financial Officer, we have evaluated the effectiveness of our disclosure controls and procedures (as such term is defined in Rules 13a-15(e) and 15d-15(e) under the Securities Exchange Act of 1934, as amended (the “Exchange Act”)), as of the end of the period covered by this Annual Report. Based on that evaluation, the Chief Executive Officer and Chief Financial Officer have concluded that these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Management’s Report on Internal Control over Financial Reporting</w:t>
      </w:r>
    </w:p>
    <w:p>
      <w:pPr>
        <w:spacing w:after="0" w:line="247" w:lineRule="exact"/>
        <w:rPr>
          <w:sz w:val="20"/>
          <w:szCs w:val="20"/>
          <w:color w:val="auto"/>
        </w:rPr>
      </w:pPr>
    </w:p>
    <w:p>
      <w:pPr>
        <w:jc w:val="both"/>
        <w:ind w:firstLine="619"/>
        <w:spacing w:after="0" w:line="260" w:lineRule="auto"/>
        <w:rPr>
          <w:sz w:val="20"/>
          <w:szCs w:val="20"/>
          <w:color w:val="auto"/>
        </w:rPr>
      </w:pPr>
      <w:r>
        <w:rPr>
          <w:rFonts w:ascii="Times New Roman" w:cs="Times New Roman" w:eastAsia="Times New Roman" w:hAnsi="Times New Roman"/>
          <w:sz w:val="17"/>
          <w:szCs w:val="17"/>
          <w:color w:val="auto"/>
        </w:rPr>
        <w:t>Our management is responsible for establishing and maintaining adequate internal control over financial reporting, as defined in Rule 13a-15(f) promulgated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9" w:lineRule="exact"/>
        <w:rPr>
          <w:sz w:val="20"/>
          <w:szCs w:val="20"/>
          <w:color w:val="auto"/>
        </w:rPr>
      </w:pPr>
    </w:p>
    <w:p>
      <w:pPr>
        <w:jc w:val="both"/>
        <w:ind w:firstLine="619"/>
        <w:spacing w:after="0" w:line="261"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our Chief Financial Officer, evaluated the effectiveness of our internal control over financial reporting using the criteria set forth by the Committee of Sponsoring Organizations of the Treadway Commission in Internal Control - Integrated Framework (2013). As a result of this assessment, management concluded that, as of December 31, 2025, our internal control over financial reporting was effective in providing reasonable assurance regarding the reliability of financial reporting and the preparation of financial statements for external purposes in accordance with generally accepted accounting principles.</w:t>
      </w:r>
    </w:p>
    <w:p>
      <w:pPr>
        <w:spacing w:after="0" w:line="200" w:lineRule="exact"/>
        <w:rPr>
          <w:sz w:val="20"/>
          <w:szCs w:val="20"/>
          <w:color w:val="auto"/>
        </w:rPr>
      </w:pPr>
    </w:p>
    <w:p>
      <w:pPr>
        <w:jc w:val="both"/>
        <w:ind w:firstLine="619"/>
        <w:spacing w:after="0" w:line="258" w:lineRule="auto"/>
        <w:rPr>
          <w:sz w:val="20"/>
          <w:szCs w:val="20"/>
          <w:color w:val="auto"/>
        </w:rPr>
      </w:pPr>
      <w:r>
        <w:rPr>
          <w:rFonts w:ascii="Times New Roman" w:cs="Times New Roman" w:eastAsia="Times New Roman" w:hAnsi="Times New Roman"/>
          <w:sz w:val="17"/>
          <w:szCs w:val="17"/>
          <w:color w:val="auto"/>
        </w:rPr>
        <w:t>On October 1, 2025, we completed the acquisition of certain operations of UnitedHealth Group Incorporated and Amedisys Inc. Consistent with SEC guidance, our assessment of the effectiveness of our internal control over financial reporting as of December 31, 2025, did not include an assessment of the effectiveness of internal control over financial reporting of the acquired UnitedHealth and Amedisys operations (the “acquired operations”). The operating results of the acquired operations are included in our consolidated financial statements from the period subsequent to the acquisition date. As of December 31, 2025, total assets related to the acquired operations (excluding goodwill, other indefinite-lived intangibles, and right-of-use assets) represented approximately 2.0% of our total assets. Revenues from the acquired operations comprised approximately 5.4% of our consolidated revenues for the year ended December 31, 2025. We will perform an assessment of the effectiveness of the acquired operations’ internal control over financial reporting within one year of the date of acquisition and we will include the acquired operations in our evaluation of internal controls over financial reporting as of December 31, 2026.</w:t>
      </w:r>
    </w:p>
    <w:p>
      <w:pPr>
        <w:spacing w:after="0" w:line="201" w:lineRule="exact"/>
        <w:rPr>
          <w:sz w:val="20"/>
          <w:szCs w:val="20"/>
          <w:color w:val="auto"/>
        </w:rPr>
      </w:pPr>
    </w:p>
    <w:p>
      <w:pPr>
        <w:jc w:val="both"/>
        <w:ind w:firstLine="619"/>
        <w:spacing w:after="0" w:line="270" w:lineRule="auto"/>
        <w:rPr>
          <w:sz w:val="20"/>
          <w:szCs w:val="20"/>
          <w:color w:val="auto"/>
        </w:rPr>
      </w:pPr>
      <w:r>
        <w:rPr>
          <w:rFonts w:ascii="Times New Roman" w:cs="Times New Roman" w:eastAsia="Times New Roman" w:hAnsi="Times New Roman"/>
          <w:sz w:val="17"/>
          <w:szCs w:val="17"/>
          <w:color w:val="auto"/>
        </w:rPr>
        <w:t>Our independent registered public accounting firm, Deloitte &amp; Touche LLP, has audited the consolidated financial statements included in this Annual Report on Form 10-K and, as part of their audit, has issued an audit report, included herein, on the effectiveness of our internal control over financial reporting. Their report is set forth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p>
    <w:p>
      <w:pPr>
        <w:spacing w:after="0" w:line="247" w:lineRule="exact"/>
        <w:rPr>
          <w:sz w:val="20"/>
          <w:szCs w:val="20"/>
          <w:color w:val="auto"/>
        </w:rPr>
      </w:pPr>
    </w:p>
    <w:p>
      <w:pPr>
        <w:jc w:val="both"/>
        <w:ind w:firstLine="619"/>
        <w:spacing w:after="0" w:line="287" w:lineRule="auto"/>
        <w:rPr>
          <w:sz w:val="20"/>
          <w:szCs w:val="20"/>
          <w:color w:val="auto"/>
        </w:rPr>
      </w:pPr>
      <w:r>
        <w:rPr>
          <w:rFonts w:ascii="Times New Roman" w:cs="Times New Roman" w:eastAsia="Times New Roman" w:hAnsi="Times New Roman"/>
          <w:sz w:val="17"/>
          <w:szCs w:val="17"/>
          <w:color w:val="auto"/>
        </w:rPr>
        <w:t>During the fiscal quarter ended December 31, 2025, there were no material changes in our internal control over financial reporting that occurred during our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Stockholders and the Board of Directors of The Pennant Group, Inc.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24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 xml:space="preserve">We have audited the internal control over financial reporting of The Pennant Group, Inc. and subsidiaries (the “Company”)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7"/>
          <w:szCs w:val="17"/>
          <w:i w:val="1"/>
          <w:iCs w:val="1"/>
          <w:color w:val="auto"/>
        </w:rPr>
        <w:t>Internal Control — Integrated Framework (2013)</w:t>
      </w:r>
      <w:r>
        <w:rPr>
          <w:rFonts w:ascii="Times New Roman" w:cs="Times New Roman" w:eastAsia="Times New Roman" w:hAnsi="Times New Roman"/>
          <w:sz w:val="17"/>
          <w:szCs w:val="17"/>
          <w:color w:val="auto"/>
        </w:rPr>
        <w:t xml:space="preserve"> issued by COSO.</w:t>
      </w:r>
    </w:p>
    <w:p>
      <w:pPr>
        <w:spacing w:after="0" w:line="1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also audited, in accordance with the standards of the Public Company Accounting Oversight Board (United States) (PCAOB), the consolidated financial statements as of and for the year ended December 31, 2025, of the Company and our report dated February 25, 2026, expressed an unqualified opinion on those financial statements.</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As described in Management’s Report on Internal Control over Financial Reporting, management excluded from its assessment the internal control over financial reporting at the acquired UnitedHealth and Amedisys operations (the “acquired operations”), which were acquired during the year ended December 31, 2025, and whose financial statements (excluding goodwill, other indefinite-lived intangibles, and right-of-use assets) constitute 2.0% of total assets and 5.4% of revenue of the Company’s consolidated financial statement amounts as of and for the year ended December 31, 2025. Accordingly, our audit did not include the internal control over financial reporting of the acquired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DELOITTE &amp; TOUCHE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Boise, ID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2026</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7"/>
          <w:szCs w:val="17"/>
          <w:b w:val="1"/>
          <w:bCs w:val="1"/>
          <w:color w:val="auto"/>
        </w:rPr>
        <w:t xml:space="preserve">Item 9B. </w:t>
      </w:r>
      <w:r>
        <w:rPr>
          <w:rFonts w:ascii="Times New Roman" w:cs="Times New Roman" w:eastAsia="Times New Roman" w:hAnsi="Times New Roman"/>
          <w:sz w:val="17"/>
          <w:szCs w:val="17"/>
          <w:b w:val="1"/>
          <w:bCs w:val="1"/>
          <w:i w:val="1"/>
          <w:iCs w:val="1"/>
          <w:color w:val="auto"/>
        </w:rPr>
        <w:t>Other Information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9C. </w:t>
      </w:r>
      <w:r>
        <w:rPr>
          <w:rFonts w:ascii="Times New Roman" w:cs="Times New Roman" w:eastAsia="Times New Roman" w:hAnsi="Times New Roman"/>
          <w:sz w:val="17"/>
          <w:szCs w:val="17"/>
          <w:b w:val="1"/>
          <w:bCs w:val="1"/>
          <w:i w:val="1"/>
          <w:iCs w:val="1"/>
          <w:color w:val="auto"/>
        </w:rPr>
        <w:t>Disclosure Regarding Foreign Jurisdictions that Prevent Inspections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22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10.</w:t>
      </w:r>
      <w:r>
        <w:rPr>
          <w:sz w:val="20"/>
          <w:szCs w:val="20"/>
          <w:color w:val="auto"/>
        </w:rPr>
        <w:tab/>
      </w:r>
      <w:r>
        <w:rPr>
          <w:rFonts w:ascii="Times New Roman" w:cs="Times New Roman" w:eastAsia="Times New Roman" w:hAnsi="Times New Roman"/>
          <w:sz w:val="17"/>
          <w:szCs w:val="17"/>
          <w:b w:val="1"/>
          <w:bCs w:val="1"/>
          <w:i w:val="1"/>
          <w:iCs w:val="1"/>
          <w:color w:val="auto"/>
        </w:rPr>
        <w:t>Directors, Executive Officers and Corporate Governance</w:t>
      </w:r>
    </w:p>
    <w:p>
      <w:pPr>
        <w:spacing w:after="0" w:line="249"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hereby incorporated by reference to our definitive proxy statement on Form 14A for the 2026 Annual Meeting of Stockholders.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11. </w:t>
      </w:r>
      <w:r>
        <w:rPr>
          <w:rFonts w:ascii="Times New Roman" w:cs="Times New Roman" w:eastAsia="Times New Roman" w:hAnsi="Times New Roman"/>
          <w:sz w:val="17"/>
          <w:szCs w:val="17"/>
          <w:b w:val="1"/>
          <w:bCs w:val="1"/>
          <w:i w:val="1"/>
          <w:iCs w:val="1"/>
          <w:color w:val="auto"/>
        </w:rPr>
        <w:t>Executive Compensation</w:t>
      </w:r>
    </w:p>
    <w:p>
      <w:pPr>
        <w:spacing w:after="0" w:line="249"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hereby incorporated by reference to our definitive proxy statement on Form 14A for the 2026 Annual Meeting of Stockholders.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12. </w:t>
      </w:r>
      <w:r>
        <w:rPr>
          <w:rFonts w:ascii="Times New Roman" w:cs="Times New Roman" w:eastAsia="Times New Roman" w:hAnsi="Times New Roman"/>
          <w:sz w:val="17"/>
          <w:szCs w:val="17"/>
          <w:b w:val="1"/>
          <w:bCs w:val="1"/>
          <w:i w:val="1"/>
          <w:iCs w:val="1"/>
          <w:color w:val="auto"/>
        </w:rPr>
        <w:t>Security Ownership of Certain Beneficial Owners and Management and Related Stockholder Matters</w:t>
      </w:r>
    </w:p>
    <w:p>
      <w:pPr>
        <w:spacing w:after="0" w:line="249"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hereby incorporated by reference to our definitive proxy statement on Form 14A for the 2026 Annual Meeting of Stockholders.</w:t>
      </w:r>
    </w:p>
    <w:p>
      <w:pPr>
        <w:spacing w:after="0" w:line="1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13.</w:t>
      </w:r>
      <w:r>
        <w:rPr>
          <w:sz w:val="20"/>
          <w:szCs w:val="20"/>
          <w:color w:val="auto"/>
        </w:rPr>
        <w:tab/>
      </w:r>
      <w:r>
        <w:rPr>
          <w:rFonts w:ascii="Times New Roman" w:cs="Times New Roman" w:eastAsia="Times New Roman" w:hAnsi="Times New Roman"/>
          <w:sz w:val="17"/>
          <w:szCs w:val="17"/>
          <w:b w:val="1"/>
          <w:bCs w:val="1"/>
          <w:i w:val="1"/>
          <w:iCs w:val="1"/>
          <w:color w:val="auto"/>
        </w:rPr>
        <w:t>Certain Relationships and Related Transactions and Director Independence</w:t>
      </w:r>
    </w:p>
    <w:p>
      <w:pPr>
        <w:spacing w:after="0" w:line="249"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hereby incorporated by reference to our definitive proxy statement on Form 14A for the 2026 Annual Meeting of Stockholders.</w:t>
      </w:r>
    </w:p>
    <w:p>
      <w:pPr>
        <w:spacing w:after="0" w:line="1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14.</w:t>
      </w:r>
      <w:r>
        <w:rPr>
          <w:sz w:val="20"/>
          <w:szCs w:val="20"/>
          <w:color w:val="auto"/>
        </w:rPr>
        <w:tab/>
      </w:r>
      <w:r>
        <w:rPr>
          <w:rFonts w:ascii="Times New Roman" w:cs="Times New Roman" w:eastAsia="Times New Roman" w:hAnsi="Times New Roman"/>
          <w:sz w:val="17"/>
          <w:szCs w:val="17"/>
          <w:b w:val="1"/>
          <w:bCs w:val="1"/>
          <w:i w:val="1"/>
          <w:iCs w:val="1"/>
          <w:color w:val="auto"/>
        </w:rPr>
        <w:t>Principal Accountant Fees and Services</w:t>
      </w:r>
    </w:p>
    <w:p>
      <w:pPr>
        <w:spacing w:after="0" w:line="249"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The information required by this Item is hereby incorporated by reference to our definitive proxy statement on Form 14A for the 2026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00"/>
          </w:cols>
          <w:pgMar w:left="320" w:top="1084" w:right="37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7"/>
          <w:szCs w:val="17"/>
          <w:b w:val="1"/>
          <w:bCs w:val="1"/>
          <w:color w:val="auto"/>
        </w:rPr>
        <w:t>Part IV.</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Item 15. </w:t>
      </w:r>
      <w:r>
        <w:rPr>
          <w:rFonts w:ascii="Times New Roman" w:cs="Times New Roman" w:eastAsia="Times New Roman" w:hAnsi="Times New Roman"/>
          <w:sz w:val="17"/>
          <w:szCs w:val="17"/>
          <w:b w:val="1"/>
          <w:bCs w:val="1"/>
          <w:i w:val="1"/>
          <w:iCs w:val="1"/>
          <w:color w:val="auto"/>
        </w:rPr>
        <w:t>Exhibits and Financial Statement Schedules</w:t>
      </w:r>
    </w:p>
    <w:p>
      <w:pPr>
        <w:spacing w:after="0" w:line="24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documents are filed as a part of this report: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(a)(1) Financial Statements:</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Consolidated Financial Statements of the Company are included in Part II, Item 8 of this Annual Report on Form 10-K.</w:t>
      </w:r>
    </w:p>
    <w:p>
      <w:pPr>
        <w:spacing w:after="0" w:line="230" w:lineRule="exact"/>
        <w:rPr>
          <w:sz w:val="20"/>
          <w:szCs w:val="20"/>
          <w:color w:val="auto"/>
        </w:rPr>
      </w:pPr>
    </w:p>
    <w:p>
      <w:pPr>
        <w:ind w:left="1240" w:hanging="309"/>
        <w:spacing w:after="0"/>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 of Independent Registered Public Accounting Firm</w:t>
      </w:r>
    </w:p>
    <w:p>
      <w:pPr>
        <w:spacing w:after="0" w:line="75"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Balance Sheets as of December 31, 2025 and 2024</w:t>
      </w:r>
    </w:p>
    <w:p>
      <w:pPr>
        <w:spacing w:after="0" w:line="88"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Income for the Years Ended December 31, 2025, 2024, and 2023</w:t>
      </w:r>
    </w:p>
    <w:p>
      <w:pPr>
        <w:spacing w:after="0" w:line="75"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Changes in Stockholders' Equity for the Years Ended December 31, 2025, 2024, and 2023</w:t>
      </w:r>
    </w:p>
    <w:p>
      <w:pPr>
        <w:spacing w:after="0" w:line="75"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Statements of Cash Flows for the Years Ended December 31, 2025, 2024, and 2023</w:t>
      </w:r>
    </w:p>
    <w:p>
      <w:pPr>
        <w:spacing w:after="0" w:line="88" w:lineRule="exact"/>
        <w:rPr>
          <w:rFonts w:ascii="Times New Roman" w:cs="Times New Roman" w:eastAsia="Times New Roman" w:hAnsi="Times New Roman"/>
          <w:sz w:val="17"/>
          <w:szCs w:val="17"/>
          <w:color w:val="auto"/>
        </w:rPr>
      </w:pPr>
    </w:p>
    <w:p>
      <w:pPr>
        <w:ind w:left="1240" w:hanging="309"/>
        <w:spacing w:after="0"/>
        <w:tabs>
          <w:tab w:leader="none" w:pos="12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Notes to the Consolidated Financial Statements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(a)(2) Financial Statement Schedules:</w:t>
      </w:r>
    </w:p>
    <w:p>
      <w:pPr>
        <w:spacing w:after="0" w:line="2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are no financial schedules included in this Report as they are either not applicable or included in the financial statements.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(3) Exhibits: The following exhibits are filed with this Report or incorporated by reference: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00" w:type="dxa"/>
            <w:vAlign w:val="bottom"/>
            <w:gridSpan w:val="4"/>
          </w:tcPr>
          <w:p>
            <w:pPr>
              <w:spacing w:after="0"/>
              <w:rPr>
                <w:sz w:val="20"/>
                <w:szCs w:val="20"/>
                <w:color w:val="auto"/>
              </w:rPr>
            </w:pPr>
            <w:r>
              <w:rPr>
                <w:rFonts w:ascii="Times New Roman" w:cs="Times New Roman" w:eastAsia="Times New Roman" w:hAnsi="Times New Roman"/>
                <w:sz w:val="17"/>
                <w:szCs w:val="17"/>
                <w:b w:val="1"/>
                <w:bCs w:val="1"/>
                <w:color w:val="auto"/>
              </w:rPr>
              <w:t>Exhibits</w:t>
            </w:r>
          </w:p>
        </w:tc>
        <w:tc>
          <w:tcPr>
            <w:tcW w:w="10140" w:type="dxa"/>
            <w:vAlign w:val="bottom"/>
          </w:tcPr>
          <w:p>
            <w:pPr>
              <w:spacing w:after="0"/>
              <w:rPr>
                <w:sz w:val="19"/>
                <w:szCs w:val="19"/>
                <w:color w:val="auto"/>
              </w:rPr>
            </w:pPr>
          </w:p>
        </w:tc>
      </w:tr>
      <w:tr>
        <w:trPr>
          <w:trHeight w:val="490"/>
        </w:trPr>
        <w:tc>
          <w:tcPr>
            <w:tcW w:w="20" w:type="dxa"/>
            <w:vAlign w:val="bottom"/>
          </w:tcPr>
          <w:p>
            <w:pPr>
              <w:spacing w:after="0"/>
              <w:rPr>
                <w:sz w:val="24"/>
                <w:szCs w:val="24"/>
                <w:color w:val="auto"/>
              </w:rPr>
            </w:pPr>
          </w:p>
        </w:tc>
        <w:tc>
          <w:tcPr>
            <w:tcW w:w="1080" w:type="dxa"/>
            <w:vAlign w:val="bottom"/>
            <w:gridSpan w:val="3"/>
          </w:tcPr>
          <w:p>
            <w:pPr>
              <w:ind w:left="180"/>
              <w:spacing w:after="0"/>
              <w:rPr>
                <w:sz w:val="20"/>
                <w:szCs w:val="20"/>
                <w:color w:val="auto"/>
              </w:rPr>
            </w:pPr>
            <w:r>
              <w:rPr>
                <w:rFonts w:ascii="Times New Roman" w:cs="Times New Roman" w:eastAsia="Times New Roman" w:hAnsi="Times New Roman"/>
                <w:sz w:val="17"/>
                <w:szCs w:val="17"/>
                <w:color w:val="auto"/>
              </w:rPr>
              <w:t>Exhibit No.</w:t>
            </w:r>
          </w:p>
        </w:tc>
        <w:tc>
          <w:tcPr>
            <w:tcW w:w="10140" w:type="dxa"/>
            <w:vAlign w:val="bottom"/>
          </w:tcPr>
          <w:p>
            <w:pPr>
              <w:ind w:left="4440"/>
              <w:spacing w:after="0"/>
              <w:rPr>
                <w:sz w:val="20"/>
                <w:szCs w:val="20"/>
                <w:color w:val="auto"/>
              </w:rPr>
            </w:pPr>
            <w:r>
              <w:rPr>
                <w:rFonts w:ascii="Times New Roman" w:cs="Times New Roman" w:eastAsia="Times New Roman" w:hAnsi="Times New Roman"/>
                <w:sz w:val="17"/>
                <w:szCs w:val="17"/>
                <w:color w:val="auto"/>
              </w:rPr>
              <w:t>Exhibit Description</w:t>
            </w:r>
          </w:p>
        </w:tc>
      </w:tr>
      <w:tr>
        <w:trPr>
          <w:trHeight w:val="206"/>
        </w:trPr>
        <w:tc>
          <w:tcPr>
            <w:tcW w:w="1100" w:type="dxa"/>
            <w:vAlign w:val="bottom"/>
            <w:gridSpan w:val="4"/>
          </w:tcPr>
          <w:p>
            <w:pPr>
              <w:ind w:left="20"/>
              <w:spacing w:after="0"/>
              <w:rPr>
                <w:rFonts w:ascii="Times New Roman" w:cs="Times New Roman" w:eastAsia="Times New Roman" w:hAnsi="Times New Roman"/>
                <w:sz w:val="17"/>
                <w:szCs w:val="17"/>
                <w:color w:val="0000FF"/>
              </w:rPr>
            </w:pPr>
            <w:hyperlink r:id="rId111">
              <w:r>
                <w:rPr>
                  <w:rFonts w:ascii="Times New Roman" w:cs="Times New Roman" w:eastAsia="Times New Roman" w:hAnsi="Times New Roman"/>
                  <w:sz w:val="17"/>
                  <w:szCs w:val="17"/>
                  <w:color w:val="0000FF"/>
                </w:rPr>
                <w:t>2.</w:t>
              </w:r>
              <w:r>
                <w:rPr>
                  <w:rFonts w:ascii="Times New Roman" w:cs="Times New Roman" w:eastAsia="Times New Roman" w:hAnsi="Times New Roman"/>
                  <w:sz w:val="17"/>
                  <w:szCs w:val="17"/>
                  <w:u w:val="single" w:color="auto"/>
                  <w:color w:val="0000FF"/>
                </w:rPr>
                <w:t>1#</w:t>
              </w:r>
            </w:hyperlink>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Master Separation Agreement, dated as of October 1, 2019, by and between The Ensign Group, Inc. and The Pennant Group, Inc. (incorporated</w:t>
            </w:r>
          </w:p>
        </w:tc>
      </w:tr>
      <w:tr>
        <w:trPr>
          <w:trHeight w:val="196"/>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by reference to Exhibit 2.1 to The Pennant Group, Inc.’s Current Report on Form 8-K (File No. 001-38900) filed with the SEC on October 3,</w:t>
            </w: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2019).</w:t>
            </w:r>
          </w:p>
        </w:tc>
      </w:tr>
      <w:tr>
        <w:trPr>
          <w:trHeight w:val="206"/>
        </w:trPr>
        <w:tc>
          <w:tcPr>
            <w:tcW w:w="1100" w:type="dxa"/>
            <w:vAlign w:val="bottom"/>
            <w:gridSpan w:val="4"/>
          </w:tcPr>
          <w:p>
            <w:pPr>
              <w:ind w:left="20"/>
              <w:spacing w:after="0"/>
              <w:rPr>
                <w:rFonts w:ascii="Times New Roman" w:cs="Times New Roman" w:eastAsia="Times New Roman" w:hAnsi="Times New Roman"/>
                <w:sz w:val="17"/>
                <w:szCs w:val="17"/>
                <w:color w:val="0000FF"/>
              </w:rPr>
            </w:pPr>
            <w:hyperlink r:id="rId112">
              <w:r>
                <w:rPr>
                  <w:rFonts w:ascii="Times New Roman" w:cs="Times New Roman" w:eastAsia="Times New Roman" w:hAnsi="Times New Roman"/>
                  <w:sz w:val="17"/>
                  <w:szCs w:val="17"/>
                  <w:color w:val="0000FF"/>
                </w:rPr>
                <w:t>2.</w:t>
              </w:r>
              <w:r>
                <w:rPr>
                  <w:rFonts w:ascii="Times New Roman" w:cs="Times New Roman" w:eastAsia="Times New Roman" w:hAnsi="Times New Roman"/>
                  <w:sz w:val="17"/>
                  <w:szCs w:val="17"/>
                  <w:u w:val="single" w:color="auto"/>
                  <w:color w:val="0000FF"/>
                </w:rPr>
                <w:t>2#</w:t>
              </w:r>
            </w:hyperlink>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Form of Operations Transfer Agreement, dated as of January 27, 2022, entered into by affiliates of the Company and affiliates of Ensign</w:t>
            </w:r>
          </w:p>
        </w:tc>
      </w:tr>
      <w:tr>
        <w:trPr>
          <w:trHeight w:val="196"/>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(incorporated by reference to Exhibit 2.1 to The Pennant Group, Inc.’s Current Report on Form 8-K (File No. 001-38900) filed with the SEC on</w:t>
            </w: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January 27, 2022).</w:t>
            </w:r>
          </w:p>
        </w:tc>
      </w:tr>
      <w:tr>
        <w:trPr>
          <w:trHeight w:val="206"/>
        </w:trPr>
        <w:tc>
          <w:tcPr>
            <w:tcW w:w="320" w:type="dxa"/>
            <w:vAlign w:val="bottom"/>
            <w:gridSpan w:val="3"/>
          </w:tcPr>
          <w:p>
            <w:pPr>
              <w:ind w:left="20"/>
              <w:spacing w:after="0"/>
              <w:rPr>
                <w:rFonts w:ascii="Times New Roman" w:cs="Times New Roman" w:eastAsia="Times New Roman" w:hAnsi="Times New Roman"/>
                <w:sz w:val="17"/>
                <w:szCs w:val="17"/>
                <w:color w:val="0000FF"/>
              </w:rPr>
            </w:pPr>
            <w:hyperlink r:id="rId113">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w:t>
              </w:r>
            </w:hyperlink>
          </w:p>
        </w:tc>
        <w:tc>
          <w:tcPr>
            <w:tcW w:w="780" w:type="dxa"/>
            <w:vAlign w:val="bottom"/>
          </w:tcPr>
          <w:p>
            <w:pPr>
              <w:spacing w:after="0"/>
              <w:rPr>
                <w:sz w:val="17"/>
                <w:szCs w:val="17"/>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Amended and Restated Certificate of Incorporation of The Pennant Group, Inc., effective as of September 27, 2019 (incorporated by reference to</w:t>
            </w:r>
          </w:p>
        </w:tc>
      </w:tr>
      <w:tr>
        <w:trPr>
          <w:trHeight w:val="212"/>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Exhibit 3.1 to The Pennant Group, Inc.’s Current Report on Form 8-K (File No. 001-38900) filed with the SEC on October 3, 2019).</w:t>
            </w:r>
          </w:p>
        </w:tc>
      </w:tr>
      <w:tr>
        <w:trPr>
          <w:trHeight w:val="219"/>
        </w:trPr>
        <w:tc>
          <w:tcPr>
            <w:tcW w:w="320" w:type="dxa"/>
            <w:vAlign w:val="bottom"/>
            <w:gridSpan w:val="3"/>
          </w:tcPr>
          <w:p>
            <w:pPr>
              <w:ind w:left="20"/>
              <w:spacing w:after="0"/>
              <w:rPr>
                <w:rFonts w:ascii="Times New Roman" w:cs="Times New Roman" w:eastAsia="Times New Roman" w:hAnsi="Times New Roman"/>
                <w:sz w:val="17"/>
                <w:szCs w:val="17"/>
                <w:color w:val="0000FF"/>
              </w:rPr>
            </w:pPr>
            <w:hyperlink r:id="rId114">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2</w:t>
              </w:r>
            </w:hyperlink>
          </w:p>
        </w:tc>
        <w:tc>
          <w:tcPr>
            <w:tcW w:w="780" w:type="dxa"/>
            <w:vAlign w:val="bottom"/>
          </w:tcPr>
          <w:p>
            <w:pPr>
              <w:spacing w:after="0"/>
              <w:rPr>
                <w:sz w:val="19"/>
                <w:szCs w:val="19"/>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Second Amended and Restated Bylaws of The Pennant Group, Inc., effective as of February 21, 2022 (incorporated by reference to Exhibit 3.1 to</w:t>
            </w:r>
          </w:p>
        </w:tc>
      </w:tr>
      <w:tr>
        <w:trPr>
          <w:trHeight w:val="212"/>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The Pennant Group, Inc.’s Current Report on Form 8-K (File No. 001-38900) filed with the SEC on February 22, 2022).</w:t>
            </w:r>
          </w:p>
        </w:tc>
      </w:tr>
      <w:tr>
        <w:trPr>
          <w:trHeight w:val="219"/>
        </w:trPr>
        <w:tc>
          <w:tcPr>
            <w:tcW w:w="320" w:type="dxa"/>
            <w:vAlign w:val="bottom"/>
            <w:gridSpan w:val="3"/>
          </w:tcPr>
          <w:p>
            <w:pPr>
              <w:ind w:left="20"/>
              <w:spacing w:after="0"/>
              <w:rPr>
                <w:rFonts w:ascii="Times New Roman" w:cs="Times New Roman" w:eastAsia="Times New Roman" w:hAnsi="Times New Roman"/>
                <w:sz w:val="17"/>
                <w:szCs w:val="17"/>
                <w:color w:val="0000FF"/>
              </w:rPr>
            </w:pPr>
            <w:hyperlink r:id="rId115">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1</w:t>
              </w:r>
            </w:hyperlink>
          </w:p>
        </w:tc>
        <w:tc>
          <w:tcPr>
            <w:tcW w:w="780" w:type="dxa"/>
            <w:vAlign w:val="bottom"/>
          </w:tcPr>
          <w:p>
            <w:pPr>
              <w:spacing w:after="0"/>
              <w:rPr>
                <w:sz w:val="19"/>
                <w:szCs w:val="19"/>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Description of Securities of The Pennant Group, Inc. (incorporated by reference to Exhibit 4.1 to The Pennant Group, Inc.’s Annual Report on</w:t>
            </w:r>
          </w:p>
        </w:tc>
      </w:tr>
      <w:tr>
        <w:trPr>
          <w:trHeight w:val="212"/>
        </w:trPr>
        <w:tc>
          <w:tcPr>
            <w:tcW w:w="2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Form 10-K (File No. 001-389000) filed with the SEC on March 4, 2020).</w:t>
            </w:r>
          </w:p>
        </w:tc>
      </w:tr>
      <w:tr>
        <w:trPr>
          <w:trHeight w:val="206"/>
        </w:trPr>
        <w:tc>
          <w:tcPr>
            <w:tcW w:w="320" w:type="dxa"/>
            <w:vAlign w:val="bottom"/>
            <w:gridSpan w:val="3"/>
          </w:tcPr>
          <w:p>
            <w:pPr>
              <w:ind w:left="20"/>
              <w:spacing w:after="0"/>
              <w:rPr>
                <w:rFonts w:ascii="Times New Roman" w:cs="Times New Roman" w:eastAsia="Times New Roman" w:hAnsi="Times New Roman"/>
                <w:sz w:val="17"/>
                <w:szCs w:val="17"/>
                <w:color w:val="0000FF"/>
              </w:rPr>
            </w:pPr>
            <w:hyperlink r:id="rId116">
              <w:r>
                <w:rPr>
                  <w:rFonts w:ascii="Times New Roman" w:cs="Times New Roman" w:eastAsia="Times New Roman" w:hAnsi="Times New Roman"/>
                  <w:sz w:val="17"/>
                  <w:szCs w:val="17"/>
                  <w:color w:val="0000FF"/>
                </w:rPr>
                <w:t>4.</w:t>
              </w:r>
              <w:r>
                <w:rPr>
                  <w:rFonts w:ascii="Times New Roman" w:cs="Times New Roman" w:eastAsia="Times New Roman" w:hAnsi="Times New Roman"/>
                  <w:sz w:val="17"/>
                  <w:szCs w:val="17"/>
                  <w:u w:val="single" w:color="auto"/>
                  <w:color w:val="0000FF"/>
                </w:rPr>
                <w:t>2</w:t>
              </w:r>
            </w:hyperlink>
          </w:p>
        </w:tc>
        <w:tc>
          <w:tcPr>
            <w:tcW w:w="780" w:type="dxa"/>
            <w:vAlign w:val="bottom"/>
          </w:tcPr>
          <w:p>
            <w:pPr>
              <w:spacing w:after="0"/>
              <w:rPr>
                <w:sz w:val="17"/>
                <w:szCs w:val="17"/>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Form of Indenture (incorporated by reference to Exhibit 4.4 to The Pennant Group, Inc.’s Registration Statement on Form S-3 (File No. 333-</w:t>
            </w:r>
          </w:p>
        </w:tc>
      </w:tr>
      <w:tr>
        <w:trPr>
          <w:trHeight w:val="203"/>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281302) filed with the SEC August 6, 2024).</w:t>
            </w:r>
          </w:p>
        </w:tc>
      </w:tr>
      <w:tr>
        <w:trPr>
          <w:trHeight w:val="189"/>
        </w:trPr>
        <w:tc>
          <w:tcPr>
            <w:tcW w:w="1100" w:type="dxa"/>
            <w:vAlign w:val="bottom"/>
            <w:gridSpan w:val="4"/>
          </w:tcPr>
          <w:p>
            <w:pPr>
              <w:ind w:left="20"/>
              <w:spacing w:after="0" w:line="189" w:lineRule="exact"/>
              <w:rPr>
                <w:rFonts w:ascii="Times New Roman" w:cs="Times New Roman" w:eastAsia="Times New Roman" w:hAnsi="Times New Roman"/>
                <w:sz w:val="17"/>
                <w:szCs w:val="17"/>
                <w:color w:val="0000FF"/>
              </w:rPr>
            </w:pPr>
            <w:hyperlink r:id="rId117">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hyperlink>
          </w:p>
        </w:tc>
        <w:tc>
          <w:tcPr>
            <w:tcW w:w="10140" w:type="dxa"/>
            <w:vAlign w:val="bottom"/>
          </w:tcPr>
          <w:p>
            <w:pPr>
              <w:ind w:left="100"/>
              <w:spacing w:after="0" w:line="189" w:lineRule="exact"/>
              <w:rPr>
                <w:sz w:val="20"/>
                <w:szCs w:val="20"/>
                <w:color w:val="auto"/>
              </w:rPr>
            </w:pPr>
            <w:r>
              <w:rPr>
                <w:rFonts w:ascii="Times New Roman" w:cs="Times New Roman" w:eastAsia="Times New Roman" w:hAnsi="Times New Roman"/>
                <w:sz w:val="17"/>
                <w:szCs w:val="17"/>
                <w:color w:val="auto"/>
              </w:rPr>
              <w:t>Transition Services Agreement, dated as of October 1, 2019, by and between The Ensign Group, Inc. and The Pennant Group, Inc. (incorporated</w:t>
            </w:r>
          </w:p>
        </w:tc>
      </w:tr>
      <w:tr>
        <w:trPr>
          <w:trHeight w:val="196"/>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by reference to Exhibit 10.1 to The Pennant Group, Inc.’s Current Report on Form 8-K (File No. 001-38900) filed with the SEC on October 3,</w:t>
            </w: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2019).</w:t>
            </w:r>
          </w:p>
        </w:tc>
      </w:tr>
      <w:tr>
        <w:trPr>
          <w:trHeight w:val="206"/>
        </w:trPr>
        <w:tc>
          <w:tcPr>
            <w:tcW w:w="1100" w:type="dxa"/>
            <w:vAlign w:val="bottom"/>
            <w:gridSpan w:val="4"/>
          </w:tcPr>
          <w:p>
            <w:pPr>
              <w:ind w:left="20"/>
              <w:spacing w:after="0"/>
              <w:rPr>
                <w:rFonts w:ascii="Times New Roman" w:cs="Times New Roman" w:eastAsia="Times New Roman" w:hAnsi="Times New Roman"/>
                <w:sz w:val="17"/>
                <w:szCs w:val="17"/>
                <w:color w:val="0000FF"/>
              </w:rPr>
            </w:pPr>
            <w:hyperlink r:id="rId118">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w:t>
              </w:r>
            </w:hyperlink>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Tax Matters Agreement, dated as of October 1, 2019, by and between The Ensign Group, Inc. and The Pennant Group, Inc. (incorporated by</w:t>
            </w:r>
          </w:p>
        </w:tc>
      </w:tr>
      <w:tr>
        <w:trPr>
          <w:trHeight w:val="196"/>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reference to Exhibit 10.2 to The Pennant Group, Inc.’s Current Report on Form 8-K (File No. 001-38900) filed with the SEC on October 3,</w:t>
            </w: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2019).</w:t>
            </w:r>
          </w:p>
        </w:tc>
      </w:tr>
      <w:tr>
        <w:trPr>
          <w:trHeight w:val="206"/>
        </w:trPr>
        <w:tc>
          <w:tcPr>
            <w:tcW w:w="1100" w:type="dxa"/>
            <w:vAlign w:val="bottom"/>
            <w:gridSpan w:val="4"/>
          </w:tcPr>
          <w:p>
            <w:pPr>
              <w:ind w:left="20"/>
              <w:spacing w:after="0"/>
              <w:rPr>
                <w:rFonts w:ascii="Times New Roman" w:cs="Times New Roman" w:eastAsia="Times New Roman" w:hAnsi="Times New Roman"/>
                <w:sz w:val="17"/>
                <w:szCs w:val="17"/>
                <w:color w:val="0000FF"/>
              </w:rPr>
            </w:pPr>
            <w:hyperlink r:id="rId119">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3</w:t>
              </w:r>
            </w:hyperlink>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Employee Matters Agreement, dated as of October 1, 2019, by and between The Ensign Group, Inc. and The Pennant Group, Inc. (incorporated</w:t>
            </w:r>
          </w:p>
        </w:tc>
      </w:tr>
      <w:tr>
        <w:trPr>
          <w:trHeight w:val="196"/>
        </w:trPr>
        <w:tc>
          <w:tcPr>
            <w:tcW w:w="2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780" w:type="dxa"/>
            <w:vAlign w:val="bottom"/>
          </w:tcPr>
          <w:p>
            <w:pPr>
              <w:spacing w:after="0"/>
              <w:rPr>
                <w:sz w:val="17"/>
                <w:szCs w:val="17"/>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by reference to Exhibit 10.3 to The Pennant Group, Inc.’s Current Report on Form 8-K (File No. 001-38900) filed with the SEC on October 3,</w:t>
            </w: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1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2019).</w:t>
            </w:r>
          </w:p>
        </w:tc>
      </w:tr>
      <w:tr>
        <w:trPr>
          <w:trHeight w:val="83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140" w:type="dxa"/>
            <w:vAlign w:val="bottom"/>
          </w:tcPr>
          <w:p>
            <w:pPr>
              <w:ind w:left="4440"/>
              <w:spacing w:after="0"/>
              <w:rPr>
                <w:sz w:val="20"/>
                <w:szCs w:val="20"/>
                <w:color w:val="auto"/>
              </w:rPr>
            </w:pPr>
            <w:r>
              <w:rPr>
                <w:rFonts w:ascii="Times New Roman" w:cs="Times New Roman" w:eastAsia="Times New Roman" w:hAnsi="Times New Roman"/>
                <w:sz w:val="17"/>
                <w:szCs w:val="17"/>
                <w:color w:val="auto"/>
              </w:rPr>
              <w:t>82</w:t>
            </w:r>
          </w:p>
        </w:tc>
      </w:tr>
      <w:tr>
        <w:trPr>
          <w:trHeight w:val="108"/>
        </w:trPr>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0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195"/>
        </w:trPr>
        <w:tc>
          <w:tcPr>
            <w:tcW w:w="400" w:type="dxa"/>
            <w:vAlign w:val="bottom"/>
            <w:gridSpan w:val="3"/>
          </w:tcPr>
          <w:p>
            <w:pPr>
              <w:ind w:left="20"/>
              <w:spacing w:after="0"/>
              <w:rPr>
                <w:rFonts w:ascii="Times New Roman" w:cs="Times New Roman" w:eastAsia="Times New Roman" w:hAnsi="Times New Roman"/>
                <w:sz w:val="17"/>
                <w:szCs w:val="17"/>
                <w:color w:val="0000FF"/>
              </w:rPr>
            </w:pPr>
            <w:hyperlink r:id="rId122">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4</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Form of Lease Agreement by and among subsidiaries of The Ensign Group, Inc. and subsidiaries of The Pennant Group, Inc. (incorporated by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reference to Exhibit 10.4 to The Pennant Group, Inc.’s Amendment No. 2 to the Registration Statement on Form 10 (File No. 001-38900) filed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with the SEC on August 19, 2019).</w:t>
            </w:r>
          </w:p>
        </w:tc>
        <w:tc>
          <w:tcPr>
            <w:tcW w:w="0" w:type="dxa"/>
            <w:vAlign w:val="bottom"/>
          </w:tcPr>
          <w:p>
            <w:pPr>
              <w:spacing w:after="0"/>
              <w:rPr>
                <w:sz w:val="1"/>
                <w:szCs w:val="1"/>
                <w:color w:val="auto"/>
              </w:rPr>
            </w:pPr>
          </w:p>
        </w:tc>
      </w:tr>
      <w:tr>
        <w:trPr>
          <w:trHeight w:val="206"/>
        </w:trPr>
        <w:tc>
          <w:tcPr>
            <w:tcW w:w="500" w:type="dxa"/>
            <w:vAlign w:val="bottom"/>
            <w:gridSpan w:val="5"/>
          </w:tcPr>
          <w:p>
            <w:pPr>
              <w:ind w:left="20"/>
              <w:spacing w:after="0"/>
              <w:rPr>
                <w:rFonts w:ascii="Times New Roman" w:cs="Times New Roman" w:eastAsia="Times New Roman" w:hAnsi="Times New Roman"/>
                <w:sz w:val="17"/>
                <w:szCs w:val="17"/>
                <w:color w:val="0000FF"/>
              </w:rPr>
            </w:pPr>
            <w:hyperlink r:id="rId123">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5+</w:t>
              </w:r>
            </w:hyperlink>
          </w:p>
        </w:tc>
        <w:tc>
          <w:tcPr>
            <w:tcW w:w="360" w:type="dxa"/>
            <w:vAlign w:val="bottom"/>
          </w:tcPr>
          <w:p>
            <w:pPr>
              <w:spacing w:after="0"/>
              <w:rPr>
                <w:sz w:val="17"/>
                <w:szCs w:val="17"/>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The Pennant Group, Inc. Amended and Restated 2019 Omnibus Incentive Plan (incorporated by reference to Exhibit 4.5 to The Pennant Group,</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Inc.’s Registration Statement on Form S-8 (File No. 333-288547) filed with the SEC on July 7, 2025).</w:t>
            </w:r>
          </w:p>
        </w:tc>
        <w:tc>
          <w:tcPr>
            <w:tcW w:w="0" w:type="dxa"/>
            <w:vAlign w:val="bottom"/>
          </w:tcPr>
          <w:p>
            <w:pPr>
              <w:spacing w:after="0"/>
              <w:rPr>
                <w:sz w:val="1"/>
                <w:szCs w:val="1"/>
                <w:color w:val="auto"/>
              </w:rPr>
            </w:pPr>
          </w:p>
        </w:tc>
      </w:tr>
      <w:tr>
        <w:trPr>
          <w:trHeight w:val="219"/>
        </w:trPr>
        <w:tc>
          <w:tcPr>
            <w:tcW w:w="500" w:type="dxa"/>
            <w:vAlign w:val="bottom"/>
            <w:gridSpan w:val="5"/>
          </w:tcPr>
          <w:p>
            <w:pPr>
              <w:ind w:left="20"/>
              <w:spacing w:after="0"/>
              <w:rPr>
                <w:rFonts w:ascii="Times New Roman" w:cs="Times New Roman" w:eastAsia="Times New Roman" w:hAnsi="Times New Roman"/>
                <w:sz w:val="17"/>
                <w:szCs w:val="17"/>
                <w:color w:val="0000FF"/>
              </w:rPr>
            </w:pPr>
            <w:hyperlink r:id="rId124">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6+</w:t>
              </w:r>
            </w:hyperlink>
          </w:p>
        </w:tc>
        <w:tc>
          <w:tcPr>
            <w:tcW w:w="36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Form of Options Granted Under The Pennant Group, Inc. 2019 Omnibus Incentive Plan (incorporated by reference to Exhibit 10.6 to The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Pennant Group, Inc.’s Amendment No. 2 to the Registration Statement on Form 10 (File No. 001-38900) filed with the SEC on August 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2019).</w:t>
            </w:r>
          </w:p>
        </w:tc>
        <w:tc>
          <w:tcPr>
            <w:tcW w:w="0" w:type="dxa"/>
            <w:vAlign w:val="bottom"/>
          </w:tcPr>
          <w:p>
            <w:pPr>
              <w:spacing w:after="0"/>
              <w:rPr>
                <w:sz w:val="1"/>
                <w:szCs w:val="1"/>
                <w:color w:val="auto"/>
              </w:rPr>
            </w:pPr>
          </w:p>
        </w:tc>
      </w:tr>
      <w:tr>
        <w:trPr>
          <w:trHeight w:val="206"/>
        </w:trPr>
        <w:tc>
          <w:tcPr>
            <w:tcW w:w="500" w:type="dxa"/>
            <w:vAlign w:val="bottom"/>
            <w:gridSpan w:val="5"/>
          </w:tcPr>
          <w:p>
            <w:pPr>
              <w:ind w:left="20"/>
              <w:spacing w:after="0"/>
              <w:rPr>
                <w:rFonts w:ascii="Times New Roman" w:cs="Times New Roman" w:eastAsia="Times New Roman" w:hAnsi="Times New Roman"/>
                <w:sz w:val="17"/>
                <w:szCs w:val="17"/>
                <w:color w:val="0000FF"/>
              </w:rPr>
            </w:pPr>
            <w:hyperlink r:id="rId125">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7+</w:t>
              </w:r>
            </w:hyperlink>
          </w:p>
        </w:tc>
        <w:tc>
          <w:tcPr>
            <w:tcW w:w="360" w:type="dxa"/>
            <w:vAlign w:val="bottom"/>
          </w:tcPr>
          <w:p>
            <w:pPr>
              <w:spacing w:after="0"/>
              <w:rPr>
                <w:sz w:val="17"/>
                <w:szCs w:val="17"/>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Form of RSUs Granted Under The Pennant Group, Inc. 2019 Omnibus Incentive Plan (incorporated by reference to Exhibit 10.7 to The Pennant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Group, Inc.’s Amendment No. 2 to the Registration Statement on Form 10 (File No. 001-38900) filed with the SEC on August 19, 2019).</w:t>
            </w:r>
          </w:p>
        </w:tc>
        <w:tc>
          <w:tcPr>
            <w:tcW w:w="0" w:type="dxa"/>
            <w:vAlign w:val="bottom"/>
          </w:tcPr>
          <w:p>
            <w:pPr>
              <w:spacing w:after="0"/>
              <w:rPr>
                <w:sz w:val="1"/>
                <w:szCs w:val="1"/>
                <w:color w:val="auto"/>
              </w:rPr>
            </w:pPr>
          </w:p>
        </w:tc>
      </w:tr>
      <w:tr>
        <w:trPr>
          <w:trHeight w:val="219"/>
        </w:trPr>
        <w:tc>
          <w:tcPr>
            <w:tcW w:w="500" w:type="dxa"/>
            <w:vAlign w:val="bottom"/>
            <w:gridSpan w:val="5"/>
          </w:tcPr>
          <w:p>
            <w:pPr>
              <w:ind w:left="20"/>
              <w:spacing w:after="0"/>
              <w:rPr>
                <w:rFonts w:ascii="Times New Roman" w:cs="Times New Roman" w:eastAsia="Times New Roman" w:hAnsi="Times New Roman"/>
                <w:sz w:val="17"/>
                <w:szCs w:val="17"/>
                <w:color w:val="0000FF"/>
              </w:rPr>
            </w:pPr>
            <w:hyperlink r:id="rId126">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8+</w:t>
              </w:r>
            </w:hyperlink>
          </w:p>
        </w:tc>
        <w:tc>
          <w:tcPr>
            <w:tcW w:w="36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Form of RS Granted Under The Pennant Group, Inc. 2019 Omnibus Incentive Plan (incorporated by reference to Exhibit 10.8 to The Pennant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Group, Inc.’s Amendment No. 2 to the Registration Statement on Form 10 (File No. 001-38900) filed with the SEC on August 19, 2019).</w:t>
            </w:r>
          </w:p>
        </w:tc>
        <w:tc>
          <w:tcPr>
            <w:tcW w:w="0" w:type="dxa"/>
            <w:vAlign w:val="bottom"/>
          </w:tcPr>
          <w:p>
            <w:pPr>
              <w:spacing w:after="0"/>
              <w:rPr>
                <w:sz w:val="1"/>
                <w:szCs w:val="1"/>
                <w:color w:val="auto"/>
              </w:rPr>
            </w:pPr>
          </w:p>
        </w:tc>
      </w:tr>
      <w:tr>
        <w:trPr>
          <w:trHeight w:val="219"/>
        </w:trPr>
        <w:tc>
          <w:tcPr>
            <w:tcW w:w="500" w:type="dxa"/>
            <w:vAlign w:val="bottom"/>
            <w:gridSpan w:val="5"/>
          </w:tcPr>
          <w:p>
            <w:pPr>
              <w:ind w:left="20"/>
              <w:spacing w:after="0"/>
              <w:rPr>
                <w:rFonts w:ascii="Times New Roman" w:cs="Times New Roman" w:eastAsia="Times New Roman" w:hAnsi="Times New Roman"/>
                <w:sz w:val="17"/>
                <w:szCs w:val="17"/>
                <w:color w:val="0000FF"/>
              </w:rPr>
            </w:pPr>
            <w:hyperlink r:id="rId127">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9+</w:t>
              </w:r>
            </w:hyperlink>
          </w:p>
        </w:tc>
        <w:tc>
          <w:tcPr>
            <w:tcW w:w="36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The Pennant Group, Inc. 2019 Long Term Incentive Plan (incorporated by reference to Exhibit 10.11 to The Pennant Group, Inc.’s Current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Report on Form 8-K (File No. 001-38900) filed with the SEC on October 3, 2019).</w:t>
            </w:r>
          </w:p>
        </w:tc>
        <w:tc>
          <w:tcPr>
            <w:tcW w:w="0" w:type="dxa"/>
            <w:vAlign w:val="bottom"/>
          </w:tcPr>
          <w:p>
            <w:pPr>
              <w:spacing w:after="0"/>
              <w:rPr>
                <w:sz w:val="1"/>
                <w:szCs w:val="1"/>
                <w:color w:val="auto"/>
              </w:rPr>
            </w:pPr>
          </w:p>
        </w:tc>
      </w:tr>
      <w:tr>
        <w:trPr>
          <w:trHeight w:val="219"/>
        </w:trPr>
        <w:tc>
          <w:tcPr>
            <w:tcW w:w="860" w:type="dxa"/>
            <w:vAlign w:val="bottom"/>
            <w:gridSpan w:val="6"/>
          </w:tcPr>
          <w:p>
            <w:pPr>
              <w:ind w:left="20"/>
              <w:spacing w:after="0"/>
              <w:rPr>
                <w:rFonts w:ascii="Times New Roman" w:cs="Times New Roman" w:eastAsia="Times New Roman" w:hAnsi="Times New Roman"/>
                <w:sz w:val="17"/>
                <w:szCs w:val="17"/>
                <w:color w:val="0000FF"/>
              </w:rPr>
            </w:pPr>
            <w:hyperlink r:id="rId128">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10+</w:t>
              </w:r>
            </w:hyperlink>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Form of LTIP RS Granted Under The Pennant Group, Inc. 2019 Long Term Incentive Plan (incorporated by reference to Exhibit 10.10 to The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60" w:type="dxa"/>
            <w:vAlign w:val="bottom"/>
          </w:tcPr>
          <w:p>
            <w:pPr>
              <w:spacing w:after="0"/>
              <w:rPr>
                <w:sz w:val="17"/>
                <w:szCs w:val="17"/>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Pennant Group, Inc.’s Amendment No. 2 to the Registration Statement on Form 10 (File No. 001-38900) filed with the SEC on August 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2019).</w:t>
            </w:r>
          </w:p>
        </w:tc>
        <w:tc>
          <w:tcPr>
            <w:tcW w:w="0" w:type="dxa"/>
            <w:vAlign w:val="bottom"/>
          </w:tcPr>
          <w:p>
            <w:pPr>
              <w:spacing w:after="0"/>
              <w:rPr>
                <w:sz w:val="1"/>
                <w:szCs w:val="1"/>
                <w:color w:val="auto"/>
              </w:rPr>
            </w:pPr>
          </w:p>
        </w:tc>
      </w:tr>
      <w:tr>
        <w:trPr>
          <w:trHeight w:val="206"/>
        </w:trPr>
        <w:tc>
          <w:tcPr>
            <w:tcW w:w="400" w:type="dxa"/>
            <w:vAlign w:val="bottom"/>
            <w:gridSpan w:val="3"/>
          </w:tcPr>
          <w:p>
            <w:pPr>
              <w:ind w:left="20"/>
              <w:spacing w:after="0"/>
              <w:rPr>
                <w:rFonts w:ascii="Times New Roman" w:cs="Times New Roman" w:eastAsia="Times New Roman" w:hAnsi="Times New Roman"/>
                <w:sz w:val="17"/>
                <w:szCs w:val="17"/>
                <w:color w:val="0000FF"/>
                <w:w w:val="93"/>
              </w:rPr>
            </w:pPr>
            <w:hyperlink r:id="rId129">
              <w:r>
                <w:rPr>
                  <w:rFonts w:ascii="Times New Roman" w:cs="Times New Roman" w:eastAsia="Times New Roman" w:hAnsi="Times New Roman"/>
                  <w:sz w:val="17"/>
                  <w:szCs w:val="17"/>
                  <w:color w:val="0000FF"/>
                  <w:w w:val="93"/>
                </w:rPr>
                <w:t>10.</w:t>
              </w:r>
              <w:r>
                <w:rPr>
                  <w:rFonts w:ascii="Times New Roman" w:cs="Times New Roman" w:eastAsia="Times New Roman" w:hAnsi="Times New Roman"/>
                  <w:sz w:val="17"/>
                  <w:szCs w:val="17"/>
                  <w:u w:val="single" w:color="auto"/>
                  <w:color w:val="0000FF"/>
                  <w:w w:val="93"/>
                </w:rPr>
                <w:t>11</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Form of Indemnification Agreement to be entered into between The Pennant Group, Inc. and each of its directors and executive officers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(incorporated by reference to Exhibit 10.11 to The Pennant Group, Inc.’s Amendment No. 2 to the Registration Statement on Form 10 (File No.</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001-38900) filed with the SEC on August 19, 2019).</w:t>
            </w:r>
          </w:p>
        </w:tc>
        <w:tc>
          <w:tcPr>
            <w:tcW w:w="0" w:type="dxa"/>
            <w:vAlign w:val="bottom"/>
          </w:tcPr>
          <w:p>
            <w:pPr>
              <w:spacing w:after="0"/>
              <w:rPr>
                <w:sz w:val="1"/>
                <w:szCs w:val="1"/>
                <w:color w:val="auto"/>
              </w:rPr>
            </w:pPr>
          </w:p>
        </w:tc>
      </w:tr>
      <w:tr>
        <w:trPr>
          <w:trHeight w:val="206"/>
        </w:trPr>
        <w:tc>
          <w:tcPr>
            <w:tcW w:w="400" w:type="dxa"/>
            <w:vAlign w:val="bottom"/>
            <w:gridSpan w:val="3"/>
          </w:tcPr>
          <w:p>
            <w:pPr>
              <w:ind w:left="20"/>
              <w:spacing w:after="0"/>
              <w:rPr>
                <w:rFonts w:ascii="Times New Roman" w:cs="Times New Roman" w:eastAsia="Times New Roman" w:hAnsi="Times New Roman"/>
                <w:sz w:val="17"/>
                <w:szCs w:val="17"/>
                <w:color w:val="0000FF"/>
                <w:w w:val="93"/>
              </w:rPr>
            </w:pPr>
            <w:hyperlink r:id="rId130">
              <w:r>
                <w:rPr>
                  <w:rFonts w:ascii="Times New Roman" w:cs="Times New Roman" w:eastAsia="Times New Roman" w:hAnsi="Times New Roman"/>
                  <w:sz w:val="17"/>
                  <w:szCs w:val="17"/>
                  <w:color w:val="0000FF"/>
                  <w:w w:val="93"/>
                </w:rPr>
                <w:t>10.</w:t>
              </w:r>
              <w:r>
                <w:rPr>
                  <w:rFonts w:ascii="Times New Roman" w:cs="Times New Roman" w:eastAsia="Times New Roman" w:hAnsi="Times New Roman"/>
                  <w:sz w:val="17"/>
                  <w:szCs w:val="17"/>
                  <w:u w:val="single" w:color="auto"/>
                  <w:color w:val="0000FF"/>
                  <w:w w:val="93"/>
                </w:rPr>
                <w:t>12</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Credit Agreement, dated February 23, 2021, by and among the Company and certain of its subsidiaries, the lenders named therein, and Truist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Bank (successor by merger to SunTrust Bank), as administrative agent for the lenders (incorporated by reference to Exhibit 10.1 to The Pennant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Group, Inc.’s Current Report on Form 8-K (File No. 001-38900) filed with the SEC on February 24, 2021).</w:t>
            </w:r>
          </w:p>
        </w:tc>
        <w:tc>
          <w:tcPr>
            <w:tcW w:w="0" w:type="dxa"/>
            <w:vAlign w:val="bottom"/>
          </w:tcPr>
          <w:p>
            <w:pPr>
              <w:spacing w:after="0"/>
              <w:rPr>
                <w:sz w:val="1"/>
                <w:szCs w:val="1"/>
                <w:color w:val="auto"/>
              </w:rPr>
            </w:pPr>
          </w:p>
        </w:tc>
      </w:tr>
      <w:tr>
        <w:trPr>
          <w:trHeight w:val="206"/>
        </w:trPr>
        <w:tc>
          <w:tcPr>
            <w:tcW w:w="860" w:type="dxa"/>
            <w:vAlign w:val="bottom"/>
            <w:gridSpan w:val="6"/>
          </w:tcPr>
          <w:p>
            <w:pPr>
              <w:ind w:left="20"/>
              <w:spacing w:after="0"/>
              <w:rPr>
                <w:rFonts w:ascii="Times New Roman" w:cs="Times New Roman" w:eastAsia="Times New Roman" w:hAnsi="Times New Roman"/>
                <w:sz w:val="17"/>
                <w:szCs w:val="17"/>
                <w:color w:val="0000FF"/>
              </w:rPr>
            </w:pPr>
            <w:hyperlink r:id="rId131">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13+</w:t>
              </w:r>
            </w:hyperlink>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Cornerstone Healthcare, Inc. 2016 Omnibus Incentive Plan (incorporated by reference to Exhibit 10.13 to The Pennant Group, Inc.’s Amendment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6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 3 to the Registration Statement on Form 10 (File No. 001-38900) filed with the SEC on September 3, 2019).</w:t>
            </w:r>
          </w:p>
        </w:tc>
        <w:tc>
          <w:tcPr>
            <w:tcW w:w="0" w:type="dxa"/>
            <w:vAlign w:val="bottom"/>
          </w:tcPr>
          <w:p>
            <w:pPr>
              <w:spacing w:after="0"/>
              <w:rPr>
                <w:sz w:val="1"/>
                <w:szCs w:val="1"/>
                <w:color w:val="auto"/>
              </w:rPr>
            </w:pPr>
          </w:p>
        </w:tc>
      </w:tr>
      <w:tr>
        <w:trPr>
          <w:trHeight w:val="219"/>
        </w:trPr>
        <w:tc>
          <w:tcPr>
            <w:tcW w:w="860" w:type="dxa"/>
            <w:vAlign w:val="bottom"/>
            <w:gridSpan w:val="6"/>
          </w:tcPr>
          <w:p>
            <w:pPr>
              <w:ind w:left="20"/>
              <w:spacing w:after="0"/>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14+</w:t>
              </w:r>
            </w:hyperlink>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The Ensign Group, Inc. 2017 Omnibus Incentive Plan (incorporated by reference to Exhibit 10.14 to The Pennant Group, Inc.’s Amendment No.</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6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3 to the Registration Statement on Form 10 (File No. 001-38900) filed with the SEC on September 3, 2019).</w:t>
            </w:r>
          </w:p>
        </w:tc>
        <w:tc>
          <w:tcPr>
            <w:tcW w:w="0" w:type="dxa"/>
            <w:vAlign w:val="bottom"/>
          </w:tcPr>
          <w:p>
            <w:pPr>
              <w:spacing w:after="0"/>
              <w:rPr>
                <w:sz w:val="1"/>
                <w:szCs w:val="1"/>
                <w:color w:val="auto"/>
              </w:rPr>
            </w:pPr>
          </w:p>
        </w:tc>
      </w:tr>
      <w:tr>
        <w:trPr>
          <w:trHeight w:val="219"/>
        </w:trPr>
        <w:tc>
          <w:tcPr>
            <w:tcW w:w="860" w:type="dxa"/>
            <w:vAlign w:val="bottom"/>
            <w:gridSpan w:val="6"/>
          </w:tcPr>
          <w:p>
            <w:pPr>
              <w:ind w:left="20"/>
              <w:spacing w:after="0"/>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15+</w:t>
              </w:r>
            </w:hyperlink>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Consulting Agreement, dated July 25, 2022, by and between The Pennant Group, Inc. and Daniel H. Walker (incorporated by reference to Exhibit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6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10.1 to The Pennant Group, Inc.’s Current Report on Form 8-K (File No. 001-38900) filed with the SEC on July 29, 2022).</w:t>
            </w:r>
          </w:p>
        </w:tc>
        <w:tc>
          <w:tcPr>
            <w:tcW w:w="0" w:type="dxa"/>
            <w:vAlign w:val="bottom"/>
          </w:tcPr>
          <w:p>
            <w:pPr>
              <w:spacing w:after="0"/>
              <w:rPr>
                <w:sz w:val="1"/>
                <w:szCs w:val="1"/>
                <w:color w:val="auto"/>
              </w:rPr>
            </w:pPr>
          </w:p>
        </w:tc>
      </w:tr>
      <w:tr>
        <w:trPr>
          <w:trHeight w:val="219"/>
        </w:trPr>
        <w:tc>
          <w:tcPr>
            <w:tcW w:w="860" w:type="dxa"/>
            <w:vAlign w:val="bottom"/>
            <w:gridSpan w:val="6"/>
          </w:tcPr>
          <w:p>
            <w:pPr>
              <w:ind w:left="20"/>
              <w:spacing w:after="0"/>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16+</w:t>
              </w:r>
            </w:hyperlink>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Amendment to Restricted Stock Unit Agreement, dated July 25, 2022, by and between The Pennant Group, Inc. and Daniel H. Walker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60" w:type="dxa"/>
            <w:vAlign w:val="bottom"/>
          </w:tcPr>
          <w:p>
            <w:pPr>
              <w:spacing w:after="0"/>
              <w:rPr>
                <w:sz w:val="17"/>
                <w:szCs w:val="17"/>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(incorporated by reference to Exhibit 10.2 to The Pennant Group, Inc.’s Current Report on Form 8-K (File No. 001-38900) filed with the SEC on</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July 29, 2022).</w:t>
            </w:r>
          </w:p>
        </w:tc>
        <w:tc>
          <w:tcPr>
            <w:tcW w:w="0" w:type="dxa"/>
            <w:vAlign w:val="bottom"/>
          </w:tcPr>
          <w:p>
            <w:pPr>
              <w:spacing w:after="0"/>
              <w:rPr>
                <w:sz w:val="1"/>
                <w:szCs w:val="1"/>
                <w:color w:val="auto"/>
              </w:rPr>
            </w:pPr>
          </w:p>
        </w:tc>
      </w:tr>
      <w:tr>
        <w:trPr>
          <w:trHeight w:val="206"/>
        </w:trPr>
        <w:tc>
          <w:tcPr>
            <w:tcW w:w="400" w:type="dxa"/>
            <w:vAlign w:val="bottom"/>
            <w:gridSpan w:val="3"/>
          </w:tcPr>
          <w:p>
            <w:pPr>
              <w:ind w:left="20"/>
              <w:spacing w:after="0"/>
              <w:rPr>
                <w:rFonts w:ascii="Times New Roman" w:cs="Times New Roman" w:eastAsia="Times New Roman" w:hAnsi="Times New Roman"/>
                <w:sz w:val="17"/>
                <w:szCs w:val="17"/>
                <w:color w:val="0000FF"/>
                <w:w w:val="93"/>
              </w:rPr>
            </w:pPr>
            <w:hyperlink r:id="rId135">
              <w:r>
                <w:rPr>
                  <w:rFonts w:ascii="Times New Roman" w:cs="Times New Roman" w:eastAsia="Times New Roman" w:hAnsi="Times New Roman"/>
                  <w:sz w:val="17"/>
                  <w:szCs w:val="17"/>
                  <w:color w:val="0000FF"/>
                  <w:w w:val="93"/>
                </w:rPr>
                <w:t>10.</w:t>
              </w:r>
              <w:r>
                <w:rPr>
                  <w:rFonts w:ascii="Times New Roman" w:cs="Times New Roman" w:eastAsia="Times New Roman" w:hAnsi="Times New Roman"/>
                  <w:sz w:val="17"/>
                  <w:szCs w:val="17"/>
                  <w:u w:val="single" w:color="auto"/>
                  <w:color w:val="0000FF"/>
                  <w:w w:val="93"/>
                </w:rPr>
                <w:t>17</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Credit Agreement, dated June 12, 2023, by and among the Company and certain of its subsidiaries, the lenders named therein, and Truist Bank</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(successor by merger to SunTrust Bank), as administrative agent for the lenders (incorporated by reference to Exhibit 10.1 to The Pennant Group,</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Inc.’s Current Report on Form 8-K (File No. 001-38900) filed with the SEC on June 12, 2023).</w:t>
            </w:r>
          </w:p>
        </w:tc>
        <w:tc>
          <w:tcPr>
            <w:tcW w:w="0" w:type="dxa"/>
            <w:vAlign w:val="bottom"/>
          </w:tcPr>
          <w:p>
            <w:pPr>
              <w:spacing w:after="0"/>
              <w:rPr>
                <w:sz w:val="1"/>
                <w:szCs w:val="1"/>
                <w:color w:val="auto"/>
              </w:rPr>
            </w:pPr>
          </w:p>
        </w:tc>
      </w:tr>
      <w:tr>
        <w:trPr>
          <w:trHeight w:val="193"/>
        </w:trPr>
        <w:tc>
          <w:tcPr>
            <w:tcW w:w="400" w:type="dxa"/>
            <w:vAlign w:val="bottom"/>
            <w:gridSpan w:val="3"/>
          </w:tcPr>
          <w:p>
            <w:pPr>
              <w:ind w:left="20"/>
              <w:spacing w:after="0" w:line="193" w:lineRule="exact"/>
              <w:rPr>
                <w:rFonts w:ascii="Times New Roman" w:cs="Times New Roman" w:eastAsia="Times New Roman" w:hAnsi="Times New Roman"/>
                <w:sz w:val="17"/>
                <w:szCs w:val="17"/>
                <w:color w:val="0000FF"/>
                <w:w w:val="93"/>
              </w:rPr>
            </w:pPr>
            <w:hyperlink r:id="rId136">
              <w:r>
                <w:rPr>
                  <w:rFonts w:ascii="Times New Roman" w:cs="Times New Roman" w:eastAsia="Times New Roman" w:hAnsi="Times New Roman"/>
                  <w:sz w:val="17"/>
                  <w:szCs w:val="17"/>
                  <w:color w:val="0000FF"/>
                  <w:w w:val="93"/>
                </w:rPr>
                <w:t>10.</w:t>
              </w:r>
              <w:r>
                <w:rPr>
                  <w:rFonts w:ascii="Times New Roman" w:cs="Times New Roman" w:eastAsia="Times New Roman" w:hAnsi="Times New Roman"/>
                  <w:sz w:val="17"/>
                  <w:szCs w:val="17"/>
                  <w:u w:val="single" w:color="auto"/>
                  <w:color w:val="0000FF"/>
                  <w:w w:val="93"/>
                </w:rPr>
                <w:t>18</w:t>
              </w:r>
            </w:hyperlink>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380" w:type="dxa"/>
            <w:vAlign w:val="bottom"/>
          </w:tcPr>
          <w:p>
            <w:pPr>
              <w:ind w:left="340"/>
              <w:spacing w:after="0" w:line="193" w:lineRule="exact"/>
              <w:rPr>
                <w:sz w:val="20"/>
                <w:szCs w:val="20"/>
                <w:color w:val="auto"/>
              </w:rPr>
            </w:pPr>
            <w:r>
              <w:rPr>
                <w:rFonts w:ascii="Times New Roman" w:cs="Times New Roman" w:eastAsia="Times New Roman" w:hAnsi="Times New Roman"/>
                <w:sz w:val="17"/>
                <w:szCs w:val="17"/>
                <w:color w:val="auto"/>
              </w:rPr>
              <w:t>Amended and Restated Credit Agreement, dated as of July 31, 2024, by and among The Pennant Group, Inc. and Truist Bank, as administrative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380" w:type="dxa"/>
            <w:vAlign w:val="bottom"/>
          </w:tcPr>
          <w:p>
            <w:pPr>
              <w:ind w:left="340"/>
              <w:spacing w:after="0" w:line="144" w:lineRule="exact"/>
              <w:rPr>
                <w:sz w:val="20"/>
                <w:szCs w:val="20"/>
                <w:color w:val="auto"/>
              </w:rPr>
            </w:pPr>
            <w:r>
              <w:rPr>
                <w:rFonts w:ascii="Times New Roman" w:cs="Times New Roman" w:eastAsia="Times New Roman" w:hAnsi="Times New Roman"/>
                <w:sz w:val="16"/>
                <w:szCs w:val="16"/>
                <w:color w:val="auto"/>
              </w:rPr>
              <w:t>agent, and the lenders party thereto (incorporated by reference to Exhibit 10.1 to The Pennant Group, Inc.’s Current Report on Form 8-K (File</w:t>
            </w:r>
          </w:p>
        </w:tc>
        <w:tc>
          <w:tcPr>
            <w:tcW w:w="0" w:type="dxa"/>
            <w:vAlign w:val="bottom"/>
          </w:tcPr>
          <w:p>
            <w:pPr>
              <w:spacing w:after="0"/>
              <w:rPr>
                <w:sz w:val="1"/>
                <w:szCs w:val="1"/>
                <w:color w:val="auto"/>
              </w:rPr>
            </w:pPr>
          </w:p>
        </w:tc>
      </w:tr>
      <w:tr>
        <w:trPr>
          <w:trHeight w:val="223"/>
        </w:trPr>
        <w:tc>
          <w:tcPr>
            <w:tcW w:w="400" w:type="dxa"/>
            <w:vAlign w:val="bottom"/>
            <w:gridSpan w:val="3"/>
            <w:vMerge w:val="restart"/>
          </w:tcPr>
          <w:p>
            <w:pPr>
              <w:ind w:left="20"/>
              <w:spacing w:after="0"/>
              <w:rPr>
                <w:rFonts w:ascii="Times New Roman" w:cs="Times New Roman" w:eastAsia="Times New Roman" w:hAnsi="Times New Roman"/>
                <w:sz w:val="17"/>
                <w:szCs w:val="17"/>
                <w:color w:val="0000FF"/>
                <w:w w:val="93"/>
              </w:rPr>
            </w:pPr>
            <w:hyperlink r:id="rId137">
              <w:r>
                <w:rPr>
                  <w:rFonts w:ascii="Times New Roman" w:cs="Times New Roman" w:eastAsia="Times New Roman" w:hAnsi="Times New Roman"/>
                  <w:sz w:val="17"/>
                  <w:szCs w:val="17"/>
                  <w:color w:val="0000FF"/>
                  <w:w w:val="93"/>
                </w:rPr>
                <w:t>10.</w:t>
              </w:r>
            </w:hyperlink>
            <w:r>
              <w:rPr>
                <w:rFonts w:ascii="Times New Roman" w:cs="Times New Roman" w:eastAsia="Times New Roman" w:hAnsi="Times New Roman"/>
                <w:sz w:val="17"/>
                <w:szCs w:val="17"/>
                <w:u w:val="single" w:color="auto"/>
                <w:color w:val="0000FF"/>
                <w:w w:val="93"/>
              </w:rPr>
              <w:t>19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 001-38900) filed with the SEC on August 1, 2024).</w:t>
            </w:r>
          </w:p>
        </w:tc>
        <w:tc>
          <w:tcPr>
            <w:tcW w:w="0" w:type="dxa"/>
            <w:vAlign w:val="bottom"/>
          </w:tcPr>
          <w:p>
            <w:pPr>
              <w:spacing w:after="0"/>
              <w:rPr>
                <w:sz w:val="1"/>
                <w:szCs w:val="1"/>
                <w:color w:val="auto"/>
              </w:rPr>
            </w:pPr>
          </w:p>
        </w:tc>
      </w:tr>
      <w:tr>
        <w:trPr>
          <w:trHeight w:val="180"/>
        </w:trPr>
        <w:tc>
          <w:tcPr>
            <w:tcW w:w="4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380" w:type="dxa"/>
            <w:vAlign w:val="bottom"/>
          </w:tcPr>
          <w:p>
            <w:pPr>
              <w:ind w:left="340"/>
              <w:spacing w:after="0" w:line="160" w:lineRule="exact"/>
              <w:rPr>
                <w:sz w:val="20"/>
                <w:szCs w:val="20"/>
                <w:color w:val="auto"/>
              </w:rPr>
            </w:pPr>
            <w:r>
              <w:rPr>
                <w:rFonts w:ascii="Times New Roman" w:cs="Times New Roman" w:eastAsia="Times New Roman" w:hAnsi="Times New Roman"/>
                <w:sz w:val="17"/>
                <w:szCs w:val="17"/>
                <w:color w:val="auto"/>
              </w:rPr>
              <w:t>Purchase Agreement by and among Cornerstone Healthcare, Inc., Tensaw River Healthcare LLC, The Pennant Group, Inc., UnitedHealth Group</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Incorporated, Amedisys, Inc., and each of the other Sellers named therein, dated April 30, 2025 (incorporated by reference to Exhibit 10.1 to The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Pennant Group, Inc.’s Quarterly Report on Form 10-Q (File No. 001-38900) filed with the SEC on August 6, 2025).</w:t>
            </w:r>
          </w:p>
        </w:tc>
        <w:tc>
          <w:tcPr>
            <w:tcW w:w="0" w:type="dxa"/>
            <w:vAlign w:val="bottom"/>
          </w:tcPr>
          <w:p>
            <w:pPr>
              <w:spacing w:after="0"/>
              <w:rPr>
                <w:sz w:val="1"/>
                <w:szCs w:val="1"/>
                <w:color w:val="auto"/>
              </w:rPr>
            </w:pPr>
          </w:p>
        </w:tc>
      </w:tr>
      <w:tr>
        <w:trPr>
          <w:trHeight w:val="193"/>
        </w:trPr>
        <w:tc>
          <w:tcPr>
            <w:tcW w:w="400" w:type="dxa"/>
            <w:vAlign w:val="bottom"/>
            <w:gridSpan w:val="3"/>
          </w:tcPr>
          <w:p>
            <w:pPr>
              <w:ind w:left="20"/>
              <w:spacing w:after="0" w:line="173" w:lineRule="exact"/>
              <w:rPr>
                <w:rFonts w:ascii="Times New Roman" w:cs="Times New Roman" w:eastAsia="Times New Roman" w:hAnsi="Times New Roman"/>
                <w:sz w:val="17"/>
                <w:szCs w:val="17"/>
                <w:color w:val="0000FF"/>
                <w:w w:val="93"/>
              </w:rPr>
            </w:pPr>
            <w:hyperlink r:id="rId138">
              <w:r>
                <w:rPr>
                  <w:rFonts w:ascii="Times New Roman" w:cs="Times New Roman" w:eastAsia="Times New Roman" w:hAnsi="Times New Roman"/>
                  <w:sz w:val="17"/>
                  <w:szCs w:val="17"/>
                  <w:color w:val="0000FF"/>
                  <w:w w:val="93"/>
                </w:rPr>
                <w:t>10.</w:t>
              </w:r>
              <w:r>
                <w:rPr>
                  <w:rFonts w:ascii="Times New Roman" w:cs="Times New Roman" w:eastAsia="Times New Roman" w:hAnsi="Times New Roman"/>
                  <w:sz w:val="17"/>
                  <w:szCs w:val="17"/>
                  <w:u w:val="single" w:color="auto"/>
                  <w:color w:val="0000FF"/>
                  <w:w w:val="93"/>
                </w:rPr>
                <w:t>20</w:t>
              </w:r>
            </w:hyperlink>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380" w:type="dxa"/>
            <w:vAlign w:val="bottom"/>
          </w:tcPr>
          <w:p>
            <w:pPr>
              <w:ind w:left="340"/>
              <w:spacing w:after="0" w:line="173" w:lineRule="exact"/>
              <w:rPr>
                <w:sz w:val="20"/>
                <w:szCs w:val="20"/>
                <w:color w:val="auto"/>
              </w:rPr>
            </w:pPr>
            <w:r>
              <w:rPr>
                <w:rFonts w:ascii="Times New Roman" w:cs="Times New Roman" w:eastAsia="Times New Roman" w:hAnsi="Times New Roman"/>
                <w:sz w:val="17"/>
                <w:szCs w:val="17"/>
                <w:color w:val="auto"/>
              </w:rPr>
              <w:t>First Amendment to Purchase Agreement dated October 1, 2025, by and among Entity Buyer, Asset Buyer, and the Sellers (incorporated by</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reference to Exhibit 10.1 to The Pennant Group, Inc.’s Current Report on Form 8-K (File No. 001-38900) filed with the SEC on October 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2025).</w:t>
            </w:r>
          </w:p>
        </w:tc>
        <w:tc>
          <w:tcPr>
            <w:tcW w:w="0" w:type="dxa"/>
            <w:vAlign w:val="bottom"/>
          </w:tcPr>
          <w:p>
            <w:pPr>
              <w:spacing w:after="0"/>
              <w:rPr>
                <w:sz w:val="1"/>
                <w:szCs w:val="1"/>
                <w:color w:val="auto"/>
              </w:rPr>
            </w:pPr>
          </w:p>
        </w:tc>
      </w:tr>
      <w:tr>
        <w:trPr>
          <w:trHeight w:val="838"/>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380" w:type="dxa"/>
            <w:vAlign w:val="bottom"/>
          </w:tcPr>
          <w:p>
            <w:pPr>
              <w:ind w:left="4680"/>
              <w:spacing w:after="0"/>
              <w:rPr>
                <w:sz w:val="20"/>
                <w:szCs w:val="20"/>
                <w:color w:val="auto"/>
              </w:rPr>
            </w:pPr>
            <w:r>
              <w:rPr>
                <w:rFonts w:ascii="Times New Roman" w:cs="Times New Roman" w:eastAsia="Times New Roman" w:hAnsi="Times New Roman"/>
                <w:sz w:val="17"/>
                <w:szCs w:val="17"/>
                <w:color w:val="auto"/>
              </w:rPr>
              <w:t>83</w:t>
            </w:r>
          </w:p>
        </w:tc>
        <w:tc>
          <w:tcPr>
            <w:tcW w:w="0" w:type="dxa"/>
            <w:vAlign w:val="bottom"/>
          </w:tcPr>
          <w:p>
            <w:pPr>
              <w:spacing w:after="0"/>
              <w:rPr>
                <w:sz w:val="1"/>
                <w:szCs w:val="1"/>
                <w:color w:val="auto"/>
              </w:rPr>
            </w:pPr>
          </w:p>
        </w:tc>
      </w:tr>
      <w:tr>
        <w:trPr>
          <w:trHeight w:val="108"/>
        </w:trPr>
        <w:tc>
          <w:tcPr>
            <w:tcW w:w="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86" w:name="page87"/>
    <w:bookmarkEnd w:id="86"/>
    <w:tbl>
      <w:tblPr>
        <w:tblLayout w:type="fixed"/>
        <w:tblInd w:w="20" w:type="dxa"/>
        <w:tblCellMar>
          <w:top w:w="0" w:type="dxa"/>
          <w:left w:w="0" w:type="dxa"/>
          <w:bottom w:w="0" w:type="dxa"/>
          <w:right w:w="0" w:type="dxa"/>
        </w:tblCellMar>
      </w:tblPr>
      <w:tr>
        <w:trPr>
          <w:trHeight w:val="215"/>
        </w:trPr>
        <w:tc>
          <w:tcPr>
            <w:tcW w:w="380" w:type="dxa"/>
            <w:vAlign w:val="bottom"/>
            <w:tcBorders>
              <w:bottom w:val="single" w:sz="8" w:color="0000FF"/>
            </w:tcBorders>
            <w:gridSpan w:val="2"/>
          </w:tcPr>
          <w:p>
            <w:pPr>
              <w:spacing w:after="0"/>
              <w:rPr>
                <w:rFonts w:ascii="Times New Roman" w:cs="Times New Roman" w:eastAsia="Times New Roman" w:hAnsi="Times New Roman"/>
                <w:sz w:val="17"/>
                <w:szCs w:val="17"/>
                <w:color w:val="0000FF"/>
                <w:w w:val="93"/>
              </w:rPr>
            </w:pPr>
            <w:hyperlink r:id="rId141">
              <w:r>
                <w:rPr>
                  <w:rFonts w:ascii="Times New Roman" w:cs="Times New Roman" w:eastAsia="Times New Roman" w:hAnsi="Times New Roman"/>
                  <w:sz w:val="17"/>
                  <w:szCs w:val="17"/>
                  <w:color w:val="0000FF"/>
                  <w:w w:val="93"/>
                </w:rPr>
                <w:t>10.</w:t>
              </w:r>
              <w:r>
                <w:rPr>
                  <w:rFonts w:ascii="Times New Roman" w:cs="Times New Roman" w:eastAsia="Times New Roman" w:hAnsi="Times New Roman"/>
                  <w:sz w:val="17"/>
                  <w:szCs w:val="17"/>
                  <w:u w:val="single" w:color="auto"/>
                  <w:color w:val="0000FF"/>
                  <w:w w:val="93"/>
                </w:rPr>
                <w:t>21</w:t>
              </w:r>
            </w:hyperlink>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First Amendment to Amended and Restated Credit Agreement, dated as of November 3, 2025, by and among The Pennant Group, Inc., the</w:t>
            </w:r>
          </w:p>
        </w:tc>
      </w:tr>
      <w:tr>
        <w:trPr>
          <w:trHeight w:val="209"/>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subsidiary guarantors party thereto, Truist Bank, as administrative agent, and the lenders party thereto (incorporated by reference to Exhibit 10.1</w:t>
            </w:r>
          </w:p>
        </w:tc>
      </w:tr>
      <w:tr>
        <w:trPr>
          <w:trHeight w:val="223"/>
        </w:trPr>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 The Pennant Group, Inc.’s Current Report on Form 8-K (File No. 001-38900) filed with the SEC on November 5, 2025).</w:t>
            </w:r>
          </w:p>
        </w:tc>
      </w:tr>
      <w:tr>
        <w:trPr>
          <w:trHeight w:val="193"/>
        </w:trPr>
        <w:tc>
          <w:tcPr>
            <w:tcW w:w="380" w:type="dxa"/>
            <w:vAlign w:val="bottom"/>
            <w:tcBorders>
              <w:bottom w:val="single" w:sz="8" w:color="0000FF"/>
            </w:tcBorders>
            <w:gridSpan w:val="2"/>
          </w:tcPr>
          <w:p>
            <w:pPr>
              <w:spacing w:after="0" w:line="173" w:lineRule="exact"/>
              <w:rPr>
                <w:rFonts w:ascii="Times New Roman" w:cs="Times New Roman" w:eastAsia="Times New Roman" w:hAnsi="Times New Roman"/>
                <w:sz w:val="17"/>
                <w:szCs w:val="17"/>
                <w:color w:val="0000FF"/>
                <w:w w:val="93"/>
              </w:rPr>
            </w:pPr>
            <w:hyperlink r:id="rId142">
              <w:r>
                <w:rPr>
                  <w:rFonts w:ascii="Times New Roman" w:cs="Times New Roman" w:eastAsia="Times New Roman" w:hAnsi="Times New Roman"/>
                  <w:sz w:val="17"/>
                  <w:szCs w:val="17"/>
                  <w:color w:val="0000FF"/>
                  <w:w w:val="93"/>
                </w:rPr>
                <w:t>10.</w:t>
              </w:r>
              <w:r>
                <w:rPr>
                  <w:rFonts w:ascii="Times New Roman" w:cs="Times New Roman" w:eastAsia="Times New Roman" w:hAnsi="Times New Roman"/>
                  <w:sz w:val="17"/>
                  <w:szCs w:val="17"/>
                  <w:u w:val="single" w:color="auto"/>
                  <w:color w:val="0000FF"/>
                  <w:w w:val="93"/>
                </w:rPr>
                <w:t>22</w:t>
              </w:r>
            </w:hyperlink>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240" w:type="dxa"/>
            <w:vAlign w:val="bottom"/>
          </w:tcPr>
          <w:p>
            <w:pPr>
              <w:ind w:left="220"/>
              <w:spacing w:after="0" w:line="173" w:lineRule="exact"/>
              <w:rPr>
                <w:sz w:val="20"/>
                <w:szCs w:val="20"/>
                <w:color w:val="auto"/>
              </w:rPr>
            </w:pPr>
            <w:r>
              <w:rPr>
                <w:rFonts w:ascii="Times New Roman" w:cs="Times New Roman" w:eastAsia="Times New Roman" w:hAnsi="Times New Roman"/>
                <w:sz w:val="17"/>
                <w:szCs w:val="17"/>
                <w:color w:val="auto"/>
              </w:rPr>
              <w:t>Conformed Amended and Restated Credit Agreement through that certain First Amendment, dated as of November 3, 2025 redline to Initial</w:t>
            </w:r>
          </w:p>
        </w:tc>
      </w:tr>
      <w:tr>
        <w:trPr>
          <w:trHeight w:val="209"/>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Credit Agreement, dated as of July 31, 2024 (incorporated by reference to Exhibit 10.2 to The Pennant Group, Inc.’s Current Report on Form 8-K</w:t>
            </w:r>
          </w:p>
        </w:tc>
      </w:tr>
      <w:tr>
        <w:trPr>
          <w:trHeight w:val="223"/>
        </w:trPr>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(File No. 001-38900) filed with the SEC on November 5, 2025).</w:t>
            </w:r>
          </w:p>
        </w:tc>
      </w:tr>
      <w:tr>
        <w:trPr>
          <w:trHeight w:val="206"/>
        </w:trPr>
        <w:tc>
          <w:tcPr>
            <w:tcW w:w="380" w:type="dxa"/>
            <w:vAlign w:val="bottom"/>
            <w:gridSpan w:val="2"/>
          </w:tcPr>
          <w:p>
            <w:pPr>
              <w:spacing w:after="0"/>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19.</w:t>
              </w:r>
              <w:r>
                <w:rPr>
                  <w:rFonts w:ascii="Times New Roman" w:cs="Times New Roman" w:eastAsia="Times New Roman" w:hAnsi="Times New Roman"/>
                  <w:sz w:val="17"/>
                  <w:szCs w:val="17"/>
                  <w:u w:val="single" w:color="auto"/>
                  <w:color w:val="0000FF"/>
                </w:rPr>
                <w:t>1</w:t>
              </w:r>
            </w:hyperlink>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Statement of Company Policy Regarding Insider Trading (incorporated by reference to Exhibit 19.1 to The Pennant Group, Inc.’s Annual Report</w:t>
            </w:r>
          </w:p>
        </w:tc>
      </w:tr>
      <w:tr>
        <w:trPr>
          <w:trHeight w:val="212"/>
        </w:trPr>
        <w:tc>
          <w:tcPr>
            <w:tcW w:w="3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on Form 10-K (File No. 001-38900) filed with the SEC on February 27, 2025).</w:t>
            </w:r>
          </w:p>
        </w:tc>
      </w:tr>
      <w:tr>
        <w:trPr>
          <w:trHeight w:val="219"/>
        </w:trPr>
        <w:tc>
          <w:tcPr>
            <w:tcW w:w="3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21.</w:t>
            </w:r>
            <w:r>
              <w:rPr>
                <w:rFonts w:ascii="Times New Roman" w:cs="Times New Roman" w:eastAsia="Times New Roman" w:hAnsi="Times New Roman"/>
                <w:sz w:val="17"/>
                <w:szCs w:val="17"/>
                <w:u w:val="single" w:color="auto"/>
                <w:color w:val="0000FF"/>
                <w:w w:val="93"/>
              </w:rPr>
              <w: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Subsidiaries of The Pennant Group, Inc.</w:t>
            </w:r>
          </w:p>
        </w:tc>
      </w:tr>
      <w:tr>
        <w:trPr>
          <w:trHeight w:val="225"/>
        </w:trPr>
        <w:tc>
          <w:tcPr>
            <w:tcW w:w="3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23.</w:t>
            </w:r>
            <w:r>
              <w:rPr>
                <w:rFonts w:ascii="Times New Roman" w:cs="Times New Roman" w:eastAsia="Times New Roman" w:hAnsi="Times New Roman"/>
                <w:sz w:val="17"/>
                <w:szCs w:val="17"/>
                <w:u w:val="single" w:color="auto"/>
                <w:color w:val="0000FF"/>
                <w:w w:val="93"/>
              </w:rPr>
              <w: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Consent of Deloitte &amp; Touche LLP.</w:t>
            </w:r>
          </w:p>
        </w:tc>
      </w:tr>
      <w:tr>
        <w:trPr>
          <w:trHeight w:val="225"/>
        </w:trPr>
        <w:tc>
          <w:tcPr>
            <w:tcW w:w="3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31.</w:t>
            </w:r>
            <w:r>
              <w:rPr>
                <w:rFonts w:ascii="Times New Roman" w:cs="Times New Roman" w:eastAsia="Times New Roman" w:hAnsi="Times New Roman"/>
                <w:sz w:val="17"/>
                <w:szCs w:val="17"/>
                <w:u w:val="single" w:color="auto"/>
                <w:color w:val="0000FF"/>
                <w:w w:val="93"/>
              </w:rPr>
              <w: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Certification of Chief Executive Officer pursuant to Section 302 of the Sarbanes-Oxley Act of 2002.</w:t>
            </w:r>
          </w:p>
        </w:tc>
      </w:tr>
      <w:tr>
        <w:trPr>
          <w:trHeight w:val="225"/>
        </w:trPr>
        <w:tc>
          <w:tcPr>
            <w:tcW w:w="3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w w:val="93"/>
              </w:rPr>
              <w:t>31.</w:t>
            </w:r>
            <w:r>
              <w:rPr>
                <w:rFonts w:ascii="Times New Roman" w:cs="Times New Roman" w:eastAsia="Times New Roman" w:hAnsi="Times New Roman"/>
                <w:sz w:val="17"/>
                <w:szCs w:val="17"/>
                <w:u w:val="single" w:color="auto"/>
                <w:color w:val="0000FF"/>
                <w:w w:val="93"/>
              </w:rPr>
              <w:t>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Certification of Chief Financial Officer pursuant to Section 302 of the Sarbanes-Oxley Act of 2002.</w:t>
            </w:r>
          </w:p>
        </w:tc>
      </w:tr>
      <w:tr>
        <w:trPr>
          <w:trHeight w:val="225"/>
        </w:trPr>
        <w:tc>
          <w:tcPr>
            <w:tcW w:w="9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32.</w:t>
            </w:r>
            <w:r>
              <w:rPr>
                <w:rFonts w:ascii="Times New Roman" w:cs="Times New Roman" w:eastAsia="Times New Roman" w:hAnsi="Times New Roman"/>
                <w:sz w:val="17"/>
                <w:szCs w:val="17"/>
                <w:u w:val="single" w:color="auto"/>
                <w:color w:val="0000FF"/>
              </w:rPr>
              <w:t>1**</w:t>
            </w:r>
          </w:p>
        </w:tc>
        <w:tc>
          <w:tcPr>
            <w:tcW w:w="10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Certification of Chief Executive Officer pursuant to 18 U.S.C. Section 1350, as adopted pursuant to Section 906 of the Sarbanes-Oxley Act of</w:t>
            </w:r>
          </w:p>
        </w:tc>
      </w:tr>
      <w:tr>
        <w:trPr>
          <w:trHeight w:val="212"/>
        </w:trPr>
        <w:tc>
          <w:tcPr>
            <w:tcW w:w="3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480" w:type="dxa"/>
            <w:vAlign w:val="bottom"/>
          </w:tcPr>
          <w:p>
            <w:pPr>
              <w:spacing w:after="0"/>
              <w:rPr>
                <w:sz w:val="18"/>
                <w:szCs w:val="18"/>
                <w:color w:val="auto"/>
              </w:rPr>
            </w:pPr>
          </w:p>
        </w:tc>
        <w:tc>
          <w:tcPr>
            <w:tcW w:w="10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2002.</w:t>
            </w:r>
          </w:p>
        </w:tc>
      </w:tr>
      <w:tr>
        <w:trPr>
          <w:trHeight w:val="219"/>
        </w:trPr>
        <w:tc>
          <w:tcPr>
            <w:tcW w:w="9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32.</w:t>
            </w:r>
            <w:r>
              <w:rPr>
                <w:rFonts w:ascii="Times New Roman" w:cs="Times New Roman" w:eastAsia="Times New Roman" w:hAnsi="Times New Roman"/>
                <w:sz w:val="17"/>
                <w:szCs w:val="17"/>
                <w:u w:val="single" w:color="auto"/>
                <w:color w:val="0000FF"/>
              </w:rPr>
              <w:t>2**</w:t>
            </w:r>
          </w:p>
        </w:tc>
        <w:tc>
          <w:tcPr>
            <w:tcW w:w="10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Certification of Chief Financial Officer pursuant 18 U.S.C. Section 1350, as adopted pursuant to Section 906 of the Sarbanes-Oxley Act of 2002.</w:t>
            </w:r>
          </w:p>
        </w:tc>
      </w:tr>
      <w:tr>
        <w:trPr>
          <w:trHeight w:val="225"/>
        </w:trPr>
        <w:tc>
          <w:tcPr>
            <w:tcW w:w="380" w:type="dxa"/>
            <w:vAlign w:val="bottom"/>
            <w:tcBorders>
              <w:top w:val="single" w:sz="8" w:color="0000FF"/>
            </w:tcBorders>
            <w:gridSpan w:val="2"/>
          </w:tcPr>
          <w:p>
            <w:pPr>
              <w:spacing w:after="0"/>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97.</w:t>
              </w:r>
              <w:r>
                <w:rPr>
                  <w:rFonts w:ascii="Times New Roman" w:cs="Times New Roman" w:eastAsia="Times New Roman" w:hAnsi="Times New Roman"/>
                  <w:sz w:val="17"/>
                  <w:szCs w:val="17"/>
                  <w:u w:val="single" w:color="auto"/>
                  <w:color w:val="0000FF"/>
                </w:rPr>
                <w:t>1</w:t>
              </w:r>
            </w:hyperlink>
          </w:p>
        </w:tc>
        <w:tc>
          <w:tcPr>
            <w:tcW w:w="100" w:type="dxa"/>
            <w:vAlign w:val="bottom"/>
            <w:tcBorders>
              <w:top w:val="single" w:sz="8" w:color="0000FF"/>
            </w:tcBorders>
          </w:tcPr>
          <w:p>
            <w:pPr>
              <w:spacing w:after="0"/>
              <w:rPr>
                <w:sz w:val="19"/>
                <w:szCs w:val="19"/>
                <w:color w:val="auto"/>
              </w:rPr>
            </w:pPr>
          </w:p>
        </w:tc>
        <w:tc>
          <w:tcPr>
            <w:tcW w:w="480" w:type="dxa"/>
            <w:vAlign w:val="bottom"/>
          </w:tcPr>
          <w:p>
            <w:pPr>
              <w:spacing w:after="0"/>
              <w:rPr>
                <w:sz w:val="19"/>
                <w:szCs w:val="19"/>
                <w:color w:val="auto"/>
              </w:rPr>
            </w:pPr>
          </w:p>
        </w:tc>
        <w:tc>
          <w:tcPr>
            <w:tcW w:w="10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Clawback Policy of The Pennant Group, Inc. (incorporated by reference to Exhibit 97.1 to The Pennant Group, Inc.’s Annual Report on Form 10-</w:t>
            </w:r>
          </w:p>
        </w:tc>
      </w:tr>
      <w:tr>
        <w:trPr>
          <w:trHeight w:val="212"/>
        </w:trPr>
        <w:tc>
          <w:tcPr>
            <w:tcW w:w="3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K (File No. 001-38900) filed with the SEC February 27, 2025).</w:t>
            </w:r>
          </w:p>
        </w:tc>
      </w:tr>
      <w:tr>
        <w:trPr>
          <w:trHeight w:val="228"/>
        </w:trPr>
        <w:tc>
          <w:tcPr>
            <w:tcW w:w="9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101.INS*</w:t>
            </w:r>
          </w:p>
        </w:tc>
        <w:tc>
          <w:tcPr>
            <w:tcW w:w="10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Instance Document - the instance document does not appear in the Interactive Data File because its XBRL tags are embedded within the Inline</w:t>
            </w:r>
          </w:p>
        </w:tc>
      </w:tr>
      <w:tr>
        <w:trPr>
          <w:trHeight w:val="223"/>
        </w:trPr>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XBRL document.</w:t>
            </w:r>
          </w:p>
        </w:tc>
      </w:tr>
      <w:tr>
        <w:trPr>
          <w:trHeight w:val="258"/>
        </w:trPr>
        <w:tc>
          <w:tcPr>
            <w:tcW w:w="9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101.SCH*</w:t>
            </w:r>
          </w:p>
        </w:tc>
        <w:tc>
          <w:tcPr>
            <w:tcW w:w="10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r>
      <w:tr>
        <w:trPr>
          <w:trHeight w:val="245"/>
        </w:trPr>
        <w:tc>
          <w:tcPr>
            <w:tcW w:w="9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101.CAL*</w:t>
            </w:r>
          </w:p>
        </w:tc>
        <w:tc>
          <w:tcPr>
            <w:tcW w:w="10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r>
      <w:tr>
        <w:trPr>
          <w:trHeight w:val="245"/>
        </w:trPr>
        <w:tc>
          <w:tcPr>
            <w:tcW w:w="9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101.DEF*</w:t>
            </w:r>
          </w:p>
        </w:tc>
        <w:tc>
          <w:tcPr>
            <w:tcW w:w="10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r>
      <w:tr>
        <w:trPr>
          <w:trHeight w:val="245"/>
        </w:trPr>
        <w:tc>
          <w:tcPr>
            <w:tcW w:w="9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101.LAB*</w:t>
            </w:r>
          </w:p>
        </w:tc>
        <w:tc>
          <w:tcPr>
            <w:tcW w:w="10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r>
      <w:tr>
        <w:trPr>
          <w:trHeight w:val="245"/>
        </w:trPr>
        <w:tc>
          <w:tcPr>
            <w:tcW w:w="96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101.PRE*</w:t>
            </w:r>
          </w:p>
        </w:tc>
        <w:tc>
          <w:tcPr>
            <w:tcW w:w="10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r>
      <w:tr>
        <w:trPr>
          <w:trHeight w:val="245"/>
        </w:trPr>
        <w:tc>
          <w:tcPr>
            <w:tcW w:w="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Cover Page Interactive Data File – the cover page XBRL tags are embedded within the Inline XBRL document.</w:t>
            </w:r>
          </w:p>
        </w:tc>
      </w:tr>
      <w:tr>
        <w:trPr>
          <w:trHeight w:val="215"/>
        </w:trPr>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Filed with this report.</w:t>
            </w:r>
          </w:p>
        </w:tc>
      </w:tr>
      <w:tr>
        <w:trPr>
          <w:trHeight w:val="223"/>
        </w:trPr>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 Furnished with this report.</w:t>
            </w:r>
          </w:p>
        </w:tc>
      </w:tr>
    </w:tbl>
    <w:p>
      <w:pPr>
        <w:ind w:left="1200"/>
        <w:spacing w:after="0"/>
        <w:rPr>
          <w:sz w:val="20"/>
          <w:szCs w:val="20"/>
          <w:color w:val="auto"/>
        </w:rPr>
      </w:pPr>
      <w:r>
        <w:rPr>
          <w:rFonts w:ascii="Times New Roman" w:cs="Times New Roman" w:eastAsia="Times New Roman" w:hAnsi="Times New Roman"/>
          <w:sz w:val="17"/>
          <w:szCs w:val="17"/>
          <w:color w:val="auto"/>
        </w:rPr>
        <w:t>+ Exhibit constitutes a management contract or compensatory plan or agreement.</w:t>
      </w:r>
    </w:p>
    <w:p>
      <w:pPr>
        <w:ind w:left="1200" w:right="20"/>
        <w:spacing w:after="0" w:line="249" w:lineRule="auto"/>
        <w:rPr>
          <w:sz w:val="20"/>
          <w:szCs w:val="20"/>
          <w:color w:val="auto"/>
        </w:rPr>
      </w:pPr>
      <w:r>
        <w:rPr>
          <w:rFonts w:ascii="Times New Roman" w:cs="Times New Roman" w:eastAsia="Times New Roman" w:hAnsi="Times New Roman"/>
          <w:sz w:val="17"/>
          <w:szCs w:val="17"/>
          <w:color w:val="auto"/>
        </w:rPr>
        <w:t># Schedules omitted pursuant to Item 601(b)(2) of Regulation S-K. The Pennant Group Inc. agrees to furnish a supplemental copy of any omitted schedule to the SEC upon request.</w:t>
      </w:r>
    </w:p>
    <w:p>
      <w:pPr>
        <w:spacing w:after="0" w:line="31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16.</w:t>
      </w:r>
      <w:r>
        <w:rPr>
          <w:sz w:val="20"/>
          <w:szCs w:val="20"/>
          <w:color w:val="auto"/>
        </w:rPr>
        <w:tab/>
      </w:r>
      <w:r>
        <w:rPr>
          <w:rFonts w:ascii="Times New Roman" w:cs="Times New Roman" w:eastAsia="Times New Roman" w:hAnsi="Times New Roman"/>
          <w:sz w:val="17"/>
          <w:szCs w:val="17"/>
          <w:b w:val="1"/>
          <w:bCs w:val="1"/>
          <w:i w:val="1"/>
          <w:iCs w:val="1"/>
          <w:color w:val="auto"/>
        </w:rPr>
        <w:t>Form 10-K Summary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20" w:top="865" w:right="35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82" w:lineRule="exact"/>
        <w:rPr>
          <w:sz w:val="20"/>
          <w:szCs w:val="20"/>
          <w:color w:val="auto"/>
        </w:rPr>
      </w:pPr>
    </w:p>
    <w:p>
      <w:pPr>
        <w:ind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680" w:type="dxa"/>
            <w:vAlign w:val="bottom"/>
          </w:tcPr>
          <w:p>
            <w:pPr>
              <w:spacing w:after="0"/>
              <w:rPr>
                <w:sz w:val="19"/>
                <w:szCs w:val="19"/>
                <w:color w:val="auto"/>
              </w:rPr>
            </w:pPr>
          </w:p>
        </w:tc>
        <w:tc>
          <w:tcPr>
            <w:tcW w:w="7520" w:type="dxa"/>
            <w:vAlign w:val="bottom"/>
            <w:gridSpan w:val="2"/>
          </w:tcPr>
          <w:p>
            <w:pPr>
              <w:ind w:left="1900"/>
              <w:spacing w:after="0"/>
              <w:rPr>
                <w:sz w:val="20"/>
                <w:szCs w:val="20"/>
                <w:color w:val="auto"/>
              </w:rPr>
            </w:pPr>
            <w:r>
              <w:rPr>
                <w:rFonts w:ascii="Times New Roman" w:cs="Times New Roman" w:eastAsia="Times New Roman" w:hAnsi="Times New Roman"/>
                <w:sz w:val="17"/>
                <w:szCs w:val="17"/>
                <w:color w:val="auto"/>
              </w:rPr>
              <w:t>The Pennant Group, Inc.</w:t>
            </w:r>
          </w:p>
        </w:tc>
      </w:tr>
      <w:tr>
        <w:trPr>
          <w:trHeight w:val="270"/>
        </w:trPr>
        <w:tc>
          <w:tcPr>
            <w:tcW w:w="3680" w:type="dxa"/>
            <w:vAlign w:val="bottom"/>
          </w:tcPr>
          <w:p>
            <w:pPr>
              <w:spacing w:after="0"/>
              <w:rPr>
                <w:sz w:val="20"/>
                <w:szCs w:val="20"/>
                <w:color w:val="auto"/>
              </w:rPr>
            </w:pPr>
            <w:r>
              <w:rPr>
                <w:rFonts w:ascii="Times New Roman" w:cs="Times New Roman" w:eastAsia="Times New Roman" w:hAnsi="Times New Roman"/>
                <w:sz w:val="17"/>
                <w:szCs w:val="17"/>
                <w:color w:val="auto"/>
              </w:rPr>
              <w:t>Dated: February 25, 2026</w:t>
            </w:r>
          </w:p>
        </w:tc>
        <w:tc>
          <w:tcPr>
            <w:tcW w:w="2680" w:type="dxa"/>
            <w:vAlign w:val="bottom"/>
          </w:tcPr>
          <w:p>
            <w:pPr>
              <w:ind w:left="1900"/>
              <w:spacing w:after="0"/>
              <w:rPr>
                <w:sz w:val="20"/>
                <w:szCs w:val="20"/>
                <w:color w:val="auto"/>
              </w:rPr>
            </w:pPr>
            <w:r>
              <w:rPr>
                <w:rFonts w:ascii="Times New Roman" w:cs="Times New Roman" w:eastAsia="Times New Roman" w:hAnsi="Times New Roman"/>
                <w:sz w:val="17"/>
                <w:szCs w:val="17"/>
                <w:color w:val="auto"/>
              </w:rPr>
              <w:t>BY:</w:t>
            </w:r>
          </w:p>
        </w:tc>
        <w:tc>
          <w:tcPr>
            <w:tcW w:w="4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LYNETTE B. WALBOM</w:t>
            </w:r>
          </w:p>
        </w:tc>
      </w:tr>
      <w:tr>
        <w:trPr>
          <w:trHeight w:val="216"/>
        </w:trPr>
        <w:tc>
          <w:tcPr>
            <w:tcW w:w="368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7"/>
                <w:szCs w:val="17"/>
                <w:color w:val="auto"/>
              </w:rPr>
              <w:t>Lynette B. Walbom</w:t>
            </w:r>
          </w:p>
        </w:tc>
      </w:tr>
    </w:tbl>
    <w:p>
      <w:pPr>
        <w:ind w:left="6380"/>
        <w:spacing w:after="0" w:line="218" w:lineRule="auto"/>
        <w:rPr>
          <w:sz w:val="20"/>
          <w:szCs w:val="20"/>
          <w:color w:val="auto"/>
        </w:rPr>
      </w:pPr>
      <w:r>
        <w:rPr>
          <w:rFonts w:ascii="Times New Roman" w:cs="Times New Roman" w:eastAsia="Times New Roman" w:hAnsi="Times New Roman"/>
          <w:sz w:val="17"/>
          <w:szCs w:val="17"/>
          <w:color w:val="auto"/>
        </w:rPr>
        <w:t>Chief Financial Officer (Principal Financial Officer, Principal</w:t>
      </w:r>
    </w:p>
    <w:p>
      <w:pPr>
        <w:spacing w:after="0" w:line="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Accounting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640" w:firstLine="619"/>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this report has been signed below by the following persons on behalf of the registrant in the capacities and on the dates indicated.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100" w:type="dxa"/>
            <w:vAlign w:val="bottom"/>
          </w:tcPr>
          <w:p>
            <w:pPr>
              <w:spacing w:after="0"/>
              <w:rPr>
                <w:sz w:val="19"/>
                <w:szCs w:val="19"/>
                <w:color w:val="auto"/>
              </w:rPr>
            </w:pPr>
          </w:p>
        </w:tc>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120" w:type="dxa"/>
            <w:vAlign w:val="bottom"/>
          </w:tcPr>
          <w:p>
            <w:pPr>
              <w:spacing w:after="0"/>
              <w:rPr>
                <w:sz w:val="19"/>
                <w:szCs w:val="19"/>
                <w:color w:val="auto"/>
              </w:rPr>
            </w:pP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Date</w:t>
            </w:r>
          </w:p>
        </w:tc>
        <w:tc>
          <w:tcPr>
            <w:tcW w:w="0" w:type="dxa"/>
            <w:vAlign w:val="bottom"/>
          </w:tcPr>
          <w:p>
            <w:pPr>
              <w:spacing w:after="0"/>
              <w:rPr>
                <w:sz w:val="1"/>
                <w:szCs w:val="1"/>
                <w:color w:val="auto"/>
              </w:rPr>
            </w:pPr>
          </w:p>
        </w:tc>
      </w:tr>
      <w:tr>
        <w:trPr>
          <w:trHeight w:val="209"/>
        </w:trPr>
        <w:tc>
          <w:tcPr>
            <w:tcW w:w="3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8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Chairman and Chief Executive Officer (Principal</w:t>
            </w: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BRENT J. GUERISOLI</w:t>
            </w:r>
          </w:p>
        </w:tc>
        <w:tc>
          <w:tcPr>
            <w:tcW w:w="100" w:type="dxa"/>
            <w:vAlign w:val="bottom"/>
          </w:tcPr>
          <w:p>
            <w:pPr>
              <w:spacing w:after="0"/>
              <w:rPr>
                <w:sz w:val="19"/>
                <w:szCs w:val="19"/>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Executive Officer)</w:t>
            </w:r>
          </w:p>
        </w:tc>
        <w:tc>
          <w:tcPr>
            <w:tcW w:w="36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February 25, 2026</w:t>
            </w:r>
          </w:p>
        </w:tc>
        <w:tc>
          <w:tcPr>
            <w:tcW w:w="0" w:type="dxa"/>
            <w:vAlign w:val="bottom"/>
          </w:tcPr>
          <w:p>
            <w:pPr>
              <w:spacing w:after="0"/>
              <w:rPr>
                <w:sz w:val="1"/>
                <w:szCs w:val="1"/>
                <w:color w:val="auto"/>
              </w:rPr>
            </w:pPr>
          </w:p>
        </w:tc>
      </w:tr>
      <w:tr>
        <w:trPr>
          <w:trHeight w:val="216"/>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Brent J. Guerisoli</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Chief Financial Officer (Principal Financial Officer,</w:t>
            </w:r>
          </w:p>
        </w:tc>
        <w:tc>
          <w:tcPr>
            <w:tcW w:w="3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w w:val="99"/>
              </w:rPr>
              <w:t>/s/ LYNETTE B. WALBOM</w:t>
            </w:r>
          </w:p>
        </w:tc>
        <w:tc>
          <w:tcPr>
            <w:tcW w:w="100" w:type="dxa"/>
            <w:vAlign w:val="bottom"/>
          </w:tcPr>
          <w:p>
            <w:pPr>
              <w:spacing w:after="0"/>
              <w:rPr>
                <w:sz w:val="14"/>
                <w:szCs w:val="14"/>
                <w:color w:val="auto"/>
              </w:rPr>
            </w:pPr>
          </w:p>
        </w:tc>
        <w:tc>
          <w:tcPr>
            <w:tcW w:w="3780" w:type="dxa"/>
            <w:vAlign w:val="bottom"/>
            <w:gridSpan w:val="2"/>
          </w:tcPr>
          <w:p>
            <w:pPr>
              <w:jc w:val="center"/>
              <w:ind w:right="100"/>
              <w:spacing w:after="0" w:line="172" w:lineRule="exact"/>
              <w:rPr>
                <w:sz w:val="20"/>
                <w:szCs w:val="20"/>
                <w:color w:val="auto"/>
              </w:rPr>
            </w:pPr>
            <w:r>
              <w:rPr>
                <w:rFonts w:ascii="Times New Roman" w:cs="Times New Roman" w:eastAsia="Times New Roman" w:hAnsi="Times New Roman"/>
                <w:sz w:val="17"/>
                <w:szCs w:val="17"/>
                <w:color w:val="auto"/>
              </w:rPr>
              <w:t>Principal Accounting Officer and Duly Authorized</w:t>
            </w:r>
          </w:p>
        </w:tc>
        <w:tc>
          <w:tcPr>
            <w:tcW w:w="3660" w:type="dxa"/>
            <w:vAlign w:val="bottom"/>
            <w:vMerge w:val="restart"/>
          </w:tcPr>
          <w:p>
            <w:pPr>
              <w:ind w:left="1200"/>
              <w:spacing w:after="0"/>
              <w:rPr>
                <w:sz w:val="20"/>
                <w:szCs w:val="20"/>
                <w:color w:val="auto"/>
              </w:rPr>
            </w:pPr>
            <w:r>
              <w:rPr>
                <w:rFonts w:ascii="Times New Roman" w:cs="Times New Roman" w:eastAsia="Times New Roman" w:hAnsi="Times New Roman"/>
                <w:sz w:val="17"/>
                <w:szCs w:val="17"/>
                <w:color w:val="auto"/>
              </w:rPr>
              <w:t>February 25, 2026</w:t>
            </w:r>
          </w:p>
        </w:tc>
        <w:tc>
          <w:tcPr>
            <w:tcW w:w="0" w:type="dxa"/>
            <w:vAlign w:val="bottom"/>
          </w:tcPr>
          <w:p>
            <w:pPr>
              <w:spacing w:after="0"/>
              <w:rPr>
                <w:sz w:val="1"/>
                <w:szCs w:val="1"/>
                <w:color w:val="auto"/>
              </w:rPr>
            </w:pPr>
          </w:p>
        </w:tc>
      </w:tr>
      <w:tr>
        <w:trPr>
          <w:trHeight w:val="224"/>
        </w:trPr>
        <w:tc>
          <w:tcPr>
            <w:tcW w:w="366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Officer)</w:t>
            </w:r>
          </w:p>
        </w:tc>
        <w:tc>
          <w:tcPr>
            <w:tcW w:w="36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Lynette B. Walbom</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BARRY M. SMITH</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36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February 25, 2026</w:t>
            </w:r>
          </w:p>
        </w:tc>
        <w:tc>
          <w:tcPr>
            <w:tcW w:w="0" w:type="dxa"/>
            <w:vAlign w:val="bottom"/>
          </w:tcPr>
          <w:p>
            <w:pPr>
              <w:spacing w:after="0"/>
              <w:rPr>
                <w:sz w:val="1"/>
                <w:szCs w:val="1"/>
                <w:color w:val="auto"/>
              </w:rPr>
            </w:pPr>
          </w:p>
        </w:tc>
      </w:tr>
      <w:tr>
        <w:trPr>
          <w:trHeight w:val="216"/>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Barry M. Smith</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CHRISTOPHER R. CHRISTENSEN</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36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February 25, 2026</w:t>
            </w:r>
          </w:p>
        </w:tc>
        <w:tc>
          <w:tcPr>
            <w:tcW w:w="0" w:type="dxa"/>
            <w:vAlign w:val="bottom"/>
          </w:tcPr>
          <w:p>
            <w:pPr>
              <w:spacing w:after="0"/>
              <w:rPr>
                <w:sz w:val="1"/>
                <w:szCs w:val="1"/>
                <w:color w:val="auto"/>
              </w:rPr>
            </w:pPr>
          </w:p>
        </w:tc>
      </w:tr>
      <w:tr>
        <w:trPr>
          <w:trHeight w:val="216"/>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Christopher R. Christensen</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JOHN G. NACKEL, Ph.D.</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36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February 25, 2026</w:t>
            </w:r>
          </w:p>
        </w:tc>
        <w:tc>
          <w:tcPr>
            <w:tcW w:w="0" w:type="dxa"/>
            <w:vAlign w:val="bottom"/>
          </w:tcPr>
          <w:p>
            <w:pPr>
              <w:spacing w:after="0"/>
              <w:rPr>
                <w:sz w:val="1"/>
                <w:szCs w:val="1"/>
                <w:color w:val="auto"/>
              </w:rPr>
            </w:pPr>
          </w:p>
        </w:tc>
      </w:tr>
      <w:tr>
        <w:trPr>
          <w:trHeight w:val="216"/>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John G. Nackel, Ph.D.</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STEPHEN M. R. COVEY</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36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February 25, 2026</w:t>
            </w:r>
          </w:p>
        </w:tc>
        <w:tc>
          <w:tcPr>
            <w:tcW w:w="0" w:type="dxa"/>
            <w:vAlign w:val="bottom"/>
          </w:tcPr>
          <w:p>
            <w:pPr>
              <w:spacing w:after="0"/>
              <w:rPr>
                <w:sz w:val="1"/>
                <w:szCs w:val="1"/>
                <w:color w:val="auto"/>
              </w:rPr>
            </w:pPr>
          </w:p>
        </w:tc>
      </w:tr>
      <w:tr>
        <w:trPr>
          <w:trHeight w:val="216"/>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Stephen M. R. Covey</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SUZANNE D. SNAPPER</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36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February 25, 2026</w:t>
            </w:r>
          </w:p>
        </w:tc>
        <w:tc>
          <w:tcPr>
            <w:tcW w:w="0" w:type="dxa"/>
            <w:vAlign w:val="bottom"/>
          </w:tcPr>
          <w:p>
            <w:pPr>
              <w:spacing w:after="0"/>
              <w:rPr>
                <w:sz w:val="1"/>
                <w:szCs w:val="1"/>
                <w:color w:val="auto"/>
              </w:rPr>
            </w:pPr>
          </w:p>
        </w:tc>
      </w:tr>
      <w:tr>
        <w:trPr>
          <w:trHeight w:val="216"/>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Suzanne D. Snapper</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SCOTT E. LAMB</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36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February 25, 2026</w:t>
            </w:r>
          </w:p>
        </w:tc>
        <w:tc>
          <w:tcPr>
            <w:tcW w:w="0" w:type="dxa"/>
            <w:vAlign w:val="bottom"/>
          </w:tcPr>
          <w:p>
            <w:pPr>
              <w:spacing w:after="0"/>
              <w:rPr>
                <w:sz w:val="1"/>
                <w:szCs w:val="1"/>
                <w:color w:val="auto"/>
              </w:rPr>
            </w:pPr>
          </w:p>
        </w:tc>
      </w:tr>
      <w:tr>
        <w:trPr>
          <w:trHeight w:val="216"/>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Scott E. Lamb</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/s/ GREGORY K. MORRIS M.D.</w:t>
            </w:r>
          </w:p>
        </w:tc>
        <w:tc>
          <w:tcPr>
            <w:tcW w:w="100" w:type="dxa"/>
            <w:vAlign w:val="bottom"/>
          </w:tcPr>
          <w:p>
            <w:pPr>
              <w:spacing w:after="0"/>
              <w:rPr>
                <w:sz w:val="23"/>
                <w:szCs w:val="23"/>
                <w:color w:val="auto"/>
              </w:rPr>
            </w:pPr>
          </w:p>
        </w:tc>
        <w:tc>
          <w:tcPr>
            <w:tcW w:w="378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Director</w:t>
            </w:r>
          </w:p>
        </w:tc>
        <w:tc>
          <w:tcPr>
            <w:tcW w:w="3660" w:type="dxa"/>
            <w:vAlign w:val="bottom"/>
          </w:tcPr>
          <w:p>
            <w:pPr>
              <w:ind w:left="1200"/>
              <w:spacing w:after="0"/>
              <w:rPr>
                <w:sz w:val="20"/>
                <w:szCs w:val="20"/>
                <w:color w:val="auto"/>
              </w:rPr>
            </w:pPr>
            <w:r>
              <w:rPr>
                <w:rFonts w:ascii="Times New Roman" w:cs="Times New Roman" w:eastAsia="Times New Roman" w:hAnsi="Times New Roman"/>
                <w:sz w:val="17"/>
                <w:szCs w:val="17"/>
                <w:color w:val="auto"/>
              </w:rPr>
              <w:t>February 25, 2026</w:t>
            </w:r>
          </w:p>
        </w:tc>
        <w:tc>
          <w:tcPr>
            <w:tcW w:w="0" w:type="dxa"/>
            <w:vAlign w:val="bottom"/>
          </w:tcPr>
          <w:p>
            <w:pPr>
              <w:spacing w:after="0"/>
              <w:rPr>
                <w:sz w:val="1"/>
                <w:szCs w:val="1"/>
                <w:color w:val="auto"/>
              </w:rPr>
            </w:pPr>
          </w:p>
        </w:tc>
      </w:tr>
      <w:tr>
        <w:trPr>
          <w:trHeight w:val="216"/>
        </w:trPr>
        <w:tc>
          <w:tcPr>
            <w:tcW w:w="3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Gregory K. Morris M.D.</w:t>
            </w:r>
          </w:p>
        </w:tc>
        <w:tc>
          <w:tcPr>
            <w:tcW w:w="1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ectPr>
          <w:pgSz w:w="11900" w:h="16838" w:orient="portrait"/>
          <w:cols w:equalWidth="0" w:num="1">
            <w:col w:w="11240"/>
          </w:cols>
          <w:pgMar w:left="320" w:top="854"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9"/>
          <w:szCs w:val="19"/>
          <w:b w:val="1"/>
          <w:bCs w:val="1"/>
          <w:color w:val="auto"/>
        </w:rPr>
        <w:t>Exhibit 21.1</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800" w:type="dxa"/>
            <w:vAlign w:val="bottom"/>
          </w:tcPr>
          <w:p>
            <w:pPr>
              <w:spacing w:after="0"/>
              <w:rPr>
                <w:sz w:val="21"/>
                <w:szCs w:val="21"/>
                <w:color w:val="auto"/>
              </w:rPr>
            </w:pPr>
          </w:p>
        </w:tc>
        <w:tc>
          <w:tcPr>
            <w:tcW w:w="7860" w:type="dxa"/>
            <w:vAlign w:val="bottom"/>
          </w:tcPr>
          <w:p>
            <w:pPr>
              <w:jc w:val="right"/>
              <w:ind w:right="1046"/>
              <w:spacing w:after="0"/>
              <w:rPr>
                <w:sz w:val="20"/>
                <w:szCs w:val="20"/>
                <w:color w:val="auto"/>
              </w:rPr>
            </w:pPr>
            <w:r>
              <w:rPr>
                <w:rFonts w:ascii="Times New Roman" w:cs="Times New Roman" w:eastAsia="Times New Roman" w:hAnsi="Times New Roman"/>
                <w:sz w:val="19"/>
                <w:szCs w:val="19"/>
                <w:b w:val="1"/>
                <w:bCs w:val="1"/>
                <w:color w:val="auto"/>
              </w:rPr>
              <w:t>List of Subsidiaries of The Pennant Group, Inc.</w:t>
            </w:r>
          </w:p>
        </w:tc>
        <w:tc>
          <w:tcPr>
            <w:tcW w:w="880" w:type="dxa"/>
            <w:vAlign w:val="bottom"/>
          </w:tcPr>
          <w:p>
            <w:pPr>
              <w:spacing w:after="0"/>
              <w:rPr>
                <w:sz w:val="21"/>
                <w:szCs w:val="21"/>
                <w:color w:val="auto"/>
              </w:rPr>
            </w:pPr>
          </w:p>
        </w:tc>
      </w:tr>
      <w:tr>
        <w:trPr>
          <w:trHeight w:val="451"/>
        </w:trPr>
        <w:tc>
          <w:tcPr>
            <w:tcW w:w="8660" w:type="dxa"/>
            <w:vAlign w:val="bottom"/>
            <w:gridSpan w:val="2"/>
          </w:tcPr>
          <w:p>
            <w:pPr>
              <w:jc w:val="right"/>
              <w:ind w:right="1046"/>
              <w:spacing w:after="0"/>
              <w:rPr>
                <w:sz w:val="20"/>
                <w:szCs w:val="20"/>
                <w:color w:val="auto"/>
              </w:rPr>
            </w:pPr>
            <w:r>
              <w:rPr>
                <w:rFonts w:ascii="Times New Roman" w:cs="Times New Roman" w:eastAsia="Times New Roman" w:hAnsi="Times New Roman"/>
                <w:sz w:val="19"/>
                <w:szCs w:val="19"/>
                <w:color w:val="auto"/>
              </w:rPr>
              <w:t>The following is a list of subsidiaries of The Pennant Group, Inc. as of December 31, 2025:</w:t>
            </w:r>
          </w:p>
        </w:tc>
        <w:tc>
          <w:tcPr>
            <w:tcW w:w="880" w:type="dxa"/>
            <w:vAlign w:val="bottom"/>
          </w:tcPr>
          <w:p>
            <w:pPr>
              <w:spacing w:after="0"/>
              <w:rPr>
                <w:sz w:val="24"/>
                <w:szCs w:val="24"/>
                <w:color w:val="auto"/>
              </w:rPr>
            </w:pPr>
          </w:p>
        </w:tc>
      </w:tr>
      <w:tr>
        <w:trPr>
          <w:trHeight w:val="447"/>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99"/>
              </w:rPr>
              <w:t>Subsidiary</w:t>
            </w:r>
          </w:p>
        </w:tc>
        <w:tc>
          <w:tcPr>
            <w:tcW w:w="7860" w:type="dxa"/>
            <w:vAlign w:val="bottom"/>
          </w:tcPr>
          <w:p>
            <w:pPr>
              <w:spacing w:after="0"/>
              <w:rPr>
                <w:sz w:val="24"/>
                <w:szCs w:val="24"/>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Jurisdiction</w:t>
            </w:r>
          </w:p>
        </w:tc>
      </w:tr>
      <w:tr>
        <w:trPr>
          <w:trHeight w:val="234"/>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2410 Stillhouse Senior Living,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Alpowa Healthcare,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Amedisys SP-TN,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Tennessee</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Amedisys Tennessee,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Tennessee</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Apricus Home Health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Arizona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Arches Home Care,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Arroyo Verde Healthcare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AseraCare Hospice – Tennessee,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Audition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Autumn Ridge Senior Living,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Bashaw Creek Healthcare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Baywood Healthcare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Bear River Healthcare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Bellingham Healthcare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Black Mountain Healthcare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Bluebird Home Care,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Bluebird Home Health Holdings,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Bluebird Home Health,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Bluebird Hospice,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Brenwood Park Senior Living,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Brio Arizona Home Health,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Arizona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Brookfield Senior Living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Brookhollow Senior Living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Brown Road Senior Housing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Bruce Neenah Senior Living,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Buffalo Springs Healthcare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Cactus Heights Healthcare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Camino del Rio Healthcare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Canyon Healthcare,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Capitol Healthcare,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Care Continuum Solutions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Cascades Healthcare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CCS Holding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Cedar Creek Home Health Care Agency,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Tennessee</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Cedar Senior Living, Inc.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City Creek Holding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r>
        <w:trPr>
          <w:trHeight w:val="223"/>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City Creek Senior Living LLC</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Nevada</w:t>
            </w:r>
          </w:p>
        </w:tc>
      </w:tr>
    </w:tbl>
    <w:p>
      <w:pPr>
        <w:sectPr>
          <w:pgSz w:w="11900" w:h="16838" w:orient="portrait"/>
          <w:cols w:equalWidth="0" w:num="1">
            <w:col w:w="11220"/>
          </w:cols>
          <w:pgMar w:left="340" w:top="1043" w:right="3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Clark Fork Healthcare LLC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Clear Creek Healthcare, Inc.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Connected Healthcare, Inc.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Copper Basin Healthcare, Inc.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Cornerstone Healthcare, Inc.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Cornerstone Service Center, Inc.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Crown Point Healthcare LLC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Custom Care Healthcare, Inc.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De Soto Senior Living, Inc.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Denmark Senior Living, Inc.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Desert Breeze Healthcare LLC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Eagle Healthcare LLC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Eden Landing Healthcare LLC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Elevate HC Partners, LLC</w:t>
            </w:r>
          </w:p>
        </w:tc>
        <w:tc>
          <w:tcPr>
            <w:tcW w:w="372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Elkhorn Healthcare LLC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Elm Creek Senior Living LLC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Emblem Healthcare, Inc.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Emerald Healthcare, Inc.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Eureka Healthcare, Inc.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Exemplar Healthcare, Inc.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Finding Home Healthcare, Inc.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Finding Home Physician Services LLC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w w:val="98"/>
              </w:rPr>
              <w:t>Texas</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Fox River Senior Living LLC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Glacier Peak Healthcare, Inc.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Go Assisted, Inc.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Golden Crest Senior Living LLC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Grand River Senior Living LLC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Grandview Healthcare LLC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Granite Healthcare, Inc.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Granite Hills Senior Living, Inc.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Great Lakes Healthcare, Inc.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Green Bay Senior Living, Inc.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Green Meadows Senior Living LLC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Happy Valley Healthcare LLC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Heartland Healthcare, Inc.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HHC, L.L.C.</w:t>
            </w:r>
          </w:p>
        </w:tc>
        <w:tc>
          <w:tcPr>
            <w:tcW w:w="3720" w:type="dxa"/>
            <w:vAlign w:val="bottom"/>
          </w:tcPr>
          <w:p>
            <w:pPr>
              <w:jc w:val="center"/>
              <w:ind w:left="2934"/>
              <w:spacing w:after="0"/>
              <w:rPr>
                <w:sz w:val="20"/>
                <w:szCs w:val="20"/>
                <w:color w:val="auto"/>
              </w:rPr>
            </w:pPr>
            <w:r>
              <w:rPr>
                <w:rFonts w:ascii="Times New Roman" w:cs="Times New Roman" w:eastAsia="Times New Roman" w:hAnsi="Times New Roman"/>
                <w:sz w:val="17"/>
                <w:szCs w:val="17"/>
                <w:color w:val="auto"/>
                <w:w w:val="98"/>
              </w:rPr>
              <w:t>Tennessee</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Hollow Creek Senior Living LLC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Huachuca Healthcare LLC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Hummingbird Healthcare LLC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iCare Private Duty, Inc.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Indigo Healthcare LLC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Iron Bridge Healthcare, Inc.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r>
        <w:trPr>
          <w:trHeight w:val="223"/>
        </w:trPr>
        <w:tc>
          <w:tcPr>
            <w:tcW w:w="5720" w:type="dxa"/>
            <w:vAlign w:val="bottom"/>
          </w:tcPr>
          <w:p>
            <w:pPr>
              <w:spacing w:after="0"/>
              <w:rPr>
                <w:sz w:val="20"/>
                <w:szCs w:val="20"/>
                <w:color w:val="auto"/>
              </w:rPr>
            </w:pPr>
            <w:r>
              <w:rPr>
                <w:rFonts w:ascii="Times New Roman" w:cs="Times New Roman" w:eastAsia="Times New Roman" w:hAnsi="Times New Roman"/>
                <w:sz w:val="17"/>
                <w:szCs w:val="17"/>
                <w:color w:val="auto"/>
              </w:rPr>
              <w:t>Iron Gold Holding LLC</w:t>
            </w:r>
          </w:p>
        </w:tc>
        <w:tc>
          <w:tcPr>
            <w:tcW w:w="3720" w:type="dxa"/>
            <w:vAlign w:val="bottom"/>
          </w:tcPr>
          <w:p>
            <w:pPr>
              <w:jc w:val="center"/>
              <w:ind w:left="2914"/>
              <w:spacing w:after="0"/>
              <w:rPr>
                <w:sz w:val="20"/>
                <w:szCs w:val="20"/>
                <w:color w:val="auto"/>
              </w:rPr>
            </w:pPr>
            <w:r>
              <w:rPr>
                <w:rFonts w:ascii="Times New Roman" w:cs="Times New Roman" w:eastAsia="Times New Roman" w:hAnsi="Times New Roman"/>
                <w:sz w:val="17"/>
                <w:szCs w:val="17"/>
                <w:color w:val="auto"/>
              </w:rPr>
              <w:t>Nevada</w:t>
            </w:r>
          </w:p>
        </w:tc>
      </w:tr>
    </w:tbl>
    <w:p>
      <w:pPr>
        <w:sectPr>
          <w:pgSz w:w="11900" w:h="16838" w:orient="portrait"/>
          <w:cols w:equalWidth="0" w:num="1">
            <w:col w:w="10119"/>
          </w:cols>
          <w:pgMar w:left="340" w:top="1090" w:right="1440" w:bottom="144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Iron Gold Senior Living LLC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Jameson Senior Living, Inc.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Jentilly Healthcare LLC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Joshua Tree Healthcare, Inc.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Juniper Point Healthcare LLC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Kenosha Senior Living, Inc.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Keystone Hospice Care, Inc.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Knoxville Home Care Services, LLC</w:t>
            </w:r>
          </w:p>
        </w:tc>
        <w:tc>
          <w:tcPr>
            <w:tcW w:w="3300" w:type="dxa"/>
            <w:vAlign w:val="bottom"/>
          </w:tcPr>
          <w:p>
            <w:pPr>
              <w:jc w:val="center"/>
              <w:ind w:left="2514"/>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Lake Pointe Senior Living, Inc.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Lakeside Senior Living LLC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LHC Homecare of Tennessee, LLC</w:t>
            </w:r>
          </w:p>
        </w:tc>
        <w:tc>
          <w:tcPr>
            <w:tcW w:w="3300" w:type="dxa"/>
            <w:vAlign w:val="bottom"/>
          </w:tcPr>
          <w:p>
            <w:pPr>
              <w:jc w:val="center"/>
              <w:ind w:left="2514"/>
              <w:spacing w:after="0"/>
              <w:rPr>
                <w:sz w:val="20"/>
                <w:szCs w:val="20"/>
                <w:color w:val="auto"/>
              </w:rPr>
            </w:pPr>
            <w:r>
              <w:rPr>
                <w:rFonts w:ascii="Times New Roman" w:cs="Times New Roman" w:eastAsia="Times New Roman" w:hAnsi="Times New Roman"/>
                <w:sz w:val="17"/>
                <w:szCs w:val="17"/>
                <w:color w:val="auto"/>
                <w:w w:val="98"/>
              </w:rPr>
              <w:t>Tennessee</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LHCG CXXXII, LLC</w:t>
            </w:r>
          </w:p>
        </w:tc>
        <w:tc>
          <w:tcPr>
            <w:tcW w:w="3300" w:type="dxa"/>
            <w:vAlign w:val="bottom"/>
          </w:tcPr>
          <w:p>
            <w:pPr>
              <w:jc w:val="center"/>
              <w:ind w:left="2514"/>
              <w:spacing w:after="0"/>
              <w:rPr>
                <w:sz w:val="20"/>
                <w:szCs w:val="20"/>
                <w:color w:val="auto"/>
              </w:rPr>
            </w:pPr>
            <w:r>
              <w:rPr>
                <w:rFonts w:ascii="Times New Roman" w:cs="Times New Roman" w:eastAsia="Times New Roman" w:hAnsi="Times New Roman"/>
                <w:sz w:val="17"/>
                <w:szCs w:val="17"/>
                <w:color w:val="auto"/>
                <w:w w:val="98"/>
              </w:rPr>
              <w:t>Tennessee</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LHCG CXXXV, LLC</w:t>
            </w:r>
          </w:p>
        </w:tc>
        <w:tc>
          <w:tcPr>
            <w:tcW w:w="3300" w:type="dxa"/>
            <w:vAlign w:val="bottom"/>
          </w:tcPr>
          <w:p>
            <w:pPr>
              <w:jc w:val="center"/>
              <w:ind w:left="2514"/>
              <w:spacing w:after="0"/>
              <w:rPr>
                <w:sz w:val="20"/>
                <w:szCs w:val="20"/>
                <w:color w:val="auto"/>
              </w:rPr>
            </w:pPr>
            <w:r>
              <w:rPr>
                <w:rFonts w:ascii="Times New Roman" w:cs="Times New Roman" w:eastAsia="Times New Roman" w:hAnsi="Times New Roman"/>
                <w:sz w:val="17"/>
                <w:szCs w:val="17"/>
                <w:color w:val="auto"/>
                <w:w w:val="98"/>
              </w:rPr>
              <w:t>Tennessee</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LHCG LXII, LLC</w:t>
            </w:r>
          </w:p>
        </w:tc>
        <w:tc>
          <w:tcPr>
            <w:tcW w:w="3300" w:type="dxa"/>
            <w:vAlign w:val="bottom"/>
          </w:tcPr>
          <w:p>
            <w:pPr>
              <w:jc w:val="center"/>
              <w:ind w:left="2514"/>
              <w:spacing w:after="0"/>
              <w:rPr>
                <w:sz w:val="20"/>
                <w:szCs w:val="20"/>
                <w:color w:val="auto"/>
              </w:rPr>
            </w:pPr>
            <w:r>
              <w:rPr>
                <w:rFonts w:ascii="Times New Roman" w:cs="Times New Roman" w:eastAsia="Times New Roman" w:hAnsi="Times New Roman"/>
                <w:sz w:val="17"/>
                <w:szCs w:val="17"/>
                <w:color w:val="auto"/>
                <w:w w:val="98"/>
              </w:rPr>
              <w:t>Tennessee</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LHCG XXII, LLC</w:t>
            </w:r>
          </w:p>
        </w:tc>
        <w:tc>
          <w:tcPr>
            <w:tcW w:w="3300" w:type="dxa"/>
            <w:vAlign w:val="bottom"/>
          </w:tcPr>
          <w:p>
            <w:pPr>
              <w:jc w:val="center"/>
              <w:ind w:left="2514"/>
              <w:spacing w:after="0"/>
              <w:rPr>
                <w:sz w:val="20"/>
                <w:szCs w:val="20"/>
                <w:color w:val="auto"/>
              </w:rPr>
            </w:pPr>
            <w:r>
              <w:rPr>
                <w:rFonts w:ascii="Times New Roman" w:cs="Times New Roman" w:eastAsia="Times New Roman" w:hAnsi="Times New Roman"/>
                <w:sz w:val="17"/>
                <w:szCs w:val="17"/>
                <w:color w:val="auto"/>
              </w:rPr>
              <w:t>Alabama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Lowes Senior Living, Inc.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Madison Senior Living, Inc.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Manitowoc Senior Living, Inc.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Maritime Healthcare LLC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McFarland Senior Living, Inc.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Mesa Grande Senior Living, Inc.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Mesa Springs Senior Living LLC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Mohave Healthcare, Inc.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Monitive Group, LLC</w:t>
            </w:r>
          </w:p>
        </w:tc>
        <w:tc>
          <w:tcPr>
            <w:tcW w:w="3300" w:type="dxa"/>
            <w:vAlign w:val="bottom"/>
          </w:tcPr>
          <w:p>
            <w:pPr>
              <w:jc w:val="center"/>
              <w:ind w:left="2514"/>
              <w:spacing w:after="0"/>
              <w:rPr>
                <w:sz w:val="20"/>
                <w:szCs w:val="20"/>
                <w:color w:val="auto"/>
              </w:rPr>
            </w:pPr>
            <w:r>
              <w:rPr>
                <w:rFonts w:ascii="Times New Roman" w:cs="Times New Roman" w:eastAsia="Times New Roman" w:hAnsi="Times New Roman"/>
                <w:sz w:val="17"/>
                <w:szCs w:val="17"/>
                <w:color w:val="auto"/>
              </w:rPr>
              <w:t>Utah</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Monument Healthcare, Inc.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Moorland Senior Living LLC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Morristown-Hamblen Homecare and Hospice, LLC</w:t>
            </w:r>
          </w:p>
        </w:tc>
        <w:tc>
          <w:tcPr>
            <w:tcW w:w="3300" w:type="dxa"/>
            <w:vAlign w:val="bottom"/>
          </w:tcPr>
          <w:p>
            <w:pPr>
              <w:jc w:val="center"/>
              <w:ind w:left="2514"/>
              <w:spacing w:after="0"/>
              <w:rPr>
                <w:sz w:val="20"/>
                <w:szCs w:val="20"/>
                <w:color w:val="auto"/>
              </w:rPr>
            </w:pPr>
            <w:r>
              <w:rPr>
                <w:rFonts w:ascii="Times New Roman" w:cs="Times New Roman" w:eastAsia="Times New Roman" w:hAnsi="Times New Roman"/>
                <w:sz w:val="17"/>
                <w:szCs w:val="17"/>
                <w:color w:val="auto"/>
                <w:w w:val="98"/>
              </w:rPr>
              <w:t>Tennessee</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Moss Bay Senior Living, Inc.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Moulton Falls Healthcare LLC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Mount Hood Healthcare LLC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Mountain Peak Home Care, Inc.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Mountain Vista Senior Living, Inc.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NP2U, LLC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Oregon</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Oceano Senior Living, Inc.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Orange Senior Living, Inc.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Orangewood Senior Living, Inc.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Orchard Prairie Healthcare LLC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Oso Bay Healthcare LLC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Painted Sky Healthcare Inc.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Paragon Healthcare, Inc.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Park Point Healthcare LLC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Peaceful Heart Healthcare LLC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r>
        <w:trPr>
          <w:trHeight w:val="223"/>
        </w:trPr>
        <w:tc>
          <w:tcPr>
            <w:tcW w:w="6140" w:type="dxa"/>
            <w:vAlign w:val="bottom"/>
          </w:tcPr>
          <w:p>
            <w:pPr>
              <w:spacing w:after="0"/>
              <w:rPr>
                <w:sz w:val="20"/>
                <w:szCs w:val="20"/>
                <w:color w:val="auto"/>
              </w:rPr>
            </w:pPr>
            <w:r>
              <w:rPr>
                <w:rFonts w:ascii="Times New Roman" w:cs="Times New Roman" w:eastAsia="Times New Roman" w:hAnsi="Times New Roman"/>
                <w:sz w:val="17"/>
                <w:szCs w:val="17"/>
                <w:color w:val="auto"/>
              </w:rPr>
              <w:t>Pearl Senior Living, Inc.</w:t>
            </w:r>
          </w:p>
        </w:tc>
        <w:tc>
          <w:tcPr>
            <w:tcW w:w="3300" w:type="dxa"/>
            <w:vAlign w:val="bottom"/>
          </w:tcPr>
          <w:p>
            <w:pPr>
              <w:jc w:val="center"/>
              <w:ind w:left="2494"/>
              <w:spacing w:after="0"/>
              <w:rPr>
                <w:sz w:val="20"/>
                <w:szCs w:val="20"/>
                <w:color w:val="auto"/>
              </w:rPr>
            </w:pPr>
            <w:r>
              <w:rPr>
                <w:rFonts w:ascii="Times New Roman" w:cs="Times New Roman" w:eastAsia="Times New Roman" w:hAnsi="Times New Roman"/>
                <w:sz w:val="17"/>
                <w:szCs w:val="17"/>
                <w:color w:val="auto"/>
              </w:rPr>
              <w:t>Nevada</w:t>
            </w:r>
          </w:p>
        </w:tc>
      </w:tr>
    </w:tbl>
    <w:p>
      <w:pPr>
        <w:sectPr>
          <w:pgSz w:w="11900" w:h="16838" w:orient="portrait"/>
          <w:cols w:equalWidth="0" w:num="1">
            <w:col w:w="10119"/>
          </w:cols>
          <w:pgMar w:left="340" w:top="1090" w:right="1440"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Pecan Bayou Healthcare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Pennant Services,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Pine Grove Senior Living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Pine Valley Holding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Pine Valley Senior Living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Pinnacle Senior Living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Pinnacle Service Center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Pleasant Run Senior Living,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Ponderosa Healthcare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Power Basin Therapy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PPM California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PPM Colorado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PPM Nevada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PPM Oregon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PPM Texas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PPM Washington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PPM Wisconsin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PPM Wyoming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Prairie View Healthcare,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Primrose Senior Living,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Prospect Senior Living,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Racine Senior Living,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Rancho Bernardo Healthcare LLC</w:t>
            </w:r>
          </w:p>
        </w:tc>
        <w:tc>
          <w:tcPr>
            <w:tcW w:w="3740" w:type="dxa"/>
            <w:vAlign w:val="bottom"/>
          </w:tcPr>
          <w:p>
            <w:pPr>
              <w:jc w:val="center"/>
              <w:ind w:left="2994"/>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Ranier Healthcare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Red Rock Healthcare,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Rio Verde Healthcare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Riverview Village Senior Living,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Rock Garden Healthcare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Rockbrook Senior Living,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Rogue River Healthcare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Rolling Hills Healthcare,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Rosenburg Senior Living,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Sacramento River Healthcare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Saguaro Senior Living,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Saltwater Healthcare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San Gabriel Senior Living,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Sand Lily Healthcare,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Sandstone Senior Living,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Sawtooth Senior Living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Sentinel Healthcare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Seven Springs Holding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Seven Springs Senior Living LLC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r>
        <w:trPr>
          <w:trHeight w:val="223"/>
        </w:trPr>
        <w:tc>
          <w:tcPr>
            <w:tcW w:w="5680" w:type="dxa"/>
            <w:vAlign w:val="bottom"/>
          </w:tcPr>
          <w:p>
            <w:pPr>
              <w:spacing w:after="0"/>
              <w:rPr>
                <w:sz w:val="20"/>
                <w:szCs w:val="20"/>
                <w:color w:val="auto"/>
              </w:rPr>
            </w:pPr>
            <w:r>
              <w:rPr>
                <w:rFonts w:ascii="Times New Roman" w:cs="Times New Roman" w:eastAsia="Times New Roman" w:hAnsi="Times New Roman"/>
                <w:sz w:val="17"/>
                <w:szCs w:val="17"/>
                <w:color w:val="auto"/>
              </w:rPr>
              <w:t>Sheboygan Senior Living, Inc.</w:t>
            </w:r>
          </w:p>
        </w:tc>
        <w:tc>
          <w:tcPr>
            <w:tcW w:w="3740" w:type="dxa"/>
            <w:vAlign w:val="bottom"/>
          </w:tcPr>
          <w:p>
            <w:pPr>
              <w:jc w:val="center"/>
              <w:ind w:left="2974"/>
              <w:spacing w:after="0"/>
              <w:rPr>
                <w:sz w:val="20"/>
                <w:szCs w:val="20"/>
                <w:color w:val="auto"/>
              </w:rPr>
            </w:pPr>
            <w:r>
              <w:rPr>
                <w:rFonts w:ascii="Times New Roman" w:cs="Times New Roman" w:eastAsia="Times New Roman" w:hAnsi="Times New Roman"/>
                <w:sz w:val="17"/>
                <w:szCs w:val="17"/>
                <w:color w:val="auto"/>
              </w:rPr>
              <w:t>Nevada</w:t>
            </w:r>
          </w:p>
        </w:tc>
      </w:tr>
    </w:tbl>
    <w:p>
      <w:pPr>
        <w:sectPr>
          <w:pgSz w:w="11900" w:h="16838" w:orient="portrait"/>
          <w:cols w:equalWidth="0" w:num="1">
            <w:col w:w="10119"/>
          </w:cols>
          <w:pgMar w:left="340" w:top="1090" w:right="1440" w:bottom="1440" w:gutter="0" w:footer="0" w:header="0"/>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Shoshone Holdings LLC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Sierra Madre Healthcare LLC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Silver Lake Healthcare, Inc.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Somers Kenosha Senior Living, Inc.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South Bay Healthcare, Inc.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South Plains Healthcare, Inc.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Southern Pines Healthcare LLC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Southport Healthcare LLC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Spanish Meadows Healthcare LLC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Spring Valley Assisted Living, Inc.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Star Valley Healthcare, Inc.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Starboard Healthcare LLC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Steamboat Healthcare LLC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Stevens Point Senior Living, Inc.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Stone Creek Healthcare LLC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Stoughton Senior Living, Inc.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Summerlin Healthcare, Inc.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Sun Peak Healthcare LLC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Sun Spruce Healthcare LLC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SunCrest Healthcare of East Tennessee, LLC</w:t>
            </w:r>
          </w:p>
        </w:tc>
        <w:tc>
          <w:tcPr>
            <w:tcW w:w="3080" w:type="dxa"/>
            <w:vAlign w:val="bottom"/>
          </w:tcPr>
          <w:p>
            <w:pPr>
              <w:jc w:val="center"/>
              <w:ind w:left="2294"/>
              <w:spacing w:after="0"/>
              <w:rPr>
                <w:sz w:val="20"/>
                <w:szCs w:val="20"/>
                <w:color w:val="auto"/>
              </w:rPr>
            </w:pPr>
            <w:r>
              <w:rPr>
                <w:rFonts w:ascii="Times New Roman" w:cs="Times New Roman" w:eastAsia="Times New Roman" w:hAnsi="Times New Roman"/>
                <w:sz w:val="17"/>
                <w:szCs w:val="17"/>
                <w:color w:val="auto"/>
                <w:w w:val="98"/>
              </w:rPr>
              <w:t>Tennessee</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SunCrest Home Health of Manchester, Inc.</w:t>
            </w:r>
          </w:p>
        </w:tc>
        <w:tc>
          <w:tcPr>
            <w:tcW w:w="3080" w:type="dxa"/>
            <w:vAlign w:val="bottom"/>
          </w:tcPr>
          <w:p>
            <w:pPr>
              <w:jc w:val="center"/>
              <w:ind w:left="2294"/>
              <w:spacing w:after="0"/>
              <w:rPr>
                <w:sz w:val="20"/>
                <w:szCs w:val="20"/>
                <w:color w:val="auto"/>
              </w:rPr>
            </w:pPr>
            <w:r>
              <w:rPr>
                <w:rFonts w:ascii="Times New Roman" w:cs="Times New Roman" w:eastAsia="Times New Roman" w:hAnsi="Times New Roman"/>
                <w:sz w:val="17"/>
                <w:szCs w:val="17"/>
                <w:color w:val="auto"/>
                <w:w w:val="98"/>
              </w:rPr>
              <w:t>Tennessee</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SunCrest Home Health of South GA, Inc.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Georgia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Sundance Park Healthcare LLC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Sunset Mesa Healthcare LLC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Sweetbriar Creek Healthcare LLC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Sycamore Grove Healthcare LLC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Sycamore Senior Living, Inc.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Symbol Healthcare, Inc.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Table Rock Senior Living LLC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Tamarack Healthcare LLC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Tender Loving Care Health Care Services Southeast, LLC</w:t>
            </w:r>
          </w:p>
        </w:tc>
        <w:tc>
          <w:tcPr>
            <w:tcW w:w="3080" w:type="dxa"/>
            <w:vAlign w:val="bottom"/>
          </w:tcPr>
          <w:p>
            <w:pPr>
              <w:jc w:val="center"/>
              <w:ind w:left="2294"/>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Tennessee Nursing Services of Morristown, Inc.</w:t>
            </w:r>
          </w:p>
        </w:tc>
        <w:tc>
          <w:tcPr>
            <w:tcW w:w="3080" w:type="dxa"/>
            <w:vAlign w:val="bottom"/>
          </w:tcPr>
          <w:p>
            <w:pPr>
              <w:jc w:val="center"/>
              <w:ind w:left="2294"/>
              <w:spacing w:after="0"/>
              <w:rPr>
                <w:sz w:val="20"/>
                <w:szCs w:val="20"/>
                <w:color w:val="auto"/>
              </w:rPr>
            </w:pPr>
            <w:r>
              <w:rPr>
                <w:rFonts w:ascii="Times New Roman" w:cs="Times New Roman" w:eastAsia="Times New Roman" w:hAnsi="Times New Roman"/>
                <w:sz w:val="17"/>
                <w:szCs w:val="17"/>
                <w:color w:val="auto"/>
                <w:w w:val="98"/>
              </w:rPr>
              <w:t>Tennessee</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Tensaw River Healthcare LLC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Terrace Court Senior Living, Inc.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Teton Healthcare, Inc.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The Pennant Group, Inc.</w:t>
            </w:r>
          </w:p>
        </w:tc>
        <w:tc>
          <w:tcPr>
            <w:tcW w:w="3080" w:type="dxa"/>
            <w:vAlign w:val="bottom"/>
          </w:tcPr>
          <w:p>
            <w:pPr>
              <w:jc w:val="center"/>
              <w:ind w:left="2294"/>
              <w:spacing w:after="0"/>
              <w:rPr>
                <w:sz w:val="20"/>
                <w:szCs w:val="20"/>
                <w:color w:val="auto"/>
              </w:rPr>
            </w:pPr>
            <w:r>
              <w:rPr>
                <w:rFonts w:ascii="Times New Roman" w:cs="Times New Roman" w:eastAsia="Times New Roman" w:hAnsi="Times New Roman"/>
                <w:sz w:val="17"/>
                <w:szCs w:val="17"/>
                <w:color w:val="auto"/>
              </w:rPr>
              <w:t>Delaware</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Thomas Road Senior Housing, Inc.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Thousand Peaks Healthcare, Inc.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Three Rocks Healthcare LLC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Threemile Creek Healthcare LLC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Timbre Workflow LLC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Total Healthcare Services LLC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r>
        <w:trPr>
          <w:trHeight w:val="223"/>
        </w:trPr>
        <w:tc>
          <w:tcPr>
            <w:tcW w:w="6360" w:type="dxa"/>
            <w:vAlign w:val="bottom"/>
          </w:tcPr>
          <w:p>
            <w:pPr>
              <w:spacing w:after="0"/>
              <w:rPr>
                <w:sz w:val="20"/>
                <w:szCs w:val="20"/>
                <w:color w:val="auto"/>
              </w:rPr>
            </w:pPr>
            <w:r>
              <w:rPr>
                <w:rFonts w:ascii="Times New Roman" w:cs="Times New Roman" w:eastAsia="Times New Roman" w:hAnsi="Times New Roman"/>
                <w:sz w:val="17"/>
                <w:szCs w:val="17"/>
                <w:color w:val="auto"/>
              </w:rPr>
              <w:t>Triumph Healthcare LLC</w:t>
            </w:r>
          </w:p>
        </w:tc>
        <w:tc>
          <w:tcPr>
            <w:tcW w:w="3080" w:type="dxa"/>
            <w:vAlign w:val="bottom"/>
          </w:tcPr>
          <w:p>
            <w:pPr>
              <w:jc w:val="center"/>
              <w:ind w:left="2274"/>
              <w:spacing w:after="0"/>
              <w:rPr>
                <w:sz w:val="20"/>
                <w:szCs w:val="20"/>
                <w:color w:val="auto"/>
              </w:rPr>
            </w:pPr>
            <w:r>
              <w:rPr>
                <w:rFonts w:ascii="Times New Roman" w:cs="Times New Roman" w:eastAsia="Times New Roman" w:hAnsi="Times New Roman"/>
                <w:sz w:val="17"/>
                <w:szCs w:val="17"/>
                <w:color w:val="auto"/>
              </w:rPr>
              <w:t>Nevada</w:t>
            </w:r>
          </w:p>
        </w:tc>
      </w:tr>
    </w:tbl>
    <w:p>
      <w:pPr>
        <w:sectPr>
          <w:pgSz w:w="11900" w:h="16838" w:orient="portrait"/>
          <w:cols w:equalWidth="0" w:num="1">
            <w:col w:w="10119"/>
          </w:cols>
          <w:pgMar w:left="340" w:top="1090" w:right="1440"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Tucson Mountain Holding LLC</w:t>
            </w:r>
          </w:p>
        </w:tc>
        <w:tc>
          <w:tcPr>
            <w:tcW w:w="3000" w:type="dxa"/>
            <w:vAlign w:val="bottom"/>
          </w:tcPr>
          <w:p>
            <w:pPr>
              <w:jc w:val="center"/>
              <w:ind w:left="21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Tucson Mountain Senior Living LLC</w:t>
            </w:r>
          </w:p>
        </w:tc>
        <w:tc>
          <w:tcPr>
            <w:tcW w:w="3000" w:type="dxa"/>
            <w:vAlign w:val="bottom"/>
          </w:tcPr>
          <w:p>
            <w:pPr>
              <w:jc w:val="center"/>
              <w:ind w:left="21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Tumalo Falls Healthcare LLC</w:t>
            </w:r>
          </w:p>
        </w:tc>
        <w:tc>
          <w:tcPr>
            <w:tcW w:w="3000" w:type="dxa"/>
            <w:vAlign w:val="bottom"/>
          </w:tcPr>
          <w:p>
            <w:pPr>
              <w:jc w:val="center"/>
              <w:ind w:left="21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Tuolumne Holding LLC</w:t>
            </w:r>
          </w:p>
        </w:tc>
        <w:tc>
          <w:tcPr>
            <w:tcW w:w="3000" w:type="dxa"/>
            <w:vAlign w:val="bottom"/>
          </w:tcPr>
          <w:p>
            <w:pPr>
              <w:jc w:val="center"/>
              <w:ind w:left="21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Twin Falls Senior Living LLC</w:t>
            </w:r>
          </w:p>
        </w:tc>
        <w:tc>
          <w:tcPr>
            <w:tcW w:w="3000" w:type="dxa"/>
            <w:vAlign w:val="bottom"/>
          </w:tcPr>
          <w:p>
            <w:pPr>
              <w:jc w:val="center"/>
              <w:ind w:left="21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Two Rivers Senior Living, Inc.</w:t>
            </w:r>
          </w:p>
        </w:tc>
        <w:tc>
          <w:tcPr>
            <w:tcW w:w="3000" w:type="dxa"/>
            <w:vAlign w:val="bottom"/>
          </w:tcPr>
          <w:p>
            <w:pPr>
              <w:jc w:val="center"/>
              <w:ind w:left="21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University of TN Medical Center Home Care Services, LLC</w:t>
            </w:r>
          </w:p>
        </w:tc>
        <w:tc>
          <w:tcPr>
            <w:tcW w:w="3000" w:type="dxa"/>
            <w:vAlign w:val="bottom"/>
          </w:tcPr>
          <w:p>
            <w:pPr>
              <w:jc w:val="center"/>
              <w:ind w:left="2214"/>
              <w:spacing w:after="0"/>
              <w:rPr>
                <w:sz w:val="20"/>
                <w:szCs w:val="20"/>
                <w:color w:val="auto"/>
              </w:rPr>
            </w:pPr>
            <w:r>
              <w:rPr>
                <w:rFonts w:ascii="Times New Roman" w:cs="Times New Roman" w:eastAsia="Times New Roman" w:hAnsi="Times New Roman"/>
                <w:sz w:val="17"/>
                <w:szCs w:val="17"/>
                <w:color w:val="auto"/>
                <w:w w:val="98"/>
              </w:rPr>
              <w:t>Tennessee</w:t>
            </w:r>
          </w:p>
        </w:tc>
      </w:tr>
      <w:tr>
        <w:trPr>
          <w:trHeight w:val="219"/>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Vesper Healthcare, Inc.</w:t>
            </w:r>
          </w:p>
        </w:tc>
        <w:tc>
          <w:tcPr>
            <w:tcW w:w="3000" w:type="dxa"/>
            <w:vAlign w:val="bottom"/>
          </w:tcPr>
          <w:p>
            <w:pPr>
              <w:jc w:val="center"/>
              <w:ind w:left="21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Victoria Ventura Assisted Living Community, Inc.</w:t>
            </w:r>
          </w:p>
        </w:tc>
        <w:tc>
          <w:tcPr>
            <w:tcW w:w="3000" w:type="dxa"/>
            <w:vAlign w:val="bottom"/>
          </w:tcPr>
          <w:p>
            <w:pPr>
              <w:jc w:val="center"/>
              <w:ind w:left="21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Virgin River Healthcare, Inc.</w:t>
            </w:r>
          </w:p>
        </w:tc>
        <w:tc>
          <w:tcPr>
            <w:tcW w:w="3000" w:type="dxa"/>
            <w:vAlign w:val="bottom"/>
          </w:tcPr>
          <w:p>
            <w:pPr>
              <w:jc w:val="center"/>
              <w:ind w:left="21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Warhawk Holding LLC</w:t>
            </w:r>
          </w:p>
        </w:tc>
        <w:tc>
          <w:tcPr>
            <w:tcW w:w="3000" w:type="dxa"/>
            <w:vAlign w:val="bottom"/>
          </w:tcPr>
          <w:p>
            <w:pPr>
              <w:jc w:val="center"/>
              <w:ind w:left="21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Warhawk Senior Living LLC</w:t>
            </w:r>
          </w:p>
        </w:tc>
        <w:tc>
          <w:tcPr>
            <w:tcW w:w="3000" w:type="dxa"/>
            <w:vAlign w:val="bottom"/>
          </w:tcPr>
          <w:p>
            <w:pPr>
              <w:jc w:val="center"/>
              <w:ind w:left="21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West Allis Holding LLC</w:t>
            </w:r>
          </w:p>
        </w:tc>
        <w:tc>
          <w:tcPr>
            <w:tcW w:w="3000" w:type="dxa"/>
            <w:vAlign w:val="bottom"/>
          </w:tcPr>
          <w:p>
            <w:pPr>
              <w:jc w:val="center"/>
              <w:ind w:left="21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White Oak JV LLC</w:t>
            </w:r>
          </w:p>
        </w:tc>
        <w:tc>
          <w:tcPr>
            <w:tcW w:w="3000" w:type="dxa"/>
            <w:vAlign w:val="bottom"/>
          </w:tcPr>
          <w:p>
            <w:pPr>
              <w:jc w:val="center"/>
              <w:ind w:left="21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Whitetank Mountain Healthcare LLC</w:t>
            </w:r>
          </w:p>
        </w:tc>
        <w:tc>
          <w:tcPr>
            <w:tcW w:w="3000" w:type="dxa"/>
            <w:vAlign w:val="bottom"/>
          </w:tcPr>
          <w:p>
            <w:pPr>
              <w:jc w:val="center"/>
              <w:ind w:left="21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Whitewater Healthcare LLC</w:t>
            </w:r>
          </w:p>
        </w:tc>
        <w:tc>
          <w:tcPr>
            <w:tcW w:w="3000" w:type="dxa"/>
            <w:vAlign w:val="bottom"/>
          </w:tcPr>
          <w:p>
            <w:pPr>
              <w:jc w:val="center"/>
              <w:ind w:left="21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Willamette Healthcare LLC</w:t>
            </w:r>
          </w:p>
        </w:tc>
        <w:tc>
          <w:tcPr>
            <w:tcW w:w="3000" w:type="dxa"/>
            <w:vAlign w:val="bottom"/>
          </w:tcPr>
          <w:p>
            <w:pPr>
              <w:jc w:val="center"/>
              <w:ind w:left="21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Willow Creek Healthcare LLC</w:t>
            </w:r>
          </w:p>
        </w:tc>
        <w:tc>
          <w:tcPr>
            <w:tcW w:w="3000" w:type="dxa"/>
            <w:vAlign w:val="bottom"/>
          </w:tcPr>
          <w:p>
            <w:pPr>
              <w:jc w:val="center"/>
              <w:ind w:left="21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Willow Creek Senior Living, Inc.</w:t>
            </w:r>
          </w:p>
        </w:tc>
        <w:tc>
          <w:tcPr>
            <w:tcW w:w="3000" w:type="dxa"/>
            <w:vAlign w:val="bottom"/>
          </w:tcPr>
          <w:p>
            <w:pPr>
              <w:jc w:val="center"/>
              <w:ind w:left="2194"/>
              <w:spacing w:after="0"/>
              <w:rPr>
                <w:sz w:val="20"/>
                <w:szCs w:val="20"/>
                <w:color w:val="auto"/>
              </w:rPr>
            </w:pPr>
            <w:r>
              <w:rPr>
                <w:rFonts w:ascii="Times New Roman" w:cs="Times New Roman" w:eastAsia="Times New Roman" w:hAnsi="Times New Roman"/>
                <w:sz w:val="17"/>
                <w:szCs w:val="17"/>
                <w:color w:val="auto"/>
              </w:rPr>
              <w:t>Nevada</w:t>
            </w:r>
          </w:p>
        </w:tc>
      </w:tr>
      <w:tr>
        <w:trPr>
          <w:trHeight w:val="219"/>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Wisconsin Rapids Senior Living, Inc.</w:t>
            </w:r>
          </w:p>
        </w:tc>
        <w:tc>
          <w:tcPr>
            <w:tcW w:w="3000" w:type="dxa"/>
            <w:vAlign w:val="bottom"/>
          </w:tcPr>
          <w:p>
            <w:pPr>
              <w:jc w:val="center"/>
              <w:ind w:left="2194"/>
              <w:spacing w:after="0"/>
              <w:rPr>
                <w:sz w:val="20"/>
                <w:szCs w:val="20"/>
                <w:color w:val="auto"/>
              </w:rPr>
            </w:pPr>
            <w:r>
              <w:rPr>
                <w:rFonts w:ascii="Times New Roman" w:cs="Times New Roman" w:eastAsia="Times New Roman" w:hAnsi="Times New Roman"/>
                <w:sz w:val="17"/>
                <w:szCs w:val="17"/>
                <w:color w:val="auto"/>
              </w:rPr>
              <w:t>Nevada</w:t>
            </w:r>
          </w:p>
        </w:tc>
      </w:tr>
      <w:tr>
        <w:trPr>
          <w:trHeight w:val="223"/>
        </w:trPr>
        <w:tc>
          <w:tcPr>
            <w:tcW w:w="6440" w:type="dxa"/>
            <w:vAlign w:val="bottom"/>
          </w:tcPr>
          <w:p>
            <w:pPr>
              <w:spacing w:after="0"/>
              <w:rPr>
                <w:sz w:val="20"/>
                <w:szCs w:val="20"/>
                <w:color w:val="auto"/>
              </w:rPr>
            </w:pPr>
            <w:r>
              <w:rPr>
                <w:rFonts w:ascii="Times New Roman" w:cs="Times New Roman" w:eastAsia="Times New Roman" w:hAnsi="Times New Roman"/>
                <w:sz w:val="17"/>
                <w:szCs w:val="17"/>
                <w:color w:val="auto"/>
              </w:rPr>
              <w:t>Woodlake Healthcare LLC</w:t>
            </w:r>
          </w:p>
        </w:tc>
        <w:tc>
          <w:tcPr>
            <w:tcW w:w="3000" w:type="dxa"/>
            <w:vAlign w:val="bottom"/>
          </w:tcPr>
          <w:p>
            <w:pPr>
              <w:jc w:val="center"/>
              <w:ind w:left="2194"/>
              <w:spacing w:after="0"/>
              <w:rPr>
                <w:sz w:val="20"/>
                <w:szCs w:val="20"/>
                <w:color w:val="auto"/>
              </w:rPr>
            </w:pPr>
            <w:r>
              <w:rPr>
                <w:rFonts w:ascii="Times New Roman" w:cs="Times New Roman" w:eastAsia="Times New Roman" w:hAnsi="Times New Roman"/>
                <w:sz w:val="17"/>
                <w:szCs w:val="17"/>
                <w:color w:val="auto"/>
              </w:rPr>
              <w:t>Nevada</w:t>
            </w:r>
          </w:p>
        </w:tc>
      </w:tr>
    </w:tbl>
    <w:p>
      <w:pPr>
        <w:sectPr>
          <w:pgSz w:w="11900" w:h="16838" w:orient="portrait"/>
          <w:cols w:equalWidth="0" w:num="1">
            <w:col w:w="10119"/>
          </w:cols>
          <w:pgMar w:left="340" w:top="1090" w:right="1440"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CONSENT OF INDEPENDENT REGISTERED PUBLIC ACCOUNTING FIRM</w:t>
      </w:r>
    </w:p>
    <w:p>
      <w:pPr>
        <w:spacing w:after="0" w:line="247"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We consent to the incorporation by reference in Registration Statement Nos. 333-233937 and 333-288547 on Form S-8 and No. 333-281302 on Form S-3 of our reports dated February 25, 2026, relating to the financial statements of The Pennant Group, Inc. and the effectiveness of the Pennant Group, Inc.’s internal control over financial reporting, appearing in this Annual Report on Form 10-K for the year ended December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 </w:t>
      </w:r>
      <w:r>
        <w:rPr>
          <w:rFonts w:ascii="Times New Roman" w:cs="Times New Roman" w:eastAsia="Times New Roman" w:hAnsi="Times New Roman"/>
          <w:sz w:val="17"/>
          <w:szCs w:val="17"/>
          <w:i w:val="1"/>
          <w:iCs w:val="1"/>
          <w:color w:val="auto"/>
        </w:rPr>
        <w:t>DELOITTE &amp; TOUCHE LLP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Boise, ID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2026</w:t>
      </w:r>
    </w:p>
    <w:p>
      <w:pPr>
        <w:sectPr>
          <w:pgSz w:w="11900" w:h="16838" w:orient="portrait"/>
          <w:cols w:equalWidth="0" w:num="1">
            <w:col w:w="11240"/>
          </w:cols>
          <w:pgMar w:left="320" w:top="1357"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Brent J. Guerisoli, certify that:</w:t>
      </w:r>
    </w:p>
    <w:p>
      <w:pPr>
        <w:spacing w:after="0" w:line="398" w:lineRule="exact"/>
        <w:rPr>
          <w:sz w:val="20"/>
          <w:szCs w:val="20"/>
          <w:color w:val="auto"/>
        </w:rPr>
      </w:pPr>
    </w:p>
    <w:p>
      <w:pPr>
        <w:ind w:left="620" w:hanging="307"/>
        <w:spacing w:after="0"/>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The Pennant Group, Inc;</w:t>
      </w:r>
    </w:p>
    <w:p>
      <w:pPr>
        <w:spacing w:after="0" w:line="165"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9" w:lineRule="exact"/>
        <w:rPr>
          <w:rFonts w:ascii="Times New Roman" w:cs="Times New Roman" w:eastAsia="Times New Roman" w:hAnsi="Times New Roman"/>
          <w:sz w:val="17"/>
          <w:szCs w:val="17"/>
          <w:color w:val="auto"/>
        </w:rPr>
      </w:pPr>
    </w:p>
    <w:p>
      <w:pPr>
        <w:ind w:left="620" w:right="580" w:hanging="307"/>
        <w:spacing w:after="0" w:line="287" w:lineRule="auto"/>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ind w:left="620" w:right="220" w:hanging="307"/>
        <w:spacing w:after="0" w:line="270" w:lineRule="auto"/>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Times New Roman" w:cs="Times New Roman" w:eastAsia="Times New Roman" w:hAnsi="Times New Roman"/>
          <w:sz w:val="17"/>
          <w:szCs w:val="17"/>
          <w:color w:val="auto"/>
        </w:rPr>
      </w:pPr>
    </w:p>
    <w:p>
      <w:pPr>
        <w:ind w:left="940" w:right="80" w:hanging="318"/>
        <w:spacing w:after="0" w:line="270" w:lineRule="auto"/>
        <w:tabs>
          <w:tab w:leader="none" w:pos="937"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Times New Roman" w:cs="Times New Roman" w:eastAsia="Times New Roman" w:hAnsi="Times New Roman"/>
          <w:sz w:val="17"/>
          <w:szCs w:val="17"/>
          <w:color w:val="auto"/>
        </w:rPr>
      </w:pPr>
    </w:p>
    <w:p>
      <w:pPr>
        <w:ind w:left="940" w:right="60" w:hanging="318"/>
        <w:spacing w:after="0" w:line="270" w:lineRule="auto"/>
        <w:tabs>
          <w:tab w:leader="none" w:pos="934"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Times New Roman" w:cs="Times New Roman" w:eastAsia="Times New Roman" w:hAnsi="Times New Roman"/>
          <w:sz w:val="17"/>
          <w:szCs w:val="17"/>
          <w:color w:val="auto"/>
        </w:rPr>
      </w:pPr>
    </w:p>
    <w:p>
      <w:pPr>
        <w:ind w:left="940" w:right="120" w:hanging="318"/>
        <w:spacing w:after="0" w:line="287" w:lineRule="auto"/>
        <w:tabs>
          <w:tab w:leader="none" w:pos="937"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940" w:right="180" w:hanging="318"/>
        <w:spacing w:after="0" w:line="270" w:lineRule="auto"/>
        <w:tabs>
          <w:tab w:leader="none" w:pos="934"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Times New Roman" w:cs="Times New Roman" w:eastAsia="Times New Roman" w:hAnsi="Times New Roman"/>
          <w:sz w:val="17"/>
          <w:szCs w:val="17"/>
          <w:color w:val="auto"/>
        </w:rPr>
      </w:pPr>
    </w:p>
    <w:p>
      <w:pPr>
        <w:ind w:left="620" w:right="360" w:hanging="307"/>
        <w:spacing w:after="0" w:line="287" w:lineRule="auto"/>
        <w:tabs>
          <w:tab w:leader="none" w:pos="6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40" w:right="40" w:hanging="318"/>
        <w:spacing w:after="0" w:line="287" w:lineRule="auto"/>
        <w:tabs>
          <w:tab w:leader="none" w:pos="937"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Times New Roman" w:cs="Times New Roman" w:eastAsia="Times New Roman" w:hAnsi="Times New Roman"/>
          <w:sz w:val="17"/>
          <w:szCs w:val="17"/>
          <w:color w:val="auto"/>
        </w:rPr>
      </w:pPr>
    </w:p>
    <w:p>
      <w:pPr>
        <w:ind w:left="940" w:right="100" w:hanging="318"/>
        <w:spacing w:after="0" w:line="287" w:lineRule="auto"/>
        <w:tabs>
          <w:tab w:leader="none" w:pos="934"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25, 2026</w:t>
      </w:r>
    </w:p>
    <w:p>
      <w:pPr>
        <w:spacing w:after="0" w:line="2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/s/ BRENT J. GUERISOLI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3538220</wp:posOffset>
            </wp:positionH>
            <wp:positionV relativeFrom="paragraph">
              <wp:posOffset>17145</wp:posOffset>
            </wp:positionV>
            <wp:extent cx="26930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2693035" cy="825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360" w:val="left"/>
        </w:tabs>
        <w:rPr>
          <w:sz w:val="20"/>
          <w:szCs w:val="20"/>
          <w:color w:val="auto"/>
        </w:rPr>
      </w:pPr>
      <w:r>
        <w:rPr>
          <w:rFonts w:ascii="Times New Roman" w:cs="Times New Roman" w:eastAsia="Times New Roman" w:hAnsi="Times New Roman"/>
          <w:sz w:val="17"/>
          <w:szCs w:val="17"/>
          <w:color w:val="auto"/>
        </w:rPr>
        <w:t>Name:</w:t>
        <w:tab/>
        <w:t>Brent J. Guerisoli</w:t>
      </w:r>
    </w:p>
    <w:tbl>
      <w:tblPr>
        <w:tblLayout w:type="fixed"/>
        <w:tblInd w:w="5580" w:type="dxa"/>
        <w:tblCellMar>
          <w:top w:w="0" w:type="dxa"/>
          <w:left w:w="0" w:type="dxa"/>
          <w:bottom w:w="0" w:type="dxa"/>
          <w:right w:w="0" w:type="dxa"/>
        </w:tblCellMar>
      </w:tblPr>
      <w:tr>
        <w:trPr>
          <w:trHeight w:val="195"/>
        </w:trPr>
        <w:tc>
          <w:tcPr>
            <w:tcW w:w="6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Title:</w:t>
            </w:r>
          </w:p>
        </w:tc>
        <w:tc>
          <w:tcPr>
            <w:tcW w:w="3280" w:type="dxa"/>
            <w:vAlign w:val="bottom"/>
          </w:tcPr>
          <w:p>
            <w:pPr>
              <w:ind w:left="200"/>
              <w:spacing w:after="0"/>
              <w:rPr>
                <w:sz w:val="20"/>
                <w:szCs w:val="20"/>
                <w:color w:val="auto"/>
              </w:rPr>
            </w:pPr>
            <w:r>
              <w:rPr>
                <w:rFonts w:ascii="Times New Roman" w:cs="Times New Roman" w:eastAsia="Times New Roman" w:hAnsi="Times New Roman"/>
                <w:sz w:val="17"/>
                <w:szCs w:val="17"/>
                <w:i w:val="1"/>
                <w:iCs w:val="1"/>
                <w:color w:val="auto"/>
              </w:rPr>
              <w:t>Chief Executive Officer (Principal Executive</w:t>
            </w:r>
          </w:p>
        </w:tc>
        <w:tc>
          <w:tcPr>
            <w:tcW w:w="0" w:type="dxa"/>
            <w:vAlign w:val="bottom"/>
          </w:tcPr>
          <w:p>
            <w:pPr>
              <w:spacing w:after="0"/>
              <w:rPr>
                <w:sz w:val="1"/>
                <w:szCs w:val="1"/>
                <w:color w:val="auto"/>
              </w:rPr>
            </w:pPr>
          </w:p>
        </w:tc>
      </w:tr>
      <w:tr>
        <w:trPr>
          <w:trHeight w:val="142"/>
        </w:trPr>
        <w:tc>
          <w:tcPr>
            <w:tcW w:w="600" w:type="dxa"/>
            <w:vAlign w:val="bottom"/>
            <w:vMerge w:val="continue"/>
          </w:tcPr>
          <w:p>
            <w:pPr>
              <w:spacing w:after="0"/>
              <w:rPr>
                <w:sz w:val="12"/>
                <w:szCs w:val="12"/>
                <w:color w:val="auto"/>
              </w:rPr>
            </w:pPr>
          </w:p>
        </w:tc>
        <w:tc>
          <w:tcPr>
            <w:tcW w:w="3280" w:type="dxa"/>
            <w:vAlign w:val="bottom"/>
            <w:vMerge w:val="restart"/>
          </w:tcPr>
          <w:p>
            <w:pPr>
              <w:ind w:left="200"/>
              <w:spacing w:after="0"/>
              <w:rPr>
                <w:sz w:val="20"/>
                <w:szCs w:val="20"/>
                <w:color w:val="auto"/>
              </w:rPr>
            </w:pPr>
            <w:r>
              <w:rPr>
                <w:rFonts w:ascii="Times New Roman" w:cs="Times New Roman" w:eastAsia="Times New Roman" w:hAnsi="Times New Roman"/>
                <w:sz w:val="17"/>
                <w:szCs w:val="17"/>
                <w:i w:val="1"/>
                <w:iCs w:val="1"/>
                <w:color w:val="auto"/>
              </w:rPr>
              <w:t>Officer)</w:t>
            </w:r>
          </w:p>
        </w:tc>
        <w:tc>
          <w:tcPr>
            <w:tcW w:w="0" w:type="dxa"/>
            <w:vAlign w:val="bottom"/>
          </w:tcPr>
          <w:p>
            <w:pPr>
              <w:spacing w:after="0"/>
              <w:rPr>
                <w:sz w:val="1"/>
                <w:szCs w:val="1"/>
                <w:color w:val="auto"/>
              </w:rPr>
            </w:pPr>
          </w:p>
        </w:tc>
      </w:tr>
      <w:tr>
        <w:trPr>
          <w:trHeight w:val="85"/>
        </w:trPr>
        <w:tc>
          <w:tcPr>
            <w:tcW w:w="60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4"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Lynette B. Walbom, certify that:</w:t>
      </w:r>
    </w:p>
    <w:p>
      <w:pPr>
        <w:spacing w:after="0" w:line="381" w:lineRule="exact"/>
        <w:rPr>
          <w:sz w:val="20"/>
          <w:szCs w:val="20"/>
          <w:color w:val="auto"/>
        </w:rPr>
      </w:pPr>
    </w:p>
    <w:p>
      <w:pPr>
        <w:ind w:left="620" w:hanging="307"/>
        <w:spacing w:after="0"/>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The Pennant Group, Inc.;</w:t>
      </w:r>
    </w:p>
    <w:p>
      <w:pPr>
        <w:spacing w:after="0" w:line="165" w:lineRule="exact"/>
        <w:rPr>
          <w:rFonts w:ascii="Times New Roman" w:cs="Times New Roman" w:eastAsia="Times New Roman" w:hAnsi="Times New Roman"/>
          <w:sz w:val="17"/>
          <w:szCs w:val="17"/>
          <w:color w:val="auto"/>
        </w:rPr>
      </w:pPr>
    </w:p>
    <w:p>
      <w:pPr>
        <w:ind w:left="620" w:right="140" w:hanging="307"/>
        <w:spacing w:after="0" w:line="287" w:lineRule="auto"/>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9" w:lineRule="exact"/>
        <w:rPr>
          <w:rFonts w:ascii="Times New Roman" w:cs="Times New Roman" w:eastAsia="Times New Roman" w:hAnsi="Times New Roman"/>
          <w:sz w:val="17"/>
          <w:szCs w:val="17"/>
          <w:color w:val="auto"/>
        </w:rPr>
      </w:pPr>
    </w:p>
    <w:p>
      <w:pPr>
        <w:ind w:left="620" w:right="580" w:hanging="307"/>
        <w:spacing w:after="0" w:line="287" w:lineRule="auto"/>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ind w:left="620" w:right="220" w:hanging="307"/>
        <w:spacing w:after="0" w:line="270" w:lineRule="auto"/>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3" w:lineRule="exact"/>
        <w:rPr>
          <w:rFonts w:ascii="Times New Roman" w:cs="Times New Roman" w:eastAsia="Times New Roman" w:hAnsi="Times New Roman"/>
          <w:sz w:val="17"/>
          <w:szCs w:val="17"/>
          <w:color w:val="auto"/>
        </w:rPr>
      </w:pPr>
    </w:p>
    <w:p>
      <w:pPr>
        <w:ind w:left="940" w:right="80" w:hanging="318"/>
        <w:spacing w:after="0" w:line="270" w:lineRule="auto"/>
        <w:tabs>
          <w:tab w:leader="none" w:pos="937"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3" w:lineRule="exact"/>
        <w:rPr>
          <w:rFonts w:ascii="Times New Roman" w:cs="Times New Roman" w:eastAsia="Times New Roman" w:hAnsi="Times New Roman"/>
          <w:sz w:val="17"/>
          <w:szCs w:val="17"/>
          <w:color w:val="auto"/>
        </w:rPr>
      </w:pPr>
    </w:p>
    <w:p>
      <w:pPr>
        <w:ind w:left="940" w:right="60" w:hanging="318"/>
        <w:spacing w:after="0" w:line="270" w:lineRule="auto"/>
        <w:tabs>
          <w:tab w:leader="none" w:pos="934"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3" w:lineRule="exact"/>
        <w:rPr>
          <w:rFonts w:ascii="Times New Roman" w:cs="Times New Roman" w:eastAsia="Times New Roman" w:hAnsi="Times New Roman"/>
          <w:sz w:val="17"/>
          <w:szCs w:val="17"/>
          <w:color w:val="auto"/>
        </w:rPr>
      </w:pPr>
    </w:p>
    <w:p>
      <w:pPr>
        <w:ind w:left="940" w:right="120" w:hanging="318"/>
        <w:spacing w:after="0" w:line="287" w:lineRule="auto"/>
        <w:tabs>
          <w:tab w:leader="none" w:pos="937"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940" w:right="180" w:hanging="318"/>
        <w:spacing w:after="0" w:line="270" w:lineRule="auto"/>
        <w:tabs>
          <w:tab w:leader="none" w:pos="934"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3" w:lineRule="exact"/>
        <w:rPr>
          <w:rFonts w:ascii="Times New Roman" w:cs="Times New Roman" w:eastAsia="Times New Roman" w:hAnsi="Times New Roman"/>
          <w:sz w:val="17"/>
          <w:szCs w:val="17"/>
          <w:color w:val="auto"/>
        </w:rPr>
      </w:pPr>
    </w:p>
    <w:p>
      <w:pPr>
        <w:ind w:left="620" w:right="360" w:hanging="307"/>
        <w:spacing w:after="0" w:line="287" w:lineRule="auto"/>
        <w:tabs>
          <w:tab w:leader="none" w:pos="62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9" w:lineRule="exact"/>
        <w:rPr>
          <w:rFonts w:ascii="Times New Roman" w:cs="Times New Roman" w:eastAsia="Times New Roman" w:hAnsi="Times New Roman"/>
          <w:sz w:val="17"/>
          <w:szCs w:val="17"/>
          <w:color w:val="auto"/>
        </w:rPr>
      </w:pPr>
    </w:p>
    <w:p>
      <w:pPr>
        <w:ind w:left="940" w:right="40" w:hanging="318"/>
        <w:spacing w:after="0" w:line="287" w:lineRule="auto"/>
        <w:tabs>
          <w:tab w:leader="none" w:pos="937"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9" w:lineRule="exact"/>
        <w:rPr>
          <w:rFonts w:ascii="Times New Roman" w:cs="Times New Roman" w:eastAsia="Times New Roman" w:hAnsi="Times New Roman"/>
          <w:sz w:val="17"/>
          <w:szCs w:val="17"/>
          <w:color w:val="auto"/>
        </w:rPr>
      </w:pPr>
    </w:p>
    <w:p>
      <w:pPr>
        <w:ind w:left="940" w:right="100" w:hanging="318"/>
        <w:spacing w:after="0" w:line="287" w:lineRule="auto"/>
        <w:tabs>
          <w:tab w:leader="none" w:pos="934"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25, 2026</w:t>
      </w:r>
    </w:p>
    <w:p>
      <w:pPr>
        <w:spacing w:after="0" w:line="26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/s/ LYNETTE B. WALBOM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26854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2685415" cy="8255"/>
                    </a:xfrm>
                    <a:prstGeom prst="rect">
                      <a:avLst/>
                    </a:prstGeom>
                    <a:noFill/>
                  </pic:spPr>
                </pic:pic>
              </a:graphicData>
            </a:graphic>
          </wp:anchor>
        </w:drawing>
      </w:r>
    </w:p>
    <w:p>
      <w:pPr>
        <w:spacing w:after="0" w:line="17" w:lineRule="exact"/>
        <w:rPr>
          <w:sz w:val="20"/>
          <w:szCs w:val="20"/>
          <w:color w:val="auto"/>
        </w:rPr>
      </w:pPr>
    </w:p>
    <w:p>
      <w:pPr>
        <w:ind w:left="5660"/>
        <w:spacing w:after="0"/>
        <w:tabs>
          <w:tab w:leader="none" w:pos="640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7"/>
          <w:szCs w:val="17"/>
          <w:color w:val="auto"/>
        </w:rPr>
        <w:t>Lynette B. Walbom</w:t>
      </w:r>
    </w:p>
    <w:p>
      <w:pPr>
        <w:spacing w:after="0" w:line="14"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7"/>
          <w:szCs w:val="17"/>
          <w:i w:val="1"/>
          <w:iCs w:val="1"/>
          <w:color w:val="auto"/>
        </w:rPr>
        <w:t>Chief Financial Officer (Principal Financial</w:t>
      </w:r>
    </w:p>
    <w:p>
      <w:pPr>
        <w:ind w:left="5660"/>
        <w:spacing w:after="0" w:line="221" w:lineRule="auto"/>
        <w:tabs>
          <w:tab w:leader="none" w:pos="640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i w:val="1"/>
          <w:iCs w:val="1"/>
          <w:color w:val="auto"/>
        </w:rPr>
        <w:t>Officer, Principal Accounting Officer and Duly</w:t>
      </w:r>
    </w:p>
    <w:p>
      <w:pPr>
        <w:ind w:left="6420"/>
        <w:spacing w:after="0"/>
        <w:rPr>
          <w:sz w:val="20"/>
          <w:szCs w:val="20"/>
          <w:color w:val="auto"/>
        </w:rPr>
      </w:pPr>
      <w:r>
        <w:rPr>
          <w:rFonts w:ascii="Times New Roman" w:cs="Times New Roman" w:eastAsia="Times New Roman" w:hAnsi="Times New Roman"/>
          <w:sz w:val="17"/>
          <w:szCs w:val="17"/>
          <w:i w:val="1"/>
          <w:iCs w:val="1"/>
          <w:color w:val="auto"/>
        </w:rPr>
        <w:t>Authorized Officer)</w:t>
      </w:r>
    </w:p>
    <w:p>
      <w:pPr>
        <w:sectPr>
          <w:pgSz w:w="11900" w:h="16838" w:orient="portrait"/>
          <w:cols w:equalWidth="0" w:num="1">
            <w:col w:w="11240"/>
          </w:cols>
          <w:pgMar w:left="320" w:top="854"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7"/>
          <w:szCs w:val="17"/>
          <w:color w:val="auto"/>
        </w:rPr>
        <w:t>In connection with the Annual Report of The Pennant Group, Inc. (the Company) on Form 10-K for the period ended December 31, 2025, as filed with the Securities and Exchange Commission on the date hereof (the Report), I, Brent J. Guerisoli, Chief Executive Officer of the Company, certify, pursuant to 18 U.S.C. § 1350, as adopted pursuant to Section 906 of the Sarbanes-Oxley Act of 2002, that to my knowledge:</w:t>
      </w:r>
    </w:p>
    <w:p>
      <w:pPr>
        <w:spacing w:after="0" w:line="240" w:lineRule="exact"/>
        <w:rPr>
          <w:sz w:val="20"/>
          <w:szCs w:val="20"/>
          <w:color w:val="auto"/>
        </w:rPr>
      </w:pPr>
    </w:p>
    <w:p>
      <w:pPr>
        <w:ind w:left="680" w:hanging="337"/>
        <w:spacing w:after="0"/>
        <w:tabs>
          <w:tab w:leader="none" w:pos="68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sz w:val="20"/>
          <w:szCs w:val="20"/>
          <w:color w:val="auto"/>
        </w:rPr>
      </w:pPr>
    </w:p>
    <w:p>
      <w:pPr>
        <w:ind w:left="680" w:hanging="337"/>
        <w:spacing w:after="0"/>
        <w:tabs>
          <w:tab w:leader="none" w:pos="6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7"/>
          <w:szCs w:val="17"/>
          <w:color w:val="auto"/>
        </w:rPr>
        <w:t>/s/ BRENT J. GUERISOLI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3423920</wp:posOffset>
            </wp:positionH>
            <wp:positionV relativeFrom="paragraph">
              <wp:posOffset>17145</wp:posOffset>
            </wp:positionV>
            <wp:extent cx="279146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extLst>
                    </a:blip>
                    <a:srcRect/>
                    <a:stretch>
                      <a:fillRect/>
                    </a:stretch>
                  </pic:blipFill>
                  <pic:spPr bwMode="auto">
                    <a:xfrm>
                      <a:off x="0" y="0"/>
                      <a:ext cx="2791460" cy="8255"/>
                    </a:xfrm>
                    <a:prstGeom prst="rect">
                      <a:avLst/>
                    </a:prstGeom>
                    <a:noFill/>
                  </pic:spPr>
                </pic:pic>
              </a:graphicData>
            </a:graphic>
          </wp:anchor>
        </w:drawing>
      </w:r>
    </w:p>
    <w:p>
      <w:pPr>
        <w:spacing w:after="0" w:line="17" w:lineRule="exact"/>
        <w:rPr>
          <w:sz w:val="20"/>
          <w:szCs w:val="20"/>
          <w:color w:val="auto"/>
        </w:rPr>
      </w:pPr>
    </w:p>
    <w:p>
      <w:pPr>
        <w:ind w:left="5580"/>
        <w:spacing w:after="0"/>
        <w:tabs>
          <w:tab w:leader="none" w:pos="6220" w:val="left"/>
        </w:tabs>
        <w:rPr>
          <w:sz w:val="20"/>
          <w:szCs w:val="20"/>
          <w:color w:val="auto"/>
        </w:rPr>
      </w:pPr>
      <w:r>
        <w:rPr>
          <w:rFonts w:ascii="Times New Roman" w:cs="Times New Roman" w:eastAsia="Times New Roman" w:hAnsi="Times New Roman"/>
          <w:sz w:val="17"/>
          <w:szCs w:val="17"/>
          <w:color w:val="auto"/>
        </w:rPr>
        <w:t>Name:</w:t>
        <w:tab/>
        <w:t>Brent J. Guerisoli</w:t>
      </w:r>
    </w:p>
    <w:tbl>
      <w:tblPr>
        <w:tblLayout w:type="fixed"/>
        <w:tblInd w:w="5400" w:type="dxa"/>
        <w:tblCellMar>
          <w:top w:w="0" w:type="dxa"/>
          <w:left w:w="0" w:type="dxa"/>
          <w:bottom w:w="0" w:type="dxa"/>
          <w:right w:w="0" w:type="dxa"/>
        </w:tblCellMar>
      </w:tblPr>
      <w:tr>
        <w:trPr>
          <w:trHeight w:val="195"/>
        </w:trPr>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Title:</w:t>
            </w:r>
          </w:p>
        </w:tc>
        <w:tc>
          <w:tcPr>
            <w:tcW w:w="330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Chief Executive Officer (Principal Executive</w:t>
            </w:r>
          </w:p>
        </w:tc>
        <w:tc>
          <w:tcPr>
            <w:tcW w:w="0" w:type="dxa"/>
            <w:vAlign w:val="bottom"/>
          </w:tcPr>
          <w:p>
            <w:pPr>
              <w:spacing w:after="0"/>
              <w:rPr>
                <w:sz w:val="1"/>
                <w:szCs w:val="1"/>
                <w:color w:val="auto"/>
              </w:rPr>
            </w:pPr>
          </w:p>
        </w:tc>
      </w:tr>
      <w:tr>
        <w:trPr>
          <w:trHeight w:val="142"/>
        </w:trPr>
        <w:tc>
          <w:tcPr>
            <w:tcW w:w="620" w:type="dxa"/>
            <w:vAlign w:val="bottom"/>
            <w:vMerge w:val="continue"/>
          </w:tcPr>
          <w:p>
            <w:pPr>
              <w:spacing w:after="0"/>
              <w:rPr>
                <w:sz w:val="12"/>
                <w:szCs w:val="12"/>
                <w:color w:val="auto"/>
              </w:rPr>
            </w:pPr>
          </w:p>
        </w:tc>
        <w:tc>
          <w:tcPr>
            <w:tcW w:w="33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i w:val="1"/>
                <w:iCs w:val="1"/>
                <w:color w:val="auto"/>
              </w:rPr>
              <w:t>Officer)</w:t>
            </w:r>
          </w:p>
        </w:tc>
        <w:tc>
          <w:tcPr>
            <w:tcW w:w="0" w:type="dxa"/>
            <w:vAlign w:val="bottom"/>
          </w:tcPr>
          <w:p>
            <w:pPr>
              <w:spacing w:after="0"/>
              <w:rPr>
                <w:sz w:val="1"/>
                <w:szCs w:val="1"/>
                <w:color w:val="auto"/>
              </w:rPr>
            </w:pPr>
          </w:p>
        </w:tc>
      </w:tr>
      <w:tr>
        <w:trPr>
          <w:trHeight w:val="85"/>
        </w:trPr>
        <w:tc>
          <w:tcPr>
            <w:tcW w:w="620" w:type="dxa"/>
            <w:vAlign w:val="bottom"/>
          </w:tcPr>
          <w:p>
            <w:pPr>
              <w:spacing w:after="0"/>
              <w:rPr>
                <w:sz w:val="7"/>
                <w:szCs w:val="7"/>
                <w:color w:val="auto"/>
              </w:rPr>
            </w:pPr>
          </w:p>
        </w:tc>
        <w:tc>
          <w:tcPr>
            <w:tcW w:w="3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4"/>
        </w:trPr>
        <w:tc>
          <w:tcPr>
            <w:tcW w:w="3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February 25, 2026</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right="560"/>
        <w:spacing w:after="0" w:line="292" w:lineRule="auto"/>
        <w:rPr>
          <w:sz w:val="20"/>
          <w:szCs w:val="20"/>
          <w:color w:val="auto"/>
        </w:rPr>
      </w:pPr>
      <w:r>
        <w:rPr>
          <w:rFonts w:ascii="Times New Roman" w:cs="Times New Roman" w:eastAsia="Times New Roman" w:hAnsi="Times New Roman"/>
          <w:sz w:val="17"/>
          <w:szCs w:val="17"/>
          <w:i w:val="1"/>
          <w:iCs w:val="1"/>
          <w:color w:val="auto"/>
        </w:rPr>
        <w:t>A signed original of this written statement required by 18 U.S.C. Section 1350 has been provided to the Company and will be retained by the Company and furnished to the Securities and Exchange Commission or its staff upon request.</w:t>
      </w:r>
    </w:p>
    <w:p>
      <w:pPr>
        <w:sectPr>
          <w:pgSz w:w="11900" w:h="16838" w:orient="portrait"/>
          <w:cols w:equalWidth="0" w:num="1">
            <w:col w:w="11240"/>
          </w:cols>
          <w:pgMar w:left="320" w:top="854"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18 U.S.C. §1350,</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connection with the Annual Report of The Pennant Group, Inc. (the Company) on Form 10-K for the period ended December 31, 2025, as filed with the Securities and Exchange Commission on the date hereof (the Report), I, Lynette B. Walbom, Chief Financial Officer of the Company, certify, pursuant to 18 U.S.C. § 1350, as adopted pursuant to Section 906 of the Sarbanes-Oxley Act of 2002, that to my knowledge:</w:t>
      </w:r>
    </w:p>
    <w:p>
      <w:pPr>
        <w:spacing w:after="0" w:line="230" w:lineRule="exact"/>
        <w:rPr>
          <w:sz w:val="20"/>
          <w:szCs w:val="20"/>
          <w:color w:val="auto"/>
        </w:rPr>
      </w:pPr>
    </w:p>
    <w:p>
      <w:pPr>
        <w:ind w:left="680" w:hanging="337"/>
        <w:spacing w:after="0"/>
        <w:tabs>
          <w:tab w:leader="none" w:pos="6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217" w:lineRule="exact"/>
        <w:rPr>
          <w:sz w:val="20"/>
          <w:szCs w:val="20"/>
          <w:color w:val="auto"/>
        </w:rPr>
      </w:pPr>
    </w:p>
    <w:p>
      <w:pPr>
        <w:ind w:left="680" w:hanging="337"/>
        <w:spacing w:after="0"/>
        <w:tabs>
          <w:tab w:leader="none" w:pos="68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/s/ LYNETTE B. WALBOM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17145</wp:posOffset>
            </wp:positionV>
            <wp:extent cx="276669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2766695" cy="8255"/>
                    </a:xfrm>
                    <a:prstGeom prst="rect">
                      <a:avLst/>
                    </a:prstGeom>
                    <a:noFill/>
                  </pic:spPr>
                </pic:pic>
              </a:graphicData>
            </a:graphic>
          </wp:anchor>
        </w:drawing>
      </w:r>
    </w:p>
    <w:p>
      <w:pPr>
        <w:spacing w:after="0" w:line="17" w:lineRule="exact"/>
        <w:rPr>
          <w:sz w:val="20"/>
          <w:szCs w:val="20"/>
          <w:color w:val="auto"/>
        </w:rPr>
      </w:pPr>
    </w:p>
    <w:p>
      <w:pPr>
        <w:ind w:left="5440"/>
        <w:spacing w:after="0"/>
        <w:tabs>
          <w:tab w:leader="none" w:pos="6220" w:val="left"/>
        </w:tabs>
        <w:rPr>
          <w:sz w:val="20"/>
          <w:szCs w:val="20"/>
          <w:color w:val="auto"/>
        </w:rPr>
      </w:pPr>
      <w:r>
        <w:rPr>
          <w:rFonts w:ascii="Times New Roman" w:cs="Times New Roman" w:eastAsia="Times New Roman" w:hAnsi="Times New Roman"/>
          <w:sz w:val="17"/>
          <w:szCs w:val="17"/>
          <w:color w:val="auto"/>
        </w:rPr>
        <w:t>Name:</w:t>
      </w:r>
      <w:r>
        <w:rPr>
          <w:sz w:val="20"/>
          <w:szCs w:val="20"/>
          <w:color w:val="auto"/>
        </w:rPr>
        <w:tab/>
      </w:r>
      <w:r>
        <w:rPr>
          <w:rFonts w:ascii="Times New Roman" w:cs="Times New Roman" w:eastAsia="Times New Roman" w:hAnsi="Times New Roman"/>
          <w:sz w:val="17"/>
          <w:szCs w:val="17"/>
          <w:color w:val="auto"/>
        </w:rPr>
        <w:t>Lynette B. Walbom</w:t>
      </w:r>
    </w:p>
    <w:p>
      <w:pPr>
        <w:spacing w:after="0" w:line="14"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7"/>
          <w:szCs w:val="17"/>
          <w:i w:val="1"/>
          <w:iCs w:val="1"/>
          <w:color w:val="auto"/>
        </w:rPr>
        <w:t>Chief Financial Officer (Principal Financial</w:t>
      </w:r>
    </w:p>
    <w:p>
      <w:pPr>
        <w:ind w:left="5440"/>
        <w:spacing w:after="0" w:line="221" w:lineRule="auto"/>
        <w:tabs>
          <w:tab w:leader="none" w:pos="622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i w:val="1"/>
          <w:iCs w:val="1"/>
          <w:color w:val="auto"/>
        </w:rPr>
        <w:t>Officer, Principal Accounting Officer and Duly</w:t>
      </w:r>
    </w:p>
    <w:p>
      <w:pPr>
        <w:ind w:left="6240"/>
        <w:spacing w:after="0"/>
        <w:rPr>
          <w:sz w:val="20"/>
          <w:szCs w:val="20"/>
          <w:color w:val="auto"/>
        </w:rPr>
      </w:pPr>
      <w:r>
        <w:rPr>
          <w:rFonts w:ascii="Times New Roman" w:cs="Times New Roman" w:eastAsia="Times New Roman" w:hAnsi="Times New Roman"/>
          <w:sz w:val="17"/>
          <w:szCs w:val="17"/>
          <w:i w:val="1"/>
          <w:iCs w:val="1"/>
          <w:color w:val="auto"/>
        </w:rPr>
        <w:t>Authorized Officer)</w:t>
      </w:r>
    </w:p>
    <w:p>
      <w:pPr>
        <w:spacing w:after="0" w:line="225"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7"/>
          <w:szCs w:val="17"/>
          <w:color w:val="auto"/>
        </w:rPr>
        <w:t>February 25, 2026</w:t>
      </w:r>
    </w:p>
    <w:p>
      <w:pPr>
        <w:spacing w:after="0" w:line="329" w:lineRule="exact"/>
        <w:rPr>
          <w:sz w:val="20"/>
          <w:szCs w:val="20"/>
          <w:color w:val="auto"/>
        </w:rPr>
      </w:pPr>
    </w:p>
    <w:p>
      <w:pPr>
        <w:ind w:right="560"/>
        <w:spacing w:after="0" w:line="292" w:lineRule="auto"/>
        <w:rPr>
          <w:sz w:val="20"/>
          <w:szCs w:val="20"/>
          <w:color w:val="auto"/>
        </w:rPr>
      </w:pPr>
      <w:r>
        <w:rPr>
          <w:rFonts w:ascii="Times New Roman" w:cs="Times New Roman" w:eastAsia="Times New Roman" w:hAnsi="Times New Roman"/>
          <w:sz w:val="17"/>
          <w:szCs w:val="17"/>
          <w:i w:val="1"/>
          <w:iCs w:val="1"/>
          <w:color w:val="auto"/>
        </w:rPr>
        <w:t>A signed original of this written statement required by 18 U.S.C. Section 1350 has been provided to the Company and will be retained by the Company and furnished to the Securities and Exchange Commission or its staff upon request.</w:t>
      </w:r>
    </w:p>
    <w:sectPr>
      <w:pgSz w:w="11900" w:h="16838" w:orient="portrait"/>
      <w:cols w:equalWidth="0" w:num="1">
        <w:col w:w="11240"/>
      </w:cols>
      <w:pgMar w:left="320" w:top="8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208"/>
    </w:lvl>
  </w:abstractNum>
  <w:abstractNum w:abstractNumId="3">
    <w:nsid w:val="4353D0CD"/>
    <w:multiLevelType w:val="hybridMultilevel"/>
    <w:lvl w:ilvl="0">
      <w:lvlJc w:val="left"/>
      <w:lvlText w:val="(%1)"/>
      <w:numFmt w:val="lowerLetter"/>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1."/>
      <w:numFmt w:val="decimal"/>
      <w:start w:val="5"/>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lowerLetter"/>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1)"/>
      <w:numFmt w:val="lowerLetter"/>
      <w:start w:val="1"/>
    </w:lvl>
  </w:abstractNum>
  <w:abstractNum w:abstractNumId="18">
    <w:nsid w:val="4516DDE9"/>
    <w:multiLevelType w:val="hybridMultilevel"/>
    <w:lvl w:ilvl="0">
      <w:lvlJc w:val="left"/>
      <w:lvlText w:val="(%1)"/>
      <w:numFmt w:val="lowerLetter"/>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lowerLetter"/>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lowerLetter"/>
      <w:start w:val="1"/>
    </w:lvl>
  </w:abstractNum>
  <w:abstractNum w:abstractNumId="26">
    <w:nsid w:val="77465F01"/>
    <w:multiLevelType w:val="hybridMultilevel"/>
    <w:lvl w:ilvl="0">
      <w:lvlJc w:val="left"/>
      <w:lvlText w:val="(%1)"/>
      <w:numFmt w:val="lowerLetter"/>
      <w:start w:val="1"/>
    </w:lvl>
  </w:abstractNum>
  <w:abstractNum w:abstractNumId="27">
    <w:nsid w:val="7724C67E"/>
    <w:multiLevelType w:val="hybridMultilevel"/>
    <w:lvl w:ilvl="0">
      <w:lvlJc w:val="left"/>
      <w:lvlText w:val="•"/>
      <w:numFmt w:val="bullet"/>
      <w:start w:val="1"/>
    </w:lvl>
    <w:lvl w:ilvl="1">
      <w:lvlJc w:val="left"/>
      <w:lvlText w:val="◦"/>
      <w:numFmt w:val="bullet"/>
      <w:start w:val="1"/>
    </w:lvl>
  </w:abstractNum>
  <w:abstractNum w:abstractNumId="28">
    <w:nsid w:val="5C482A97"/>
    <w:multiLevelType w:val="hybridMultilevel"/>
    <w:lvl w:ilvl="0">
      <w:lvlJc w:val="left"/>
      <w:lvlText w:val="%1"/>
      <w:numFmt w:val="decimal"/>
      <w:start w:val="1"/>
    </w:lvl>
    <w:lvl w:ilvl="1">
      <w:lvlJc w:val="left"/>
      <w:lvlText w:val="(%2)"/>
      <w:numFmt w:val="lowerLetter"/>
      <w:start w:val="1"/>
    </w:lvl>
  </w:abstractNum>
  <w:abstractNum w:abstractNumId="29">
    <w:nsid w:val="2463B9EA"/>
    <w:multiLevelType w:val="hybridMultilevel"/>
    <w:lvl w:ilvl="0">
      <w:lvlJc w:val="left"/>
      <w:lvlText w:val="%1."/>
      <w:numFmt w:val="decimal"/>
      <w:start w:val="5"/>
    </w:lvl>
    <w:lvl w:ilvl="1">
      <w:lvlJc w:val="left"/>
      <w:lvlText w:val="%2"/>
      <w:numFmt w:val="lowerLetter"/>
      <w:start w:val="1"/>
    </w:lvl>
  </w:abstractNum>
  <w:abstractNum w:abstractNumId="30">
    <w:nsid w:val="5E884ADC"/>
    <w:multiLevelType w:val="hybridMultilevel"/>
    <w:lvl w:ilvl="0">
      <w:lvlJc w:val="left"/>
      <w:lvlText w:val="(%1)"/>
      <w:numFmt w:val="lowerLetter"/>
      <w:start w:val="1"/>
    </w:lvl>
  </w:abstractNum>
  <w:abstractNum w:abstractNumId="31">
    <w:nsid w:val="51EAD36B"/>
    <w:multiLevelType w:val="hybridMultilevel"/>
    <w:lvl w:ilvl="0">
      <w:lvlJc w:val="left"/>
      <w:lvlText w:val="(%1)"/>
      <w:numFmt w:val="lowerLetter"/>
      <w:start w:val="1"/>
    </w:lvl>
  </w:abstractNum>
  <w:abstractNum w:abstractNumId="32">
    <w:nsid w:val="2D517796"/>
    <w:multiLevelType w:val="hybridMultilevel"/>
    <w:lvl w:ilvl="0">
      <w:lvlJc w:val="left"/>
      <w:lvlText w:val="(%1)"/>
      <w:numFmt w:val="lowerLetter"/>
      <w:start w:val="1"/>
    </w:lvl>
  </w:abstractNum>
  <w:abstractNum w:abstractNumId="33">
    <w:nsid w:val="580BD78F"/>
    <w:multiLevelType w:val="hybridMultilevel"/>
    <w:lvl w:ilvl="0">
      <w:lvlJc w:val="left"/>
      <w:lvlText w:val="(%1)"/>
      <w:numFmt w:val="lowerLetter"/>
      <w:start w:val="1"/>
    </w:lvl>
  </w:abstractNum>
  <w:abstractNum w:abstractNumId="34">
    <w:nsid w:val="153EA438"/>
    <w:multiLevelType w:val="hybridMultilevel"/>
    <w:lvl w:ilvl="0">
      <w:lvlJc w:val="left"/>
      <w:lvlText w:val="(%1)"/>
      <w:numFmt w:val="lowerLetter"/>
      <w:start w:val="1"/>
    </w:lvl>
  </w:abstractNum>
  <w:abstractNum w:abstractNumId="35">
    <w:nsid w:val="3855585C"/>
    <w:multiLevelType w:val="hybridMultilevel"/>
    <w:lvl w:ilvl="0">
      <w:lvlJc w:val="left"/>
      <w:lvlText w:val="(%1)"/>
      <w:numFmt w:val="lowerLetter"/>
      <w:start w:val="1"/>
    </w:lvl>
  </w:abstractNum>
  <w:abstractNum w:abstractNumId="36">
    <w:nsid w:val="70A64E2A"/>
    <w:multiLevelType w:val="hybridMultilevel"/>
    <w:lvl w:ilvl="0">
      <w:lvlJc w:val="left"/>
      <w:lvlText w:val="(%1)"/>
      <w:numFmt w:val="lowerLetter"/>
      <w:start w:val="1"/>
    </w:lvl>
  </w:abstractNum>
  <w:abstractNum w:abstractNumId="37">
    <w:nsid w:val="6A2342EC"/>
    <w:multiLevelType w:val="hybridMultilevel"/>
    <w:lvl w:ilvl="0">
      <w:lvlJc w:val="left"/>
      <w:lvlText w:val="(%1)"/>
      <w:numFmt w:val="lowerLetter"/>
      <w:start w:val="1"/>
    </w:lvl>
  </w:abstractNum>
  <w:abstractNum w:abstractNumId="38">
    <w:nsid w:val="2A487CB0"/>
    <w:multiLevelType w:val="hybridMultilevel"/>
    <w:lvl w:ilvl="0">
      <w:lvlJc w:val="left"/>
      <w:lvlText w:val="(%1)"/>
      <w:numFmt w:val="lowerLetter"/>
      <w:start w:val="1"/>
    </w:lvl>
  </w:abstractNum>
  <w:abstractNum w:abstractNumId="39">
    <w:nsid w:val="1D4ED43B"/>
    <w:multiLevelType w:val="hybridMultilevel"/>
    <w:lvl w:ilvl="0">
      <w:lvlJc w:val="left"/>
      <w:lvlText w:val="(%1)"/>
      <w:numFmt w:val="lowerLetter"/>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1."/>
      <w:numFmt w:val="decimal"/>
      <w:start w:val="1"/>
    </w:lvl>
    <w:lvl w:ilvl="1">
      <w:lvlJc w:val="left"/>
      <w:lvlText w:val="(%2)"/>
      <w:numFmt w:val="lowerLetter"/>
      <w:start w:val="1"/>
    </w:lvl>
  </w:abstractNum>
  <w:abstractNum w:abstractNumId="42">
    <w:nsid w:val="57E4CCAF"/>
    <w:multiLevelType w:val="hybridMultilevel"/>
    <w:lvl w:ilvl="0">
      <w:lvlJc w:val="left"/>
      <w:lvlText w:val="%1."/>
      <w:numFmt w:val="decimal"/>
      <w:start w:val="1"/>
    </w:lvl>
    <w:lvl w:ilvl="1">
      <w:lvlJc w:val="left"/>
      <w:lvlText w:val="(%2)"/>
      <w:numFmt w:val="lowerLetter"/>
      <w:start w:val="1"/>
    </w:lvl>
  </w:abstractNum>
  <w:abstractNum w:abstractNumId="43">
    <w:nsid w:val="7A6D8D3C"/>
    <w:multiLevelType w:val="hybridMultilevel"/>
    <w:lvl w:ilvl="0">
      <w:lvlJc w:val="left"/>
      <w:lvlText w:val="1"/>
      <w:numFmt w:val="bullet"/>
      <w:start w:val="1"/>
    </w:lvl>
  </w:abstractNum>
  <w:abstractNum w:abstractNumId="44">
    <w:nsid w:val="4B588F54"/>
    <w:multiLevelType w:val="hybridMultilevel"/>
    <w:lvl w:ilvl="0">
      <w:lvlJc w:val="left"/>
      <w:lvlText w:val="2"/>
      <w:numFmt w:val="bullet"/>
      <w:start w:val="1"/>
    </w:lvl>
  </w:abstractNum>
  <w:abstractNum w:abstractNumId="45">
    <w:nsid w:val="542289EC"/>
    <w:multiLevelType w:val="hybridMultilevel"/>
    <w:lvl w:ilvl="0">
      <w:lvlJc w:val="left"/>
      <w:lvlText w:val="1"/>
      <w:numFmt w:val="bullet"/>
      <w:start w:val="1"/>
    </w:lvl>
  </w:abstractNum>
  <w:abstractNum w:abstractNumId="46">
    <w:nsid w:val="6DE91B1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39" Type="http://schemas.openxmlformats.org/officeDocument/2006/relationships/image" Target="media/image106.png"/><Relationship Id="rId140"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148" Type="http://schemas.openxmlformats.org/officeDocument/2006/relationships/image" Target="media/image111.png"/><Relationship Id="rId149" Type="http://schemas.openxmlformats.org/officeDocument/2006/relationships/image" Target="media/image112.png"/><Relationship Id="rId111" Type="http://schemas.openxmlformats.org/officeDocument/2006/relationships/hyperlink" Target="https://www.sec.gov/Archives/edgar/data/1766400/000119312519260914/d812063dex21.htm" TargetMode="External"/><Relationship Id="rId112" Type="http://schemas.openxmlformats.org/officeDocument/2006/relationships/hyperlink" Target="https://www.sec.gov/Archives/edgar/data/1766400/000176640022000025/ota-form2022x01x27.htm" TargetMode="External"/><Relationship Id="rId113" Type="http://schemas.openxmlformats.org/officeDocument/2006/relationships/hyperlink" Target="https://www.sec.gov/Archives/edgar/data/1766400/000119312519260914/d812063dex31.htm" TargetMode="External"/><Relationship Id="rId114" Type="http://schemas.openxmlformats.org/officeDocument/2006/relationships/hyperlink" Target="https://www.sec.gov/Archives/edgar/data/1766400/000176640022000027/pntg2ndarbylaws.htm" TargetMode="External"/><Relationship Id="rId115" Type="http://schemas.openxmlformats.org/officeDocument/2006/relationships/hyperlink" Target="https://www.sec.gov/Archives/edgar/data/1766400/000176640020000034/descriptionofsecuritie.htm" TargetMode="External"/><Relationship Id="rId116" Type="http://schemas.openxmlformats.org/officeDocument/2006/relationships/hyperlink" Target="https://www.sec.gov/Archives/edgar/data/1766400/000110465924086328/tm2420941d2_ex4-4.htm" TargetMode="External"/><Relationship Id="rId117" Type="http://schemas.openxmlformats.org/officeDocument/2006/relationships/hyperlink" Target="https://www.sec.gov/Archives/edgar/data/1766400/000119312519260914/d812063dex101.htm" TargetMode="External"/><Relationship Id="rId118" Type="http://schemas.openxmlformats.org/officeDocument/2006/relationships/hyperlink" Target="https://www.sec.gov/Archives/edgar/data/1766400/000119312519260914/d812063dex102.htm" TargetMode="External"/><Relationship Id="rId119" Type="http://schemas.openxmlformats.org/officeDocument/2006/relationships/hyperlink" Target="https://www.sec.gov/Archives/edgar/data/1766400/000119312519260914/d812063dex103.htm" TargetMode="External"/><Relationship Id="rId122" Type="http://schemas.openxmlformats.org/officeDocument/2006/relationships/hyperlink" Target="https://www.sec.gov/Archives/edgar/data/1766400/000119312519224516/d693607dex104.htm" TargetMode="External"/><Relationship Id="rId123" Type="http://schemas.openxmlformats.org/officeDocument/2006/relationships/hyperlink" Target="https://www.sec.gov/Archives/edgar/data/1766400/000176640025000077/exhibit45pntgar2019incenti.htm" TargetMode="External"/><Relationship Id="rId124" Type="http://schemas.openxmlformats.org/officeDocument/2006/relationships/hyperlink" Target="https://www.sec.gov/Archives/edgar/data/1766400/000119312519224516/d693607dex106.htm" TargetMode="External"/><Relationship Id="rId125" Type="http://schemas.openxmlformats.org/officeDocument/2006/relationships/hyperlink" Target="https://www.sec.gov/Archives/edgar/data/1766400/000119312519224516/d693607dex107.htm" TargetMode="External"/><Relationship Id="rId126" Type="http://schemas.openxmlformats.org/officeDocument/2006/relationships/hyperlink" Target="https://www.sec.gov/Archives/edgar/data/1766400/000119312519224516/d693607dex108.htm" TargetMode="External"/><Relationship Id="rId127" Type="http://schemas.openxmlformats.org/officeDocument/2006/relationships/hyperlink" Target="https://www.sec.gov/Archives/edgar/data/1766400/000119312519260914/d812063dex1011.htm" TargetMode="External"/><Relationship Id="rId128" Type="http://schemas.openxmlformats.org/officeDocument/2006/relationships/hyperlink" Target="https://www.sec.gov/Archives/edgar/data/1766400/000119312519224516/d693607dex1010.htm" TargetMode="External"/><Relationship Id="rId129" Type="http://schemas.openxmlformats.org/officeDocument/2006/relationships/hyperlink" Target="https://www.sec.gov/Archives/edgar/data/1766400/000119312519224516/d693607dex1011.htm" TargetMode="External"/><Relationship Id="rId130" Type="http://schemas.openxmlformats.org/officeDocument/2006/relationships/hyperlink" Target="https://www.sec.gov/Archives/edgar/data/1766400/000176640021000035/pntgconformedamendedcredit.htm" TargetMode="External"/><Relationship Id="rId131" Type="http://schemas.openxmlformats.org/officeDocument/2006/relationships/hyperlink" Target="https://www.sec.gov/Archives/edgar/data/1125376/000112537616000216/ex102cornerstoneomnibusinc.htm" TargetMode="External"/><Relationship Id="rId132" Type="http://schemas.openxmlformats.org/officeDocument/2006/relationships/hyperlink" Target="https://www.sec.gov/Archives/edgar/data/1125376/000112537617000035/a2016proxystatement.htm#s79c1f29a0e9c477ca771e6b5687c20a1" TargetMode="External"/><Relationship Id="rId133" Type="http://schemas.openxmlformats.org/officeDocument/2006/relationships/hyperlink" Target="https://www.sec.gov/Archives/edgar/data/1766400/000176640022000112/pntg-consultingagreement.htm" TargetMode="External"/><Relationship Id="rId134" Type="http://schemas.openxmlformats.org/officeDocument/2006/relationships/hyperlink" Target="https://www.sec.gov/Archives/edgar/data/1766400/000176640022000112/pntg-rsuamendmentletterxdw.htm" TargetMode="External"/><Relationship Id="rId135" Type="http://schemas.openxmlformats.org/officeDocument/2006/relationships/hyperlink" Target="https://www.sec.gov/Archives/edgar/data/1766400/000176640023000073/ex101conformedamendedcredi.htm" TargetMode="External"/><Relationship Id="rId136" Type="http://schemas.openxmlformats.org/officeDocument/2006/relationships/hyperlink" Target="https://www.sec.gov/Archives/edgar/data/1766400/000176640024000090/pntg-amendedandrestatedcre.htm" TargetMode="External"/><Relationship Id="rId137" Type="http://schemas.openxmlformats.org/officeDocument/2006/relationships/hyperlink" Target="https://www.sec.gov/Archives/edgar/data/1766400/000176640025000103/purchaseagreementunhpntg-e.htm" TargetMode="External"/><Relationship Id="rId138" Type="http://schemas.openxmlformats.org/officeDocument/2006/relationships/hyperlink" Target="https://www.sec.gov/Archives/edgar/data/1766400/000176640025000114/ptnguhgamendmenttopurchase.htm" TargetMode="External"/><Relationship Id="rId141" Type="http://schemas.openxmlformats.org/officeDocument/2006/relationships/hyperlink" Target="https://www.sec.gov/Archives/edgar/data/1766400/000176640025000141/pntg-firstamendmenttoarcre.htm" TargetMode="External"/><Relationship Id="rId142" Type="http://schemas.openxmlformats.org/officeDocument/2006/relationships/hyperlink" Target="https://www.sec.gov/Archives/edgar/data/1766400/000176640025000141/rl-pennantxconformedcredit.htm" TargetMode="External"/><Relationship Id="rId143" Type="http://schemas.openxmlformats.org/officeDocument/2006/relationships/hyperlink" Target="https://www.sec.gov/Archives/edgar/data/1766400/000176640025000024/insidertradingpolicy-ex191.htm" TargetMode="External"/><Relationship Id="rId144" Type="http://schemas.openxmlformats.org/officeDocument/2006/relationships/hyperlink" Target="https://www.sec.gov/Archives/edgar/data/1766400/000176640025000024/clawbackpolicy-exhibit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2026-02-26T07:16:42Z</dcterms:created>
  <dcterms:modified xsi:type="dcterms:W3CDTF">2026-02-26T07:16:42Z</dcterms:modified>
</cp:coreProperties>
</file>