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_____________________________</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31" w:lineRule="exact"/>
        <w:rPr>
          <w:sz w:val="24"/>
          <w:szCs w:val="24"/>
          <w:color w:val="auto"/>
        </w:rPr>
      </w:pPr>
    </w:p>
    <w:p>
      <w:pPr>
        <w:ind w:left="760" w:hanging="455"/>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46" w:lineRule="exact"/>
        <w:rPr>
          <w:sz w:val="24"/>
          <w:szCs w:val="24"/>
          <w:color w:val="auto"/>
        </w:rPr>
      </w:pPr>
    </w:p>
    <w:p>
      <w:pPr>
        <w:ind w:left="760" w:hanging="455"/>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3" w:lineRule="exact"/>
        <w:rPr>
          <w:sz w:val="24"/>
          <w:szCs w:val="24"/>
          <w:color w:val="auto"/>
        </w:rPr>
      </w:pPr>
    </w:p>
    <w:tbl>
      <w:tblPr>
        <w:tblLayout w:type="fixed"/>
        <w:tblInd w:w="180"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Arial" w:cs="Arial" w:eastAsia="Arial" w:hAnsi="Arial"/>
                <w:sz w:val="16"/>
                <w:szCs w:val="16"/>
                <w:b w:val="1"/>
                <w:bCs w:val="1"/>
                <w:color w:val="auto"/>
                <w:w w:val="93"/>
              </w:rPr>
              <w:t>For the transition period from</w:t>
            </w:r>
          </w:p>
        </w:tc>
        <w:tc>
          <w:tcPr>
            <w:tcW w:w="8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c>
          <w:tcPr>
            <w:tcW w:w="5140" w:type="dxa"/>
            <w:vAlign w:val="bottom"/>
            <w:gridSpan w:val="2"/>
          </w:tcPr>
          <w:p>
            <w:pPr>
              <w:jc w:val="right"/>
              <w:ind w:right="4699"/>
              <w:spacing w:after="0"/>
              <w:rPr>
                <w:sz w:val="20"/>
                <w:szCs w:val="20"/>
                <w:color w:val="auto"/>
              </w:rPr>
            </w:pPr>
            <w:r>
              <w:rPr>
                <w:rFonts w:ascii="Arial" w:cs="Arial" w:eastAsia="Arial" w:hAnsi="Arial"/>
                <w:sz w:val="16"/>
                <w:szCs w:val="16"/>
                <w:b w:val="1"/>
                <w:bCs w:val="1"/>
                <w:color w:val="auto"/>
              </w:rPr>
              <w:t>.</w:t>
            </w:r>
          </w:p>
        </w:tc>
      </w:tr>
      <w:tr>
        <w:trPr>
          <w:trHeight w:val="379"/>
        </w:trPr>
        <w:tc>
          <w:tcPr>
            <w:tcW w:w="2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820" w:type="dxa"/>
            <w:vAlign w:val="bottom"/>
          </w:tcPr>
          <w:p>
            <w:pPr>
              <w:jc w:val="center"/>
              <w:ind w:right="1759"/>
              <w:spacing w:after="0"/>
              <w:rPr>
                <w:sz w:val="20"/>
                <w:szCs w:val="20"/>
                <w:color w:val="auto"/>
              </w:rPr>
            </w:pPr>
            <w:r>
              <w:rPr>
                <w:rFonts w:ascii="Arial" w:cs="Arial" w:eastAsia="Arial" w:hAnsi="Arial"/>
                <w:sz w:val="16"/>
                <w:szCs w:val="16"/>
                <w:b w:val="1"/>
                <w:bCs w:val="1"/>
                <w:color w:val="auto"/>
                <w:w w:val="91"/>
              </w:rPr>
              <w:t>Commission file number: 001-38900</w:t>
            </w:r>
          </w:p>
        </w:tc>
      </w:tr>
      <w:tr>
        <w:trPr>
          <w:trHeight w:val="263"/>
        </w:trPr>
        <w:tc>
          <w:tcPr>
            <w:tcW w:w="2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140" w:type="dxa"/>
            <w:vAlign w:val="bottom"/>
            <w:gridSpan w:val="2"/>
          </w:tcPr>
          <w:p>
            <w:pPr>
              <w:jc w:val="center"/>
              <w:ind w:right="1439"/>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590"/>
        </w:trPr>
        <w:tc>
          <w:tcPr>
            <w:tcW w:w="2120" w:type="dxa"/>
            <w:vAlign w:val="bottom"/>
          </w:tcPr>
          <w:p>
            <w:pPr>
              <w:spacing w:after="0"/>
              <w:rPr>
                <w:sz w:val="24"/>
                <w:szCs w:val="24"/>
                <w:color w:val="auto"/>
              </w:rPr>
            </w:pPr>
          </w:p>
        </w:tc>
        <w:tc>
          <w:tcPr>
            <w:tcW w:w="6660" w:type="dxa"/>
            <w:vAlign w:val="bottom"/>
            <w:gridSpan w:val="5"/>
          </w:tcPr>
          <w:p>
            <w:pPr>
              <w:jc w:val="center"/>
              <w:spacing w:after="0"/>
              <w:rPr>
                <w:sz w:val="20"/>
                <w:szCs w:val="20"/>
                <w:color w:val="auto"/>
              </w:rPr>
            </w:pPr>
            <w:r>
              <w:rPr>
                <w:rFonts w:ascii="Arial" w:cs="Arial" w:eastAsia="Arial" w:hAnsi="Arial"/>
                <w:sz w:val="40"/>
                <w:szCs w:val="40"/>
                <w:b w:val="1"/>
                <w:bCs w:val="1"/>
                <w:color w:val="auto"/>
                <w:w w:val="98"/>
              </w:rPr>
              <w:t>THE PENNANT GROUP, INC.</w:t>
            </w:r>
          </w:p>
        </w:tc>
      </w:tr>
      <w:tr>
        <w:trPr>
          <w:trHeight w:val="430"/>
        </w:trPr>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40" w:type="dxa"/>
            <w:vAlign w:val="bottom"/>
            <w:gridSpan w:val="2"/>
          </w:tcPr>
          <w:p>
            <w:pPr>
              <w:jc w:val="center"/>
              <w:ind w:right="1459"/>
              <w:spacing w:after="0"/>
              <w:rPr>
                <w:sz w:val="20"/>
                <w:szCs w:val="20"/>
                <w:color w:val="auto"/>
              </w:rPr>
            </w:pPr>
            <w:r>
              <w:rPr>
                <w:rFonts w:ascii="Arial" w:cs="Arial" w:eastAsia="Arial" w:hAnsi="Arial"/>
                <w:sz w:val="16"/>
                <w:szCs w:val="16"/>
                <w:color w:val="auto"/>
                <w:w w:val="92"/>
              </w:rPr>
              <w:t>(Exact Name of Registrant as Specified in Its Charter)</w:t>
            </w:r>
          </w:p>
        </w:tc>
      </w:tr>
      <w:tr>
        <w:trPr>
          <w:trHeight w:val="229"/>
        </w:trPr>
        <w:tc>
          <w:tcPr>
            <w:tcW w:w="2120" w:type="dxa"/>
            <w:vAlign w:val="bottom"/>
          </w:tcPr>
          <w:p>
            <w:pPr>
              <w:spacing w:after="0"/>
              <w:rPr>
                <w:sz w:val="19"/>
                <w:szCs w:val="19"/>
                <w:color w:val="auto"/>
              </w:rPr>
            </w:pPr>
          </w:p>
        </w:tc>
        <w:tc>
          <w:tcPr>
            <w:tcW w:w="152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3"/>
              </w:rPr>
              <w:t>Delaware</w:t>
            </w:r>
          </w:p>
        </w:tc>
        <w:tc>
          <w:tcPr>
            <w:tcW w:w="5140" w:type="dxa"/>
            <w:vAlign w:val="bottom"/>
            <w:gridSpan w:val="2"/>
          </w:tcPr>
          <w:p>
            <w:pPr>
              <w:jc w:val="center"/>
              <w:ind w:left="3837"/>
              <w:spacing w:after="0"/>
              <w:rPr>
                <w:sz w:val="20"/>
                <w:szCs w:val="20"/>
                <w:color w:val="auto"/>
              </w:rPr>
            </w:pPr>
            <w:r>
              <w:rPr>
                <w:rFonts w:ascii="Arial" w:cs="Arial" w:eastAsia="Arial" w:hAnsi="Arial"/>
                <w:sz w:val="16"/>
                <w:szCs w:val="16"/>
                <w:b w:val="1"/>
                <w:bCs w:val="1"/>
                <w:color w:val="auto"/>
                <w:w w:val="91"/>
              </w:rPr>
              <w:t>83-3349931</w:t>
            </w:r>
          </w:p>
        </w:tc>
      </w:tr>
      <w:tr>
        <w:trPr>
          <w:trHeight w:val="216"/>
        </w:trPr>
        <w:tc>
          <w:tcPr>
            <w:tcW w:w="3640" w:type="dxa"/>
            <w:vAlign w:val="bottom"/>
            <w:gridSpan w:val="4"/>
          </w:tcPr>
          <w:p>
            <w:pPr>
              <w:jc w:val="center"/>
              <w:ind w:left="1419"/>
              <w:spacing w:after="0"/>
              <w:rPr>
                <w:sz w:val="20"/>
                <w:szCs w:val="20"/>
                <w:color w:val="auto"/>
              </w:rPr>
            </w:pPr>
            <w:r>
              <w:rPr>
                <w:rFonts w:ascii="Arial" w:cs="Arial" w:eastAsia="Arial" w:hAnsi="Arial"/>
                <w:sz w:val="16"/>
                <w:szCs w:val="16"/>
                <w:color w:val="auto"/>
                <w:w w:val="93"/>
              </w:rPr>
              <w:t>(State or Other Jurisdiction of</w:t>
            </w:r>
          </w:p>
        </w:tc>
        <w:tc>
          <w:tcPr>
            <w:tcW w:w="320" w:type="dxa"/>
            <w:vAlign w:val="bottom"/>
          </w:tcPr>
          <w:p>
            <w:pPr>
              <w:spacing w:after="0"/>
              <w:rPr>
                <w:sz w:val="18"/>
                <w:szCs w:val="18"/>
                <w:color w:val="auto"/>
              </w:rPr>
            </w:pPr>
          </w:p>
        </w:tc>
        <w:tc>
          <w:tcPr>
            <w:tcW w:w="4820" w:type="dxa"/>
            <w:vAlign w:val="bottom"/>
          </w:tcPr>
          <w:p>
            <w:pPr>
              <w:jc w:val="center"/>
              <w:ind w:left="3519"/>
              <w:spacing w:after="0"/>
              <w:rPr>
                <w:sz w:val="20"/>
                <w:szCs w:val="20"/>
                <w:color w:val="auto"/>
              </w:rPr>
            </w:pPr>
            <w:r>
              <w:rPr>
                <w:rFonts w:ascii="Arial" w:cs="Arial" w:eastAsia="Arial" w:hAnsi="Arial"/>
                <w:sz w:val="16"/>
                <w:szCs w:val="16"/>
                <w:color w:val="auto"/>
                <w:w w:val="93"/>
              </w:rPr>
              <w:t>(I.R.S. Employer</w:t>
            </w:r>
          </w:p>
        </w:tc>
      </w:tr>
      <w:tr>
        <w:trPr>
          <w:trHeight w:val="216"/>
        </w:trPr>
        <w:tc>
          <w:tcPr>
            <w:tcW w:w="3640" w:type="dxa"/>
            <w:vAlign w:val="bottom"/>
            <w:gridSpan w:val="4"/>
          </w:tcPr>
          <w:p>
            <w:pPr>
              <w:jc w:val="center"/>
              <w:ind w:left="1439"/>
              <w:spacing w:after="0"/>
              <w:rPr>
                <w:sz w:val="20"/>
                <w:szCs w:val="20"/>
                <w:color w:val="auto"/>
              </w:rPr>
            </w:pPr>
            <w:r>
              <w:rPr>
                <w:rFonts w:ascii="Arial" w:cs="Arial" w:eastAsia="Arial" w:hAnsi="Arial"/>
                <w:sz w:val="16"/>
                <w:szCs w:val="16"/>
                <w:color w:val="auto"/>
                <w:w w:val="94"/>
              </w:rPr>
              <w:t>Incorporation or Organization)</w:t>
            </w:r>
          </w:p>
        </w:tc>
        <w:tc>
          <w:tcPr>
            <w:tcW w:w="320" w:type="dxa"/>
            <w:vAlign w:val="bottom"/>
          </w:tcPr>
          <w:p>
            <w:pPr>
              <w:spacing w:after="0"/>
              <w:rPr>
                <w:sz w:val="18"/>
                <w:szCs w:val="18"/>
                <w:color w:val="auto"/>
              </w:rPr>
            </w:pPr>
          </w:p>
        </w:tc>
        <w:tc>
          <w:tcPr>
            <w:tcW w:w="4820" w:type="dxa"/>
            <w:vAlign w:val="bottom"/>
          </w:tcPr>
          <w:p>
            <w:pPr>
              <w:jc w:val="center"/>
              <w:ind w:left="3519"/>
              <w:spacing w:after="0"/>
              <w:rPr>
                <w:sz w:val="20"/>
                <w:szCs w:val="20"/>
                <w:color w:val="auto"/>
              </w:rPr>
            </w:pPr>
            <w:r>
              <w:rPr>
                <w:rFonts w:ascii="Arial" w:cs="Arial" w:eastAsia="Arial" w:hAnsi="Arial"/>
                <w:sz w:val="16"/>
                <w:szCs w:val="16"/>
                <w:color w:val="auto"/>
                <w:w w:val="97"/>
              </w:rPr>
              <w:t>Identification No.)</w:t>
            </w:r>
          </w:p>
        </w:tc>
      </w:tr>
    </w:tbl>
    <w:p>
      <w:pPr>
        <w:spacing w:after="0" w:line="87"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1675 East Riverside Drive, Suite 150, Eagle, ID 83616</w:t>
      </w:r>
    </w:p>
    <w:p>
      <w:pPr>
        <w:spacing w:after="0" w:line="23"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 and Zip Code)</w:t>
      </w:r>
    </w:p>
    <w:p>
      <w:pPr>
        <w:spacing w:after="0" w:line="5"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(208) 506-6100</w:t>
      </w:r>
    </w:p>
    <w:p>
      <w:pPr>
        <w:ind w:left="3820"/>
        <w:spacing w:after="0" w:line="235" w:lineRule="auto"/>
        <w:rPr>
          <w:sz w:val="20"/>
          <w:szCs w:val="20"/>
          <w:color w:val="auto"/>
        </w:rPr>
      </w:pPr>
      <w:r>
        <w:rPr>
          <w:rFonts w:ascii="Arial" w:cs="Arial" w:eastAsia="Arial" w:hAnsi="Arial"/>
          <w:sz w:val="16"/>
          <w:szCs w:val="16"/>
          <w:color w:val="auto"/>
        </w:rPr>
        <w:t>(Registrant’s Telephone Number, Including Area Code)</w:t>
      </w:r>
    </w:p>
    <w:p>
      <w:pPr>
        <w:jc w:val="center"/>
        <w:spacing w:after="0" w:line="211" w:lineRule="auto"/>
        <w:rPr>
          <w:sz w:val="20"/>
          <w:szCs w:val="20"/>
          <w:color w:val="auto"/>
        </w:rPr>
      </w:pPr>
      <w:r>
        <w:rPr>
          <w:rFonts w:ascii="Arial" w:cs="Arial" w:eastAsia="Arial" w:hAnsi="Arial"/>
          <w:sz w:val="16"/>
          <w:szCs w:val="16"/>
          <w:color w:val="auto"/>
        </w:rPr>
        <w:t>None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282" w:right="339" w:bottom="1440" w:gutter="0" w:footer="0" w:header="0"/>
        </w:sectPr>
      </w:pPr>
    </w:p>
    <w:p>
      <w:pPr>
        <w:spacing w:after="0" w:line="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140" w:space="720"/>
            <w:col w:w="2240" w:space="720"/>
            <w:col w:w="3420"/>
          </w:cols>
          <w:pgMar w:left="320" w:top="1282" w:right="33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PNTG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36" w:lineRule="exact"/>
        <w:rPr>
          <w:sz w:val="24"/>
          <w:szCs w:val="24"/>
          <w:color w:val="auto"/>
        </w:rPr>
      </w:pPr>
    </w:p>
    <w:p>
      <w:pPr>
        <w:sectPr>
          <w:pgSz w:w="11900" w:h="16838" w:orient="portrait"/>
          <w:cols w:equalWidth="0" w:num="3">
            <w:col w:w="4580" w:space="720"/>
            <w:col w:w="2360" w:space="720"/>
            <w:col w:w="2860"/>
          </w:cols>
          <w:pgMar w:left="320" w:top="1282" w:right="339" w:bottom="1440" w:gutter="0" w:footer="0" w:header="0"/>
          <w:type w:val="continuous"/>
        </w:sectPr>
      </w:pPr>
    </w:p>
    <w:p>
      <w:pPr>
        <w:ind w:left="37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00" w:lineRule="exact"/>
        <w:rPr>
          <w:sz w:val="24"/>
          <w:szCs w:val="24"/>
          <w:color w:val="auto"/>
        </w:rPr>
      </w:pPr>
    </w:p>
    <w:p>
      <w:pPr>
        <w:spacing w:after="0" w:line="224" w:lineRule="exact"/>
        <w:rPr>
          <w:sz w:val="24"/>
          <w:szCs w:val="24"/>
          <w:color w:val="auto"/>
        </w:rPr>
      </w:pPr>
    </w:p>
    <w:p>
      <w:pPr>
        <w:jc w:val="both"/>
        <w:ind w:firstLine="445"/>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3" w:lineRule="exact"/>
        <w:rPr>
          <w:sz w:val="24"/>
          <w:szCs w:val="24"/>
          <w:color w:val="auto"/>
        </w:rPr>
      </w:pPr>
    </w:p>
    <w:p>
      <w:pPr>
        <w:ind w:firstLine="445"/>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08" w:lineRule="exact"/>
        <w:rPr>
          <w:sz w:val="24"/>
          <w:szCs w:val="24"/>
          <w:color w:val="auto"/>
        </w:rPr>
      </w:pPr>
    </w:p>
    <w:p>
      <w:pPr>
        <w:jc w:val="both"/>
        <w:ind w:right="300" w:firstLine="445"/>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40" w:type="dxa"/>
        <w:tblCellMar>
          <w:top w:w="0" w:type="dxa"/>
          <w:left w:w="0" w:type="dxa"/>
          <w:bottom w:w="0" w:type="dxa"/>
          <w:right w:w="0" w:type="dxa"/>
        </w:tblCellMar>
      </w:tblPr>
      <w:tr>
        <w:trPr>
          <w:trHeight w:val="166"/>
        </w:trPr>
        <w:tc>
          <w:tcPr>
            <w:tcW w:w="1400" w:type="dxa"/>
            <w:vAlign w:val="bottom"/>
          </w:tcPr>
          <w:p>
            <w:pPr>
              <w:ind w:left="560"/>
              <w:spacing w:after="0" w:line="166" w:lineRule="exact"/>
              <w:rPr>
                <w:sz w:val="20"/>
                <w:szCs w:val="20"/>
                <w:color w:val="auto"/>
              </w:rPr>
            </w:pPr>
            <w:r>
              <w:rPr>
                <w:rFonts w:ascii="Arial" w:cs="Arial" w:eastAsia="Arial" w:hAnsi="Arial"/>
                <w:sz w:val="16"/>
                <w:szCs w:val="16"/>
                <w:color w:val="auto"/>
              </w:rPr>
              <w:t>Large</w:t>
            </w:r>
          </w:p>
        </w:tc>
        <w:tc>
          <w:tcPr>
            <w:tcW w:w="760" w:type="dxa"/>
            <w:vAlign w:val="bottom"/>
            <w:vMerge w:val="restart"/>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1640" w:type="dxa"/>
            <w:vAlign w:val="bottom"/>
            <w:vMerge w:val="restart"/>
          </w:tcPr>
          <w:p>
            <w:pPr>
              <w:ind w:left="280"/>
              <w:spacing w:after="0"/>
              <w:rPr>
                <w:sz w:val="20"/>
                <w:szCs w:val="20"/>
                <w:color w:val="auto"/>
              </w:rPr>
            </w:pPr>
            <w:r>
              <w:rPr>
                <w:rFonts w:ascii="Arial" w:cs="Arial" w:eastAsia="Arial" w:hAnsi="Arial"/>
                <w:sz w:val="16"/>
                <w:szCs w:val="16"/>
                <w:color w:val="auto"/>
              </w:rPr>
              <w:t>Accelerated filer</w:t>
            </w:r>
          </w:p>
        </w:tc>
        <w:tc>
          <w:tcPr>
            <w:tcW w:w="66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1560" w:type="dxa"/>
            <w:vAlign w:val="bottom"/>
          </w:tcPr>
          <w:p>
            <w:pPr>
              <w:ind w:left="240"/>
              <w:spacing w:after="0" w:line="166" w:lineRule="exact"/>
              <w:rPr>
                <w:sz w:val="20"/>
                <w:szCs w:val="20"/>
                <w:color w:val="auto"/>
              </w:rPr>
            </w:pPr>
            <w:r>
              <w:rPr>
                <w:rFonts w:ascii="Arial" w:cs="Arial" w:eastAsia="Arial" w:hAnsi="Arial"/>
                <w:sz w:val="16"/>
                <w:szCs w:val="16"/>
                <w:color w:val="auto"/>
              </w:rPr>
              <w:t>Non-accelerated</w:t>
            </w:r>
          </w:p>
        </w:tc>
        <w:tc>
          <w:tcPr>
            <w:tcW w:w="2140" w:type="dxa"/>
            <w:vAlign w:val="bottom"/>
          </w:tcPr>
          <w:p>
            <w:pPr>
              <w:ind w:left="1180"/>
              <w:spacing w:after="0" w:line="166" w:lineRule="exact"/>
              <w:rPr>
                <w:sz w:val="20"/>
                <w:szCs w:val="20"/>
                <w:color w:val="auto"/>
              </w:rPr>
            </w:pPr>
            <w:r>
              <w:rPr>
                <w:rFonts w:ascii="Arial" w:cs="Arial" w:eastAsia="Arial" w:hAnsi="Arial"/>
                <w:sz w:val="16"/>
                <w:szCs w:val="16"/>
                <w:color w:val="auto"/>
              </w:rPr>
              <w:t>Smaller</w:t>
            </w:r>
          </w:p>
        </w:tc>
        <w:tc>
          <w:tcPr>
            <w:tcW w:w="740" w:type="dxa"/>
            <w:vAlign w:val="bottom"/>
            <w:vMerge w:val="restart"/>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1640" w:type="dxa"/>
            <w:vAlign w:val="bottom"/>
          </w:tcPr>
          <w:p>
            <w:pPr>
              <w:ind w:left="240"/>
              <w:spacing w:after="0" w:line="166" w:lineRule="exact"/>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4"/>
        </w:trPr>
        <w:tc>
          <w:tcPr>
            <w:tcW w:w="1400" w:type="dxa"/>
            <w:vAlign w:val="bottom"/>
          </w:tcPr>
          <w:p>
            <w:pPr>
              <w:spacing w:after="0"/>
              <w:rPr>
                <w:sz w:val="20"/>
                <w:szCs w:val="20"/>
                <w:color w:val="auto"/>
              </w:rPr>
            </w:pPr>
            <w:r>
              <w:rPr>
                <w:rFonts w:ascii="Arial" w:cs="Arial" w:eastAsia="Arial" w:hAnsi="Arial"/>
                <w:sz w:val="16"/>
                <w:szCs w:val="16"/>
                <w:color w:val="auto"/>
              </w:rPr>
              <w:t>accelerated filer</w:t>
            </w:r>
          </w:p>
        </w:tc>
        <w:tc>
          <w:tcPr>
            <w:tcW w:w="76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1560" w:type="dxa"/>
            <w:vAlign w:val="bottom"/>
          </w:tcPr>
          <w:p>
            <w:pPr>
              <w:ind w:left="420"/>
              <w:spacing w:after="0"/>
              <w:rPr>
                <w:sz w:val="20"/>
                <w:szCs w:val="20"/>
                <w:color w:val="auto"/>
              </w:rPr>
            </w:pPr>
            <w:r>
              <w:rPr>
                <w:rFonts w:ascii="Arial" w:cs="Arial" w:eastAsia="Arial" w:hAnsi="Arial"/>
                <w:sz w:val="16"/>
                <w:szCs w:val="16"/>
                <w:color w:val="auto"/>
              </w:rPr>
              <w:t>filer</w:t>
            </w:r>
          </w:p>
        </w:tc>
        <w:tc>
          <w:tcPr>
            <w:tcW w:w="2140" w:type="dxa"/>
            <w:vAlign w:val="bottom"/>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reporting company</w:t>
            </w:r>
          </w:p>
        </w:tc>
        <w:tc>
          <w:tcPr>
            <w:tcW w:w="740" w:type="dxa"/>
            <w:vAlign w:val="bottom"/>
            <w:vMerge w:val="continue"/>
          </w:tcPr>
          <w:p>
            <w:pPr>
              <w:spacing w:after="0"/>
              <w:rPr>
                <w:sz w:val="22"/>
                <w:szCs w:val="22"/>
                <w:color w:val="auto"/>
              </w:rPr>
            </w:pPr>
          </w:p>
        </w:tc>
        <w:tc>
          <w:tcPr>
            <w:tcW w:w="1640" w:type="dxa"/>
            <w:vAlign w:val="bottom"/>
          </w:tcPr>
          <w:p>
            <w:pPr>
              <w:ind w:left="300"/>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89" w:lineRule="exact"/>
        <w:rPr>
          <w:sz w:val="24"/>
          <w:szCs w:val="24"/>
          <w:color w:val="auto"/>
        </w:rPr>
      </w:pPr>
    </w:p>
    <w:p>
      <w:pPr>
        <w:ind w:firstLine="445"/>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6" w:lineRule="exact"/>
        <w:rPr>
          <w:sz w:val="24"/>
          <w:szCs w:val="24"/>
          <w:color w:val="auto"/>
        </w:rPr>
      </w:pPr>
    </w:p>
    <w:p>
      <w:pPr>
        <w:ind w:left="460"/>
        <w:spacing w:after="0" w:line="196"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As of August 9, 2021, 28,361,909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560" w:type="dxa"/>
            <w:vAlign w:val="bottom"/>
            <w:gridSpan w:val="11"/>
          </w:tcPr>
          <w:p>
            <w:pPr>
              <w:jc w:val="center"/>
              <w:ind w:right="3320"/>
              <w:spacing w:after="0"/>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Financial Information</w:t>
              </w:r>
            </w:hyperlink>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80" w:type="dxa"/>
            <w:vAlign w:val="bottom"/>
            <w:gridSpan w:val="2"/>
          </w:tcPr>
          <w:p>
            <w:pPr>
              <w:spacing w:after="0"/>
              <w:rPr>
                <w:sz w:val="18"/>
                <w:szCs w:val="18"/>
                <w:color w:val="auto"/>
              </w:rPr>
            </w:pPr>
          </w:p>
        </w:tc>
        <w:tc>
          <w:tcPr>
            <w:tcW w:w="372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240" w:type="dxa"/>
            <w:vAlign w:val="bottom"/>
            <w:tcBorders>
              <w:top w:val="single" w:sz="8" w:color="0000FF"/>
            </w:tcBorders>
            <w:gridSpan w:val="5"/>
          </w:tcPr>
          <w:p>
            <w:pPr>
              <w:spacing w:after="0"/>
              <w:rPr>
                <w:sz w:val="18"/>
                <w:szCs w:val="18"/>
                <w:color w:val="auto"/>
              </w:rPr>
            </w:pPr>
          </w:p>
        </w:tc>
        <w:tc>
          <w:tcPr>
            <w:tcW w:w="332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June 30, 2021 and December 31, 2020</w:t>
              </w:r>
            </w:hyperlink>
          </w:p>
        </w:tc>
        <w:tc>
          <w:tcPr>
            <w:tcW w:w="760" w:type="dxa"/>
            <w:vAlign w:val="bottom"/>
            <w:gridSpan w:val="4"/>
          </w:tcPr>
          <w:p>
            <w:pPr>
              <w:jc w:val="center"/>
              <w:ind w:left="51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for the three and six months ended June 30, 2021 and 2020</w:t>
              </w:r>
            </w:hyperlink>
          </w:p>
        </w:tc>
        <w:tc>
          <w:tcPr>
            <w:tcW w:w="760" w:type="dxa"/>
            <w:vAlign w:val="bottom"/>
            <w:gridSpan w:val="4"/>
          </w:tcPr>
          <w:p>
            <w:pPr>
              <w:jc w:val="center"/>
              <w:ind w:left="51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8"/>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Condensed Consolidated Statements of Stockholders’ Equity for the three and six months ended June 30, 2021 and 2020</w:t>
              </w:r>
            </w:hyperlink>
          </w:p>
        </w:tc>
        <w:tc>
          <w:tcPr>
            <w:tcW w:w="760" w:type="dxa"/>
            <w:vAlign w:val="bottom"/>
            <w:gridSpan w:val="4"/>
          </w:tcPr>
          <w:p>
            <w:pPr>
              <w:jc w:val="center"/>
              <w:ind w:left="51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for the six months ended June 30, 2021 and 2020</w:t>
              </w:r>
            </w:hyperlink>
          </w:p>
        </w:tc>
        <w:tc>
          <w:tcPr>
            <w:tcW w:w="600" w:type="dxa"/>
            <w:vAlign w:val="bottom"/>
          </w:tcPr>
          <w:p>
            <w:pPr>
              <w:spacing w:after="0"/>
              <w:rPr>
                <w:sz w:val="18"/>
                <w:szCs w:val="18"/>
                <w:color w:val="auto"/>
              </w:rPr>
            </w:pPr>
          </w:p>
        </w:tc>
        <w:tc>
          <w:tcPr>
            <w:tcW w:w="760" w:type="dxa"/>
            <w:vAlign w:val="bottom"/>
            <w:gridSpan w:val="4"/>
          </w:tcPr>
          <w:p>
            <w:pPr>
              <w:jc w:val="center"/>
              <w:ind w:left="51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30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Condensed Consolidated Financial Statements</w:t>
              </w:r>
            </w:hyperlink>
          </w:p>
        </w:tc>
        <w:tc>
          <w:tcPr>
            <w:tcW w:w="1980" w:type="dxa"/>
            <w:vAlign w:val="bottom"/>
            <w:gridSpan w:val="3"/>
          </w:tcPr>
          <w:p>
            <w:pPr>
              <w:spacing w:after="0"/>
              <w:rPr>
                <w:sz w:val="18"/>
                <w:szCs w:val="18"/>
                <w:color w:val="auto"/>
              </w:rPr>
            </w:pPr>
          </w:p>
        </w:tc>
        <w:tc>
          <w:tcPr>
            <w:tcW w:w="760" w:type="dxa"/>
            <w:vAlign w:val="bottom"/>
            <w:gridSpan w:val="4"/>
          </w:tcPr>
          <w:p>
            <w:pPr>
              <w:jc w:val="center"/>
              <w:ind w:left="51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360" w:type="dxa"/>
            <w:vAlign w:val="bottom"/>
          </w:tcPr>
          <w:p>
            <w:pPr>
              <w:spacing w:after="0"/>
              <w:rPr>
                <w:sz w:val="18"/>
                <w:szCs w:val="18"/>
                <w:color w:val="auto"/>
              </w:rPr>
            </w:pPr>
          </w:p>
        </w:tc>
        <w:tc>
          <w:tcPr>
            <w:tcW w:w="9280" w:type="dxa"/>
            <w:vAlign w:val="bottom"/>
            <w:gridSpan w:val="1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760" w:type="dxa"/>
            <w:vAlign w:val="bottom"/>
            <w:gridSpan w:val="4"/>
          </w:tcPr>
          <w:p>
            <w:pPr>
              <w:jc w:val="center"/>
              <w:ind w:left="49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22</w:t>
              </w:r>
            </w:hyperlink>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0" w:type="dxa"/>
            <w:vAlign w:val="bottom"/>
            <w:tcBorders>
              <w:top w:val="single" w:sz="8" w:color="0000FF"/>
            </w:tcBorders>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3.</w:t>
              </w:r>
            </w:hyperlink>
          </w:p>
        </w:tc>
        <w:tc>
          <w:tcPr>
            <w:tcW w:w="360" w:type="dxa"/>
            <w:vAlign w:val="bottom"/>
          </w:tcPr>
          <w:p>
            <w:pPr>
              <w:spacing w:after="0"/>
              <w:rPr>
                <w:sz w:val="18"/>
                <w:szCs w:val="18"/>
                <w:color w:val="auto"/>
              </w:rPr>
            </w:pPr>
          </w:p>
        </w:tc>
        <w:tc>
          <w:tcPr>
            <w:tcW w:w="6440" w:type="dxa"/>
            <w:vAlign w:val="bottom"/>
            <w:tcBorders>
              <w:top w:val="single" w:sz="8" w:color="0000FF"/>
            </w:tcBorders>
            <w:gridSpan w:val="1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284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41</w:t>
              </w:r>
            </w:hyperlink>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0000FF"/>
            </w:tcBorders>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4.</w:t>
              </w:r>
            </w:hyperlink>
          </w:p>
        </w:tc>
        <w:tc>
          <w:tcPr>
            <w:tcW w:w="360" w:type="dxa"/>
            <w:vAlign w:val="bottom"/>
          </w:tcPr>
          <w:p>
            <w:pPr>
              <w:spacing w:after="0"/>
              <w:rPr>
                <w:sz w:val="18"/>
                <w:szCs w:val="18"/>
                <w:color w:val="auto"/>
              </w:rPr>
            </w:pPr>
          </w:p>
        </w:tc>
        <w:tc>
          <w:tcPr>
            <w:tcW w:w="4360" w:type="dxa"/>
            <w:vAlign w:val="bottom"/>
            <w:tcBorders>
              <w:top w:val="single" w:sz="8" w:color="0000FF"/>
            </w:tcBorders>
            <w:gridSpan w:val="1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4920" w:type="dxa"/>
            <w:vAlign w:val="bottom"/>
            <w:gridSpan w:val="8"/>
          </w:tcPr>
          <w:p>
            <w:pPr>
              <w:spacing w:after="0"/>
              <w:rPr>
                <w:sz w:val="18"/>
                <w:szCs w:val="18"/>
                <w:color w:val="auto"/>
              </w:rPr>
            </w:pPr>
          </w:p>
        </w:tc>
        <w:tc>
          <w:tcPr>
            <w:tcW w:w="760" w:type="dxa"/>
            <w:vAlign w:val="bottom"/>
            <w:gridSpan w:val="4"/>
          </w:tcPr>
          <w:p>
            <w:pPr>
              <w:jc w:val="center"/>
              <w:ind w:left="49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41</w:t>
              </w:r>
            </w:hyperlink>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60" w:type="dxa"/>
            <w:vAlign w:val="bottom"/>
            <w:gridSpan w:val="11"/>
          </w:tcPr>
          <w:p>
            <w:pPr>
              <w:jc w:val="center"/>
              <w:ind w:right="3320"/>
              <w:spacing w:after="0"/>
              <w:rPr>
                <w:rFonts w:ascii="Arial" w:cs="Arial" w:eastAsia="Arial" w:hAnsi="Arial"/>
                <w:sz w:val="18"/>
                <w:szCs w:val="18"/>
                <w:b w:val="1"/>
                <w:bCs w:val="1"/>
                <w:color w:val="0000FF"/>
                <w:w w:val="96"/>
              </w:rPr>
            </w:pPr>
            <w:hyperlink w:anchor="page43">
              <w:r>
                <w:rPr>
                  <w:rFonts w:ascii="Arial" w:cs="Arial" w:eastAsia="Arial" w:hAnsi="Arial"/>
                  <w:sz w:val="18"/>
                  <w:szCs w:val="18"/>
                  <w:b w:val="1"/>
                  <w:bCs w:val="1"/>
                  <w:color w:val="0000FF"/>
                  <w:w w:val="96"/>
                </w:rPr>
                <w:t>Part II. Other Information</w:t>
              </w:r>
            </w:hyperlink>
          </w:p>
        </w:tc>
        <w:tc>
          <w:tcPr>
            <w:tcW w:w="58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1.</w:t>
              </w:r>
            </w:hyperlink>
          </w:p>
        </w:tc>
        <w:tc>
          <w:tcPr>
            <w:tcW w:w="480" w:type="dxa"/>
            <w:vAlign w:val="bottom"/>
            <w:gridSpan w:val="2"/>
          </w:tcPr>
          <w:p>
            <w:pPr>
              <w:spacing w:after="0"/>
              <w:rPr>
                <w:sz w:val="18"/>
                <w:szCs w:val="18"/>
                <w:color w:val="auto"/>
              </w:rPr>
            </w:pP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Legal Proceedings</w:t>
              </w:r>
            </w:hyperlink>
          </w:p>
        </w:tc>
        <w:tc>
          <w:tcPr>
            <w:tcW w:w="2480" w:type="dxa"/>
            <w:vAlign w:val="bottom"/>
            <w:gridSpan w:val="4"/>
          </w:tcPr>
          <w:p>
            <w:pPr>
              <w:spacing w:after="0"/>
              <w:rPr>
                <w:sz w:val="18"/>
                <w:szCs w:val="18"/>
                <w:color w:val="auto"/>
              </w:rPr>
            </w:pPr>
          </w:p>
        </w:tc>
        <w:tc>
          <w:tcPr>
            <w:tcW w:w="2040" w:type="dxa"/>
            <w:vAlign w:val="bottom"/>
            <w:tcBorders>
              <w:top w:val="single" w:sz="8" w:color="0000FF"/>
            </w:tcBorders>
            <w:gridSpan w:val="3"/>
          </w:tcPr>
          <w:p>
            <w:pPr>
              <w:spacing w:after="0"/>
              <w:rPr>
                <w:sz w:val="18"/>
                <w:szCs w:val="18"/>
                <w:color w:val="auto"/>
              </w:rPr>
            </w:pPr>
          </w:p>
        </w:tc>
        <w:tc>
          <w:tcPr>
            <w:tcW w:w="342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928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760" w:type="dxa"/>
            <w:vAlign w:val="bottom"/>
            <w:gridSpan w:val="4"/>
          </w:tcPr>
          <w:p>
            <w:pPr>
              <w:jc w:val="center"/>
              <w:ind w:left="49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6.</w:t>
              </w:r>
            </w:hyperlink>
          </w:p>
        </w:tc>
        <w:tc>
          <w:tcPr>
            <w:tcW w:w="12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top w:val="single" w:sz="8" w:color="0000FF"/>
            </w:tcBorders>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8380" w:type="dxa"/>
            <w:vAlign w:val="bottom"/>
            <w:gridSpan w:val="15"/>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43</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20" w:type="dxa"/>
            <w:vAlign w:val="bottom"/>
            <w:gridSpan w:val="1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Signatures</w:t>
              </w:r>
            </w:hyperlink>
          </w:p>
        </w:tc>
        <w:tc>
          <w:tcPr>
            <w:tcW w:w="760" w:type="dxa"/>
            <w:vAlign w:val="bottom"/>
            <w:gridSpan w:val="4"/>
          </w:tcPr>
          <w:p>
            <w:pPr>
              <w:jc w:val="center"/>
              <w:ind w:left="49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180" w:type="dxa"/>
            <w:vAlign w:val="bottom"/>
          </w:tcPr>
          <w:p>
            <w:pPr>
              <w:spacing w:after="0"/>
              <w:rPr>
                <w:sz w:val="18"/>
                <w:szCs w:val="18"/>
                <w:color w:val="auto"/>
              </w:rPr>
            </w:pPr>
          </w:p>
        </w:tc>
      </w:tr>
      <w:tr>
        <w:trPr>
          <w:trHeight w:val="1877"/>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I.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par value)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Cash</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Accounts receivable—less allowance for doubtful accounts of $914 and $643, respectively</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47,221</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59,599</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17,884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308,650</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Escrow deposits</w:t>
            </w:r>
          </w:p>
        </w:tc>
        <w:tc>
          <w:tcPr>
            <w:tcW w:w="30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Restricted and other assets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5,691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66,444</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indefinite-lived intangibles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47,488</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506,976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8,321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9,761</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wages and related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26,873</w:t>
            </w: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Operating lease liabilities—current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15,233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14,106</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38,275</w:t>
            </w:r>
          </w:p>
        </w:tc>
        <w:tc>
          <w:tcPr>
            <w:tcW w:w="0" w:type="dxa"/>
            <w:vAlign w:val="bottom"/>
          </w:tcPr>
          <w:p>
            <w:pPr>
              <w:spacing w:after="0"/>
              <w:rPr>
                <w:sz w:val="1"/>
                <w:szCs w:val="1"/>
                <w:color w:val="auto"/>
              </w:rPr>
            </w:pPr>
          </w:p>
        </w:tc>
      </w:tr>
      <w:tr>
        <w:trPr>
          <w:trHeight w:val="223"/>
        </w:trPr>
        <w:tc>
          <w:tcPr>
            <w:tcW w:w="71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82,822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89,015</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liabilities—less current portion</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296,615</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7,732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11,897</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405,804</w:t>
            </w: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Common stock, $0.001 par value; 100,000 shares authorized; 28,759 and 28,355 shares issued</w:t>
            </w:r>
          </w:p>
        </w:tc>
        <w:tc>
          <w:tcPr>
            <w:tcW w:w="3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and outstanding, respectively at June 30, 2021, and 28,696 and 28,243 shares issued and</w:t>
            </w:r>
          </w:p>
        </w:tc>
        <w:tc>
          <w:tcPr>
            <w:tcW w:w="3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respectively at December 31, 2020.</w:t>
            </w:r>
          </w:p>
        </w:tc>
        <w:tc>
          <w:tcPr>
            <w:tcW w:w="3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90,099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84,671</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Treasury stock, at cost, 3 shares at June 30, 2021 and December 31, 2020</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Pennant Group, Inc.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96,579</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101,172</w:t>
            </w:r>
          </w:p>
        </w:tc>
        <w:tc>
          <w:tcPr>
            <w:tcW w:w="0" w:type="dxa"/>
            <w:vAlign w:val="bottom"/>
          </w:tcPr>
          <w:p>
            <w:pPr>
              <w:spacing w:after="0"/>
              <w:rPr>
                <w:sz w:val="1"/>
                <w:szCs w:val="1"/>
                <w:color w:val="auto"/>
              </w:rPr>
            </w:pPr>
          </w:p>
        </w:tc>
      </w:tr>
      <w:tr>
        <w:trPr>
          <w:trHeight w:val="223"/>
        </w:trPr>
        <w:tc>
          <w:tcPr>
            <w:tcW w:w="7140" w:type="dxa"/>
            <w:vAlign w:val="bottom"/>
          </w:tcPr>
          <w:p>
            <w:pPr>
              <w:ind w:left="46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506,976</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for per-share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8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184,589</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86,667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68,159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138,348</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Rent—cost of services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19,473</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14,199</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23"/>
        </w:trPr>
        <w:tc>
          <w:tcPr>
            <w:tcW w:w="498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106,776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86,665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174,242</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9,643</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23"/>
        </w:trPr>
        <w:tc>
          <w:tcPr>
            <w:tcW w:w="4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loss attributable to noncontrolling interest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980" w:type="dxa"/>
            <w:vAlign w:val="bottom"/>
          </w:tcPr>
          <w:p>
            <w:pPr>
              <w:ind w:left="40"/>
              <w:spacing w:after="0" w:line="156" w:lineRule="exact"/>
              <w:rPr>
                <w:sz w:val="20"/>
                <w:szCs w:val="20"/>
                <w:color w:val="auto"/>
              </w:rPr>
            </w:pPr>
            <w:r>
              <w:rPr>
                <w:rFonts w:ascii="Arial" w:cs="Arial" w:eastAsia="Arial" w:hAnsi="Arial"/>
                <w:sz w:val="18"/>
                <w:szCs w:val="18"/>
                <w:color w:val="auto"/>
                <w:w w:val="96"/>
              </w:rPr>
              <w:t>Net income and other comprehensive income attributable to The</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2,650</w:t>
            </w:r>
          </w:p>
        </w:tc>
        <w:tc>
          <w:tcPr>
            <w:tcW w:w="8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4,337</w:t>
            </w:r>
          </w:p>
        </w:tc>
        <w:tc>
          <w:tcPr>
            <w:tcW w:w="8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08"/>
        </w:trPr>
        <w:tc>
          <w:tcPr>
            <w:tcW w:w="4980" w:type="dxa"/>
            <w:vAlign w:val="bottom"/>
          </w:tcPr>
          <w:p>
            <w:pPr>
              <w:ind w:left="40"/>
              <w:spacing w:after="0" w:line="202" w:lineRule="exact"/>
              <w:rPr>
                <w:sz w:val="20"/>
                <w:szCs w:val="20"/>
                <w:color w:val="auto"/>
              </w:rPr>
            </w:pPr>
            <w:r>
              <w:rPr>
                <w:rFonts w:ascii="Arial" w:cs="Arial" w:eastAsia="Arial" w:hAnsi="Arial"/>
                <w:sz w:val="18"/>
                <w:szCs w:val="18"/>
                <w:color w:val="auto"/>
              </w:rPr>
              <w:t>Pennant Group, Inc.</w:t>
            </w:r>
          </w:p>
        </w:tc>
        <w:tc>
          <w:tcPr>
            <w:tcW w:w="24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27,922</w:t>
            </w:r>
          </w:p>
        </w:tc>
        <w:tc>
          <w:tcPr>
            <w:tcW w:w="0" w:type="dxa"/>
            <w:vAlign w:val="bottom"/>
          </w:tcPr>
          <w:p>
            <w:pPr>
              <w:spacing w:after="0"/>
              <w:rPr>
                <w:sz w:val="1"/>
                <w:szCs w:val="1"/>
                <w:color w:val="auto"/>
              </w:rPr>
            </w:pPr>
          </w:p>
        </w:tc>
      </w:tr>
      <w:tr>
        <w:trPr>
          <w:trHeight w:val="230"/>
        </w:trPr>
        <w:tc>
          <w:tcPr>
            <w:tcW w:w="49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30,647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29,780</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920" w:type="dxa"/>
            <w:vAlign w:val="bottom"/>
            <w:gridSpan w:val="5"/>
          </w:tcPr>
          <w:p>
            <w:pPr>
              <w:ind w:left="38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7"/>
          </w:tcPr>
          <w:p>
            <w:pPr>
              <w:ind w:left="22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16"/>
                <w:szCs w:val="16"/>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4"/>
                <w:szCs w:val="4"/>
                <w:color w:val="auto"/>
              </w:rPr>
            </w:pPr>
          </w:p>
        </w:tc>
        <w:tc>
          <w:tcPr>
            <w:tcW w:w="1240" w:type="dxa"/>
            <w:vAlign w:val="bottom"/>
            <w:gridSpan w:val="3"/>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Retained</w:t>
            </w: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3"/>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780" w:type="dxa"/>
            <w:vAlign w:val="bottom"/>
          </w:tcPr>
          <w:p>
            <w:pPr>
              <w:spacing w:after="0"/>
              <w:rPr>
                <w:sz w:val="7"/>
                <w:szCs w:val="7"/>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7"/>
                <w:szCs w:val="7"/>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2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Earnings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101,172</w:t>
            </w: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color w:val="auto"/>
                <w:w w:val="98"/>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950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Net loss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104,719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8"/>
              </w:rPr>
              <w:t>Net income attributable to The Pennant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780" w:type="dxa"/>
            <w:vAlign w:val="bottom"/>
            <w:vMerge w:val="continue"/>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2,650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10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Net loss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109,982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780" w:type="dxa"/>
            <w:vAlign w:val="bottom"/>
          </w:tcPr>
          <w:p>
            <w:pPr>
              <w:spacing w:after="0"/>
              <w:rPr>
                <w:sz w:val="24"/>
                <w:szCs w:val="24"/>
                <w:color w:val="auto"/>
              </w:rPr>
            </w:pPr>
          </w:p>
        </w:tc>
        <w:tc>
          <w:tcPr>
            <w:tcW w:w="1920" w:type="dxa"/>
            <w:vAlign w:val="bottom"/>
            <w:gridSpan w:val="5"/>
          </w:tcPr>
          <w:p>
            <w:pPr>
              <w:ind w:left="38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Retained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7"/>
          </w:tcPr>
          <w:p>
            <w:pPr>
              <w:ind w:left="24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40"/>
              <w:spacing w:after="0" w:line="148" w:lineRule="exact"/>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4"/>
                <w:szCs w:val="4"/>
                <w:color w:val="auto"/>
              </w:rPr>
            </w:pPr>
          </w:p>
        </w:tc>
        <w:tc>
          <w:tcPr>
            <w:tcW w:w="1240" w:type="dxa"/>
            <w:vAlign w:val="bottom"/>
            <w:gridSpan w:val="3"/>
            <w:vMerge w:val="restart"/>
          </w:tcPr>
          <w:p>
            <w:pPr>
              <w:jc w:val="center"/>
              <w:ind w:right="200"/>
              <w:spacing w:after="0" w:line="148" w:lineRule="exact"/>
              <w:rPr>
                <w:sz w:val="20"/>
                <w:szCs w:val="20"/>
                <w:color w:val="auto"/>
              </w:rPr>
            </w:pPr>
            <w:r>
              <w:rPr>
                <w:rFonts w:ascii="Arial" w:cs="Arial" w:eastAsia="Arial" w:hAnsi="Arial"/>
                <w:sz w:val="16"/>
                <w:szCs w:val="16"/>
                <w:b w:val="1"/>
                <w:bCs w:val="1"/>
                <w:color w:val="auto"/>
                <w:w w:val="93"/>
              </w:rPr>
              <w:t>Earnings/</w:t>
            </w:r>
          </w:p>
        </w:tc>
        <w:tc>
          <w:tcPr>
            <w:tcW w:w="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3"/>
            <w:vMerge w:val="restart"/>
          </w:tcPr>
          <w:p>
            <w:pPr>
              <w:jc w:val="center"/>
              <w:ind w:right="200"/>
              <w:spacing w:after="0" w:line="148" w:lineRule="exact"/>
              <w:rPr>
                <w:sz w:val="20"/>
                <w:szCs w:val="20"/>
                <w:color w:val="auto"/>
              </w:rPr>
            </w:pPr>
            <w:r>
              <w:rPr>
                <w:rFonts w:ascii="Arial" w:cs="Arial" w:eastAsia="Arial" w:hAnsi="Arial"/>
                <w:sz w:val="16"/>
                <w:szCs w:val="16"/>
                <w:b w:val="1"/>
                <w:bCs w:val="1"/>
                <w:color w:val="auto"/>
                <w:w w:val="93"/>
              </w:rPr>
              <w:t>Non-</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4"/>
                <w:szCs w:val="14"/>
                <w:color w:val="auto"/>
              </w:rPr>
            </w:pPr>
          </w:p>
        </w:tc>
        <w:tc>
          <w:tcPr>
            <w:tcW w:w="1240" w:type="dxa"/>
            <w:vAlign w:val="bottom"/>
            <w:gridSpan w:val="3"/>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1060" w:type="dxa"/>
            <w:vAlign w:val="bottom"/>
            <w:gridSpan w:val="3"/>
          </w:tcPr>
          <w:p>
            <w:pPr>
              <w:jc w:val="center"/>
              <w:ind w:right="18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2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5"/>
              </w:rPr>
              <w:t>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71,111</w:t>
            </w: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color w:val="auto"/>
                <w:w w:val="98"/>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2,980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3"/>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gridSpan w:val="3"/>
            <w:vMerge w:val="restart"/>
          </w:tcPr>
          <w:p>
            <w:pPr>
              <w:ind w:left="7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3"/>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gridSpan w:val="3"/>
            <w:vMerge w:val="restart"/>
          </w:tcPr>
          <w:p>
            <w:pPr>
              <w:ind w:left="7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880" w:type="dxa"/>
            <w:vAlign w:val="bottom"/>
          </w:tcPr>
          <w:p>
            <w:pPr>
              <w:jc w:val="right"/>
              <w:spacing w:after="0"/>
              <w:rPr>
                <w:sz w:val="20"/>
                <w:szCs w:val="20"/>
                <w:color w:val="auto"/>
              </w:rPr>
            </w:pPr>
            <w:r>
              <w:rPr>
                <w:rFonts w:ascii="Arial" w:cs="Arial" w:eastAsia="Arial" w:hAnsi="Arial"/>
                <w:sz w:val="16"/>
                <w:szCs w:val="16"/>
                <w:color w:val="auto"/>
              </w:rPr>
              <w:t>28,476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76,976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3"/>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3"/>
          </w:tcPr>
          <w:p>
            <w:pPr>
              <w:ind w:left="76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76,185</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78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Net income/ (loss) attributable to The</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4,337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1"/>
                <w:szCs w:val="11"/>
                <w:color w:val="auto"/>
              </w:rPr>
            </w:pPr>
          </w:p>
        </w:tc>
        <w:tc>
          <w:tcPr>
            <w:tcW w:w="1060" w:type="dxa"/>
            <w:vAlign w:val="bottom"/>
            <w:gridSpan w:val="3"/>
            <w:vMerge w:val="restart"/>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4,337</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Pennant Group, Inc.</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3"/>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3"/>
          </w:tcPr>
          <w:p>
            <w:pPr>
              <w:ind w:left="7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3"/>
            <w:vMerge w:val="restart"/>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3"/>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3"/>
          </w:tcPr>
          <w:p>
            <w:pPr>
              <w:ind w:left="7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Shares of common stock withheld to</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0E32E1"/>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0E32E1"/>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0E32E1"/>
              </w:rPr>
              <w:t>—</w:t>
            </w:r>
          </w:p>
        </w:tc>
        <w:tc>
          <w:tcPr>
            <w:tcW w:w="8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satisfy tax withholding obligations</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880" w:type="dxa"/>
            <w:vAlign w:val="bottom"/>
          </w:tcPr>
          <w:p>
            <w:pPr>
              <w:jc w:val="right"/>
              <w:spacing w:after="0"/>
              <w:rPr>
                <w:sz w:val="20"/>
                <w:szCs w:val="20"/>
                <w:color w:val="auto"/>
              </w:rPr>
            </w:pPr>
            <w:r>
              <w:rPr>
                <w:rFonts w:ascii="Arial" w:cs="Arial" w:eastAsia="Arial" w:hAnsi="Arial"/>
                <w:sz w:val="16"/>
                <w:szCs w:val="16"/>
                <w:color w:val="auto"/>
              </w:rPr>
              <w:t>28,514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79,012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3"/>
          </w:tcPr>
          <w:p>
            <w:pPr>
              <w:ind w:left="76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82,501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8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19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3,382</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7,317</w:t>
            </w: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2,222</w:t>
            </w: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w:t>
            </w: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20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(2,077)</w:t>
            </w:r>
          </w:p>
        </w:tc>
      </w:tr>
      <w:tr>
        <w:trPr>
          <w:trHeight w:val="219"/>
        </w:trPr>
        <w:tc>
          <w:tcPr>
            <w:tcW w:w="8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13"/>
        </w:trPr>
        <w:tc>
          <w:tcPr>
            <w:tcW w:w="8200" w:type="dxa"/>
            <w:vAlign w:val="bottom"/>
          </w:tcPr>
          <w:p>
            <w:pPr>
              <w:ind w:left="360"/>
              <w:spacing w:after="0"/>
              <w:rPr>
                <w:sz w:val="20"/>
                <w:szCs w:val="20"/>
                <w:color w:val="auto"/>
              </w:rPr>
            </w:pPr>
            <w:r>
              <w:rPr>
                <w:rFonts w:ascii="Arial" w:cs="Arial" w:eastAsia="Arial" w:hAnsi="Arial"/>
                <w:sz w:val="16"/>
                <w:szCs w:val="16"/>
                <w:color w:val="auto"/>
              </w:rPr>
              <w:t>Operating lease obligations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2,168</w:t>
            </w:r>
          </w:p>
        </w:tc>
      </w:tr>
      <w:tr>
        <w:trPr>
          <w:trHeight w:val="219"/>
        </w:trPr>
        <w:tc>
          <w:tcPr>
            <w:tcW w:w="8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w:t>
            </w:r>
          </w:p>
        </w:tc>
      </w:tr>
      <w:tr>
        <w:trPr>
          <w:trHeight w:val="213"/>
        </w:trPr>
        <w:tc>
          <w:tcPr>
            <w:tcW w:w="8200" w:type="dxa"/>
            <w:vAlign w:val="bottom"/>
          </w:tcPr>
          <w:p>
            <w:pPr>
              <w:ind w:left="360"/>
              <w:spacing w:after="0"/>
              <w:rPr>
                <w:sz w:val="20"/>
                <w:szCs w:val="20"/>
                <w:color w:val="auto"/>
              </w:rPr>
            </w:pPr>
            <w:r>
              <w:rPr>
                <w:rFonts w:ascii="Arial" w:cs="Arial" w:eastAsia="Arial" w:hAnsi="Arial"/>
                <w:sz w:val="16"/>
                <w:szCs w:val="16"/>
                <w:color w:val="auto"/>
              </w:rPr>
              <w:t>Accrued wages and related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(937)</w:t>
            </w:r>
          </w:p>
        </w:tc>
      </w:tr>
      <w:tr>
        <w:trPr>
          <w:trHeight w:val="219"/>
        </w:trPr>
        <w:tc>
          <w:tcPr>
            <w:tcW w:w="8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accrued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w:t>
            </w:r>
          </w:p>
        </w:tc>
      </w:tr>
      <w:tr>
        <w:trPr>
          <w:trHeight w:val="213"/>
        </w:trPr>
        <w:tc>
          <w:tcPr>
            <w:tcW w:w="8200" w:type="dxa"/>
            <w:vAlign w:val="bottom"/>
          </w:tcPr>
          <w:p>
            <w:pPr>
              <w:ind w:left="360"/>
              <w:spacing w:after="0"/>
              <w:rPr>
                <w:sz w:val="20"/>
                <w:szCs w:val="20"/>
                <w:color w:val="auto"/>
              </w:rPr>
            </w:pPr>
            <w:r>
              <w:rPr>
                <w:rFonts w:ascii="Arial" w:cs="Arial" w:eastAsia="Arial" w:hAnsi="Arial"/>
                <w:sz w:val="16"/>
                <w:szCs w:val="16"/>
                <w:color w:val="auto"/>
              </w:rPr>
              <w:t>Contract liabilities (CARES Act advance payments)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27,997</w:t>
            </w:r>
          </w:p>
        </w:tc>
      </w:tr>
      <w:tr>
        <w:trPr>
          <w:trHeight w:val="219"/>
        </w:trPr>
        <w:tc>
          <w:tcPr>
            <w:tcW w:w="8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in) provided by operating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43,398</w:t>
            </w:r>
          </w:p>
        </w:tc>
      </w:tr>
      <w:tr>
        <w:trPr>
          <w:trHeight w:val="19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Purchase of property and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(5,963)</w:t>
            </w: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business acquisitions, net of escrow</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(6,868)</w:t>
            </w: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Escrow deposits</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(639)</w:t>
            </w: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06"/>
        </w:trPr>
        <w:tc>
          <w:tcPr>
            <w:tcW w:w="82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(13,803)</w:t>
            </w:r>
          </w:p>
        </w:tc>
      </w:tr>
      <w:tr>
        <w:trPr>
          <w:trHeight w:val="19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Proceeds from Revolving Credit Facility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70,500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26,500</w:t>
            </w: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Revolving Credit Facility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(44,500)</w:t>
            </w: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Repurchase of shares of common stock to satisfy tax withholding obligations</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deferred financing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Issuance of common stock upon the exercise of options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13"/>
        </w:trPr>
        <w:tc>
          <w:tcPr>
            <w:tcW w:w="82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(17,868)</w:t>
            </w:r>
          </w:p>
        </w:tc>
      </w:tr>
      <w:tr>
        <w:trPr>
          <w:trHeight w:val="206"/>
        </w:trPr>
        <w:tc>
          <w:tcPr>
            <w:tcW w:w="8200" w:type="dxa"/>
            <w:vAlign w:val="bottom"/>
          </w:tcPr>
          <w:p>
            <w:pPr>
              <w:ind w:left="20"/>
              <w:spacing w:after="0"/>
              <w:rPr>
                <w:sz w:val="20"/>
                <w:szCs w:val="20"/>
                <w:color w:val="auto"/>
              </w:rPr>
            </w:pPr>
            <w:r>
              <w:rPr>
                <w:rFonts w:ascii="Arial" w:cs="Arial" w:eastAsia="Arial" w:hAnsi="Arial"/>
                <w:sz w:val="16"/>
                <w:szCs w:val="16"/>
                <w:color w:val="auto"/>
              </w:rPr>
              <w:t>Net increase in cash</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2,836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11,727</w:t>
            </w: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Cash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2,879</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12,129</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Cash paid during the period for: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tcPr>
          <w:p>
            <w:pPr>
              <w:ind w:left="240"/>
              <w:spacing w:after="0"/>
              <w:rPr>
                <w:sz w:val="20"/>
                <w:szCs w:val="20"/>
                <w:color w:val="auto"/>
              </w:rPr>
            </w:pPr>
            <w:r>
              <w:rPr>
                <w:rFonts w:ascii="Arial" w:cs="Arial" w:eastAsia="Arial" w:hAnsi="Arial"/>
                <w:sz w:val="16"/>
                <w:szCs w:val="16"/>
                <w:color w:val="auto"/>
              </w:rPr>
              <w:t>Income taxes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Lease liabilities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tcPr>
          <w:p>
            <w:pPr>
              <w:ind w:left="140"/>
              <w:spacing w:after="0"/>
              <w:rPr>
                <w:sz w:val="20"/>
                <w:szCs w:val="20"/>
                <w:color w:val="auto"/>
              </w:rPr>
            </w:pPr>
            <w:r>
              <w:rPr>
                <w:rFonts w:ascii="Arial" w:cs="Arial" w:eastAsia="Arial" w:hAnsi="Arial"/>
                <w:sz w:val="16"/>
                <w:szCs w:val="16"/>
                <w:color w:val="auto"/>
              </w:rPr>
              <w:t>Right-of-use assets obtained in exchange for new operating lease obligations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non-cash adjustment to right-of-use assets and lease liabilities from lease modifications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Non-cash investing activity: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operational senior living units)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5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June 30, 2021, the Company’s subsidiaries operated 86 home health, hospice and home care agencies and 54 senior living communities located in Arizona, California, Colorado, Idaho, Iowa, Montana, Nevada, Oklahoma, Oregon, Texas, Utah, Washington, Wisconsin and Wyoming.</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October 1, 2019, The Ensign Group, Inc. (NASDAQ: ENSG) (“Ensign” or the “Parent”) completed the separation of Pennant (the “Spin-Off”). To accomplish the Spin-Off, Ensign contributed all of its home health and hospice and substantially all of its senior living businesses into Pennant. Each Ensign stockholder received a distribution of one share of Pennant’s common stock for every two shares of Ensign’s common stock, plus cash in lieu of fractional shares. The noncontrolling interest was converted into shares of Pennant at the established conversion ratio. As a result of the Spin-Off on October 1, 2019, Pennant began trading as an independent company on the NASDAQ under the symbol “PNTG.”</w:t>
      </w:r>
    </w:p>
    <w:p>
      <w:pPr>
        <w:spacing w:after="0" w:line="13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of the Company’s subsidiaries, collectively referred to as the Service Center, provide accounting, payroll, human resources, information technology, legal, risk management, and other services to the operations through contractual relationships.</w:t>
      </w:r>
    </w:p>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 Company’s affiliated operations are operated by separate, independent subsidiaries that have their own management, employees and assets. References herein to the consolidated “Company” and “its” assets and activities is not meant to imply, nor should it be construed as meaning, that Pennant has direct operating assets, employees or revenue, or that any of the subsidiaries are operated by Pennant.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5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unaudited condensed consolidated financial statements of the Company (the “Interim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Condensed Consolidated Balance Sheet as of December 31, 2020 is derived from the Company’s annual audited Consolidated Financial Statements for the fiscal year ended December 31, 2020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Estimates and Assumptions - </w:t>
      </w:r>
      <w:r>
        <w:rPr>
          <w:rFonts w:ascii="Arial" w:cs="Arial" w:eastAsia="Arial" w:hAnsi="Arial"/>
          <w:sz w:val="17"/>
          <w:szCs w:val="17"/>
          <w:color w:val="auto"/>
        </w:rPr>
        <w:t>The preparation of the Interim Financial Statements in conformity with GAAP requires management to make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revenue, intangible assets and goodwill, right-of-use assets and lease liabilities for leases greater than 12 months, self-insurance reserves, and income taxes. Actual results could differ from those estimates.</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CARES Act</w:t>
      </w:r>
      <w:r>
        <w:rPr>
          <w:rFonts w:ascii="Arial" w:cs="Arial" w:eastAsia="Arial" w:hAnsi="Arial"/>
          <w:sz w:val="18"/>
          <w:szCs w:val="18"/>
          <w:color w:val="auto"/>
        </w:rPr>
        <w:t>: The Coronavirus Aid, Relief, and Economic Security Act (the “CARES Act”) was enacted on March 27, 2020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CARES Act allowed for deferred payment of the employer-paid portion of social security taxes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through the end of 2020, with 50% due on December 31, 2021 and the remainder due on December 31, 2022. As of June 30, 2021, the Company deferred approximately $7,836 of the employer-paid portion of social security taxes, of which $3,918 is included in other long-term liabilities and the current portion of $3,918 in accrued wages and related liabilities. The CARES Act also expanded the Centers for Medicare &amp; Medicaid Services’ (“CMS”) ability to provide accelerated/advance payments intended to increase the cash flow of healthcare providers and suppliers impacted by COVID-19. During the prior year, the Company applied for and received $27,997 in funds under the Accelerated and Advance Payment (“AAP”) Program, of which $7,096 had been recouped as of June 30, 2021. See Note 10, </w:t>
      </w:r>
      <w:r>
        <w:rPr>
          <w:rFonts w:ascii="Arial" w:cs="Arial" w:eastAsia="Arial" w:hAnsi="Arial"/>
          <w:sz w:val="17"/>
          <w:szCs w:val="17"/>
          <w:i w:val="1"/>
          <w:iCs w:val="1"/>
          <w:color w:val="auto"/>
        </w:rPr>
        <w:t>Other Accrued Liabilities</w:t>
      </w:r>
      <w:r>
        <w:rPr>
          <w:rFonts w:ascii="Arial" w:cs="Arial" w:eastAsia="Arial" w:hAnsi="Arial"/>
          <w:sz w:val="17"/>
          <w:szCs w:val="17"/>
          <w:color w:val="auto"/>
        </w:rPr>
        <w:t xml:space="preserve"> for further discussion of the AAP.</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American Rescue Plan Act of 2021 (the “ARP Act”) was enacted on March 11, 2021 in the United States. The ARP Act was designed to assist the country with the effects of the COVID-19 pandemic and included a number of tax components. The ARP Act’s primary tax impact on the Company is a new revenue raising provision that requires the Company to include the next five highest paid employees to the list of covered officers already subject to the IRC Section 162(m) wage limitation beginning in the 2027 tax year. The Company will continue to assess the effect of the ARP Act and ongoing other government legislation related to the COVID-19 pandemic that may be issued.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Adopted by the Company</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FASB Accounting Standards Update, or ASU, ASU 2021-01 “Reference Rate Reform (Topic 848): Scope” or ASU 2020-4 - </w:t>
      </w:r>
      <w:r>
        <w:rPr>
          <w:rFonts w:ascii="Arial" w:cs="Arial" w:eastAsia="Arial" w:hAnsi="Arial"/>
          <w:sz w:val="16"/>
          <w:szCs w:val="16"/>
          <w:color w:val="auto"/>
        </w:rPr>
        <w:t>On January 7, 2021,</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issued ASU 2021-01 to amend the scope of the guidance in ASU 2020-04 “Reference Rate Reform (Topic 848): Facilitation of the Effects of Reference Rate Reform on Financial Reporting” or ASU 2020-4. Specifically, the amendments in ASU 2021-01 clarify that “certain optional expedients and exceptions in Topic 848 for contract modifications and hedge accounting apply to derivatives that are affected by the discounting transition.” The amendment in ASU 2021-1 is available to all entities: (i) on a full retrospective basis as of any date from the beginning of an interim period that includes or is subsequent to March 12, 2020 through the date that the final update to the standard was issued or (ii) on a prospective basis for new contract modifications through December 31, 2022. The Company has adopted ASU 2021-01 on a prospective basis effective as of January 7, 2021. There was no material impact to the Company’s Interim Financial Statements or related disclosures as a result of the adoption of ASU 2021-01.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31 of its senior living communities from subsidiaries of Ensign, and each of the leases have a term of between 14 and 20 years from the lease commencement date. The total amount of rent expense included in Rent - cost of services paid to subsidiaries of Ensign was $3,173 and $6,246 for the three and six months ended June 30, 2021, respectively, and $3,071 and $6,172 for the three and six months ended June 30, 2020, respectively.</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subsidiaries received services from Ensign’s subsidiaries. Services included in cost of services were $749 and $1,617 for the three and six months ended June 30, 2021 and $1,166 and $2,188 for the three and six months ended June 30, 2020, respectively.</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 2019, in connection with the Spin-Off, Pennant entered into several agreements with Ensign that set forth the principal actions taken or to be taken in connection with the Spin-Off and govern the relationship of the parties following the Spin-Off. The Company has incurred costs of $747 and $1,735 for the three and six months ended June 30, 2021, respectively, and $1,525 and $2,861 for the three and six months ended June 30, 2020, respectively, which costs related primarily to administrative support under the Transitions Services Agreement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COMPUTATION OF NET INCOME PER COMMON SHARE</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The following table sets forth the computation of basic and diluted net income per share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Three Months Ended June 30,</w:t>
            </w:r>
          </w:p>
        </w:tc>
        <w:tc>
          <w:tcPr>
            <w:tcW w:w="140" w:type="dxa"/>
            <w:vAlign w:val="bottom"/>
          </w:tcPr>
          <w:p>
            <w:pPr>
              <w:spacing w:after="0"/>
              <w:rPr>
                <w:sz w:val="20"/>
                <w:szCs w:val="20"/>
                <w:color w:val="auto"/>
              </w:rPr>
            </w:pPr>
          </w:p>
        </w:tc>
        <w:tc>
          <w:tcPr>
            <w:tcW w:w="23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2,469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3,382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net loss attributable to noncontrolling interests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tcPr>
          <w:p>
            <w:pPr>
              <w:ind w:left="480"/>
              <w:spacing w:after="0"/>
              <w:rPr>
                <w:sz w:val="20"/>
                <w:szCs w:val="20"/>
                <w:color w:val="auto"/>
              </w:rPr>
            </w:pPr>
            <w:r>
              <w:rPr>
                <w:rFonts w:ascii="Arial" w:cs="Arial" w:eastAsia="Arial" w:hAnsi="Arial"/>
                <w:sz w:val="18"/>
                <w:szCs w:val="18"/>
                <w:color w:val="auto"/>
              </w:rPr>
              <w:t>Net income attributable to The Pennant Group, Inc.</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for basic net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27,922</w:t>
            </w:r>
          </w:p>
        </w:tc>
        <w:tc>
          <w:tcPr>
            <w:tcW w:w="0" w:type="dxa"/>
            <w:vAlign w:val="bottom"/>
          </w:tcPr>
          <w:p>
            <w:pPr>
              <w:spacing w:after="0"/>
              <w:rPr>
                <w:sz w:val="1"/>
                <w:szCs w:val="1"/>
                <w:color w:val="auto"/>
              </w:rPr>
            </w:pPr>
          </w:p>
        </w:tc>
      </w:tr>
      <w:tr>
        <w:trPr>
          <w:trHeight w:val="176"/>
        </w:trPr>
        <w:tc>
          <w:tcPr>
            <w:tcW w:w="6260" w:type="dxa"/>
            <w:vAlign w:val="bottom"/>
          </w:tcPr>
          <w:p>
            <w:pPr>
              <w:ind w:left="140"/>
              <w:spacing w:after="0" w:line="176" w:lineRule="exact"/>
              <w:rPr>
                <w:sz w:val="20"/>
                <w:szCs w:val="20"/>
                <w:color w:val="auto"/>
              </w:rPr>
            </w:pPr>
            <w:r>
              <w:rPr>
                <w:rFonts w:ascii="Arial" w:cs="Arial" w:eastAsia="Arial" w:hAnsi="Arial"/>
                <w:sz w:val="18"/>
                <w:szCs w:val="18"/>
                <w:color w:val="auto"/>
                <w:w w:val="90"/>
              </w:rPr>
              <w:t>Plus: assumed incremental shares from exercise of options and assumed conversion</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2,291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2,461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or vesting of restricted stock</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260" w:type="dxa"/>
            <w:vAlign w:val="bottom"/>
            <w:shd w:val="clear" w:color="auto" w:fill="CCEEFF"/>
          </w:tcPr>
          <w:p>
            <w:pPr>
              <w:ind w:left="460"/>
              <w:spacing w:after="0" w:line="156" w:lineRule="exact"/>
              <w:rPr>
                <w:sz w:val="20"/>
                <w:szCs w:val="20"/>
                <w:color w:val="auto"/>
              </w:rPr>
            </w:pPr>
            <w:r>
              <w:rPr>
                <w:rFonts w:ascii="Arial" w:cs="Arial" w:eastAsia="Arial" w:hAnsi="Arial"/>
                <w:sz w:val="18"/>
                <w:szCs w:val="18"/>
                <w:color w:val="auto"/>
                <w:w w:val="92"/>
              </w:rPr>
              <w:t>Adjusted weighted average common shares outstanding for diluted income per</w:t>
            </w: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30,647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29,662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30,785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29,780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w:t>
            </w: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Basic net income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net income per common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left="480" w:right="20" w:hanging="454"/>
        <w:spacing w:after="0" w:line="243" w:lineRule="auto"/>
        <w:tabs>
          <w:tab w:leader="none" w:pos="480" w:val="left"/>
        </w:tabs>
        <w:numPr>
          <w:ilvl w:val="1"/>
          <w:numId w:val="4"/>
        </w:numPr>
        <w:rPr>
          <w:rFonts w:ascii="Arial" w:cs="Arial" w:eastAsia="Arial" w:hAnsi="Arial"/>
          <w:sz w:val="13"/>
          <w:szCs w:val="13"/>
          <w:color w:val="auto"/>
        </w:rPr>
      </w:pPr>
      <w:r>
        <w:rPr>
          <w:rFonts w:ascii="Arial" w:cs="Arial" w:eastAsia="Arial" w:hAnsi="Arial"/>
          <w:sz w:val="13"/>
          <w:szCs w:val="13"/>
          <w:color w:val="auto"/>
        </w:rPr>
        <w:t>The calculation of dilutive shares outstanding excludes out-of-the-money stock options (i.e., such options’ exercise prices were greater than the average market price of our common shares for the period) because their inclusion would have been antidilutive. Options outstanding which are anti-dilutive and therefore not factored into the weighted average common shares amount above were 484 and 380 for the three and six months ended June 30, 2021 and 240 and 102 for the three and six months ended June 30, 2020.</w:t>
      </w:r>
    </w:p>
    <w:p>
      <w:pPr>
        <w:spacing w:after="0" w:line="369" w:lineRule="exact"/>
        <w:rPr>
          <w:rFonts w:ascii="Arial" w:cs="Arial" w:eastAsia="Arial" w:hAnsi="Arial"/>
          <w:sz w:val="13"/>
          <w:szCs w:val="13"/>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ACCOUNTS RECEIVABLE</w:t>
      </w:r>
    </w:p>
    <w:p>
      <w:pPr>
        <w:spacing w:after="0" w:line="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is recognized when services are provided to the patients at the amount that reflects the consideration to which the Company expects to be entitled from patients and third-party payors, including Medicaid, Medicare and insurers (private, Medicare Advantage and Medicare replacement plans), in exchange for providing patient care.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from the Medicare and Medicaid programs accounted for 61.7% and 62.8% of the Company’s revenue, for the three and six months ended June 30, 2021, and 59.4% and 58.7% for the three and six months ended June 30, 2020, respectively. 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disaggregates revenue from contracts with its patients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service specific revenue recognition policies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Health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Revenue</w:t>
      </w:r>
    </w:p>
    <w:p>
      <w:pPr>
        <w:spacing w:after="0" w:line="25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For Medicare episodes that began after January 1, 2020, net service revenue is recognized in accordance with the Patient Driven Groupings Model (“PDGM”). This new reimbursement structure involves case mix calculation methodology refinements, changes to low-utilization payment adjustment (“LUPA”) thresholds, the elimination of therapy thresholds, a change to the unit of payment from a 60-day episode to a 30-day payment period, and reduction of requests for anticipated payments (“RAPs”) to 20% of the estimated payment for a patient’s initial or subsequent period of care up-front (after the initial assessment is completed and upon initial billing). The RAPs were phased out effective January 1, 2021.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LUPA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w:t>
      </w:r>
    </w:p>
    <w:p>
      <w:pPr>
        <w:spacing w:after="0" w:line="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to the acuity of the patient during the previous 30-day payment period; (f) changes in the base payments established by the Medicare program;</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adjustments to the base payments for case mix and geographic wages; and (h) recoveries of overpayments.</w:t>
      </w:r>
    </w:p>
    <w:p>
      <w:pPr>
        <w:spacing w:after="0" w:line="23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For all episodes that began prior to January 1, 2020, net service revenue was recorded under the Medicare prospective payment system based on a 60-day episode payment rate that is subject to adjustment based on certain variables including, but not limited to: (a) an outlier payment if the patient’s care was unusually costly; (b) a LUPA if the number of visits was fewer than five; (c) a partial payment if the patient transferred to another provider or transferred from another provider before completing the episode; (d) a payment adjustment based upon the level of covered therapy services; (e) the number of episodes of care provided to a patient, regardless of whether the same home health provider provided care for the entire series of episodes;</w:t>
      </w:r>
    </w:p>
    <w:p>
      <w:pPr>
        <w:spacing w:after="0" w:line="2" w:lineRule="exact"/>
        <w:rPr>
          <w:sz w:val="20"/>
          <w:szCs w:val="20"/>
          <w:color w:val="auto"/>
        </w:rPr>
      </w:pPr>
    </w:p>
    <w:p>
      <w:pPr>
        <w:ind w:firstLine="8"/>
        <w:spacing w:after="0" w:line="260" w:lineRule="auto"/>
        <w:tabs>
          <w:tab w:leader="none" w:pos="231"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base episode payments established by the Medicare program; (g) adjustments to the base episode payments for case mix and geographic wages; and (h) recoveries of overpayments.</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revenue recognized on completed episodes and periods, the Company also recognizes a portion of revenue associated with episodes and periods in progress. Episodes in progress are 30-day payment periods, if the episode started after January 1, 2020, or 60-day episodes of care, if the episode started prior to January 1, 2020,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Non-Medicare Revenue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Episodic Based Revenue - </w:t>
      </w:r>
      <w:r>
        <w:rPr>
          <w:rFonts w:ascii="Arial" w:cs="Arial" w:eastAsia="Arial" w:hAnsi="Arial"/>
          <w:sz w:val="17"/>
          <w:szCs w:val="17"/>
          <w:color w:val="auto"/>
        </w:rPr>
        <w:t>The Company recognizes revenue in a similar manner as it recognizes Medicare revenue for episodic-based rates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paid by other insurance carriers, including Medicare Advantage programs. These rates can vary based upon the negotiated terms.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Non-episodic Based Revenue - </w:t>
      </w:r>
      <w:r>
        <w:rPr>
          <w:rFonts w:ascii="Arial" w:cs="Arial" w:eastAsia="Arial" w:hAnsi="Arial"/>
          <w:sz w:val="18"/>
          <w:szCs w:val="18"/>
          <w:color w:val="auto"/>
        </w:rPr>
        <w:t>Revenue is recognized on an accrual basis based upon the date of service at amounts equal to its established or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per visit rates, as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Hospice Revenue</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Living Revenue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has elected the lessor practical expedient within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for its senior residency agreements, for which it has determined that the non-lease components of such residency agreements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component of each such contract.</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senior living revenue consists of fees for basic housing and assisted living care. Accordingly, the Company records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Payor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payor for the three months ended June 30, 2021 and 2020,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1180"/>
              <w:spacing w:after="0"/>
              <w:rPr>
                <w:sz w:val="20"/>
                <w:szCs w:val="20"/>
                <w:color w:val="auto"/>
              </w:rPr>
            </w:pPr>
            <w:r>
              <w:rPr>
                <w:rFonts w:ascii="Arial" w:cs="Arial" w:eastAsia="Arial" w:hAnsi="Arial"/>
                <w:sz w:val="18"/>
                <w:szCs w:val="18"/>
                <w:b w:val="1"/>
                <w:bCs w:val="1"/>
                <w:color w:val="auto"/>
              </w:rPr>
              <w:t>Three Months Ended June 30, 2021</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33,303</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53,801</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68,038</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29,417</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110,345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480" w:hanging="454"/>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ind w:left="1160"/>
              <w:spacing w:after="0"/>
              <w:rPr>
                <w:sz w:val="20"/>
                <w:szCs w:val="20"/>
                <w:color w:val="auto"/>
              </w:rPr>
            </w:pPr>
            <w:r>
              <w:rPr>
                <w:rFonts w:ascii="Arial" w:cs="Arial" w:eastAsia="Arial" w:hAnsi="Arial"/>
                <w:sz w:val="18"/>
                <w:szCs w:val="18"/>
                <w:b w:val="1"/>
                <w:bCs w:val="1"/>
                <w:color w:val="auto"/>
              </w:rPr>
              <w:t>Three Months Ended June 30, 2020</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1"/>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28,550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40,358</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43.5 %</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14,755</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22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32,187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55,113</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30,384</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480" w:hanging="454"/>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payor for the six months ended June 30, 2021 and 2020,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1280"/>
              <w:spacing w:after="0"/>
              <w:rPr>
                <w:sz w:val="20"/>
                <w:szCs w:val="20"/>
                <w:color w:val="auto"/>
              </w:rPr>
            </w:pPr>
            <w:r>
              <w:rPr>
                <w:rFonts w:ascii="Arial" w:cs="Arial" w:eastAsia="Arial" w:hAnsi="Arial"/>
                <w:sz w:val="18"/>
                <w:szCs w:val="18"/>
                <w:b w:val="1"/>
                <w:bCs w:val="1"/>
                <w:color w:val="auto"/>
              </w:rPr>
              <w:t>Six Months Ended June 30, 2021</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40,828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66,712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107,540</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28,090</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45,549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72,145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135,630</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23,979</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56,399</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ind w:left="1280"/>
              <w:spacing w:after="0"/>
              <w:rPr>
                <w:sz w:val="20"/>
                <w:szCs w:val="20"/>
                <w:color w:val="auto"/>
              </w:rPr>
            </w:pPr>
            <w:r>
              <w:rPr>
                <w:rFonts w:ascii="Arial" w:cs="Arial" w:eastAsia="Arial" w:hAnsi="Arial"/>
                <w:sz w:val="18"/>
                <w:szCs w:val="18"/>
                <w:b w:val="1"/>
                <w:bCs w:val="1"/>
                <w:color w:val="auto"/>
              </w:rPr>
              <w:t>Six Months Ended June 30, 2020</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1"/>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24,384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55,230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79,614</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28,707</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22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27,937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62,196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108,321</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61,493</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184,589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Impact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As of June 30, 2021, the Company had contract liabilities in the amount of $20,901 related to Advance Payments received in connection with the CARES Act reported in other current liabilities. As further discussed in Note 10,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the repayment terms for Medicare advance payments were modified through the passage of the Continuing Appropriations Act,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Extensions Act on October 1,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as of June 30, 2021 and December 31, 2020 is summarized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2021</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December 31, 2020</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178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28,569</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Medicaid</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7,669</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 and other</w:t>
            </w:r>
          </w:p>
        </w:tc>
        <w:tc>
          <w:tcPr>
            <w:tcW w:w="1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w:t>
            </w:r>
          </w:p>
        </w:tc>
      </w:tr>
      <w:tr>
        <w:trPr>
          <w:trHeight w:val="223"/>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gross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53,050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47,864</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doubtful accounts</w:t>
            </w:r>
          </w:p>
        </w:tc>
        <w:tc>
          <w:tcPr>
            <w:tcW w:w="1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r>
      <w:tr>
        <w:trPr>
          <w:trHeight w:val="248"/>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780" w:type="dxa"/>
            <w:vAlign w:val="bottom"/>
            <w:tcBorders>
              <w:bottom w:val="single" w:sz="8" w:color="auto"/>
            </w:tcBorders>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Arial" w:cs="Arial" w:eastAsia="Arial" w:hAnsi="Arial"/>
          <w:sz w:val="16"/>
          <w:szCs w:val="16"/>
          <w:i w:val="1"/>
          <w:iCs w:val="1"/>
          <w:color w:val="auto"/>
        </w:rPr>
        <w:t>Other Assets and Deferred Costs</w:t>
      </w:r>
      <w:r>
        <w:rPr>
          <w:rFonts w:ascii="Arial" w:cs="Arial" w:eastAsia="Arial" w:hAnsi="Arial"/>
          <w:sz w:val="16"/>
          <w:szCs w:val="16"/>
          <w:color w:val="auto"/>
        </w:rPr>
        <w:t xml:space="preserve"> (“ASC 340”), and all incremental customer contract acquisition costs are expensed as they are incurred because the amortization period would have been one year or less.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5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Our Chief Executive Officer, who is our Chief Operating Decision Maker (“CODM”), reviews financial information at the operating segment level. We also report an “all other” category that includes general and administrative expense from our Service Center.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2021, the Company provided services through 86 affiliated home health, hospice and home care agencies, and 54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CODM uses Segment Adjusted EBITDAR from Operations as the primary measure of profit and loss for the Company's reportable segments and to compare the performance of its operations with those of its competitors. 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(4) redundant and nonrecurring costs associated with the Transition Services Agreement, and (5) net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present certain financial information regarding our reportable segments, general and administrative expenses are not allocated to the reportable segments and are included in “All Other” for the three and six months ended June 30,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99"/>
              </w:rPr>
              <w:t>Hospice Services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2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78,105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32,240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110,345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 2020</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92,740</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11,245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13,492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20,738</w:t>
            </w:r>
          </w:p>
        </w:tc>
        <w:tc>
          <w:tcPr>
            <w:tcW w:w="0" w:type="dxa"/>
            <w:vAlign w:val="bottom"/>
          </w:tcPr>
          <w:p>
            <w:pPr>
              <w:spacing w:after="0"/>
              <w:rPr>
                <w:sz w:val="1"/>
                <w:szCs w:val="1"/>
                <w:color w:val="auto"/>
              </w:rPr>
            </w:pPr>
          </w:p>
        </w:tc>
      </w:tr>
    </w:tbl>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Hospice Services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2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152,712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63,296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216,008</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34,842</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184,589</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21,151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25,989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(8,781)</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38,359</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following table provides a reconciliation of Segment Adjusted EBITDAR from Operations to income from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Three Months Ended June 30,</w:t>
            </w:r>
          </w:p>
        </w:tc>
        <w:tc>
          <w:tcPr>
            <w:tcW w:w="180" w:type="dxa"/>
            <w:vAlign w:val="bottom"/>
          </w:tcPr>
          <w:p>
            <w:pPr>
              <w:spacing w:after="0"/>
              <w:rPr>
                <w:sz w:val="20"/>
                <w:szCs w:val="20"/>
                <w:color w:val="auto"/>
              </w:rPr>
            </w:pPr>
          </w:p>
        </w:tc>
        <w:tc>
          <w:tcPr>
            <w:tcW w:w="24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59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34,842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38,359</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r>
      <w:tr>
        <w:trPr>
          <w:trHeight w:val="230"/>
        </w:trPr>
        <w:tc>
          <w:tcPr>
            <w:tcW w:w="5940" w:type="dxa"/>
            <w:vAlign w:val="bottom"/>
          </w:tcPr>
          <w:p>
            <w:pPr>
              <w:ind w:left="480"/>
              <w:spacing w:after="0"/>
              <w:rPr>
                <w:sz w:val="20"/>
                <w:szCs w:val="20"/>
                <w:color w:val="auto"/>
              </w:rPr>
            </w:pPr>
            <w:r>
              <w:rPr>
                <w:rFonts w:ascii="Arial" w:cs="Arial" w:eastAsia="Arial" w:hAnsi="Arial"/>
                <w:sz w:val="18"/>
                <w:szCs w:val="18"/>
                <w:color w:val="auto"/>
              </w:rPr>
              <w:t>Rent—cost of services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19,473</w:t>
            </w:r>
          </w:p>
        </w:tc>
      </w:tr>
      <w:tr>
        <w:trPr>
          <w:trHeight w:val="230"/>
        </w:trPr>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30"/>
        </w:trPr>
        <w:tc>
          <w:tcPr>
            <w:tcW w:w="5940" w:type="dxa"/>
            <w:vAlign w:val="bottom"/>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(b)</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3,915</w:t>
            </w:r>
          </w:p>
        </w:tc>
      </w:tr>
      <w:tr>
        <w:trPr>
          <w:trHeight w:val="230"/>
        </w:trPr>
        <w:tc>
          <w:tcPr>
            <w:tcW w:w="59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(c)</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29"/>
        </w:trPr>
        <w:tc>
          <w:tcPr>
            <w:tcW w:w="59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Net COVID-19 related costs</w:t>
            </w:r>
            <w:r>
              <w:rPr>
                <w:rFonts w:ascii="Arial" w:cs="Arial" w:eastAsia="Arial" w:hAnsi="Arial"/>
                <w:sz w:val="23"/>
                <w:szCs w:val="23"/>
                <w:color w:val="auto"/>
                <w:vertAlign w:val="superscript"/>
              </w:rPr>
              <w:t>(e)</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Add: Net loss attributable to noncontrolling interest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Condensed Consolidated Income from Operations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 related costs related to business combinations completed during the periods.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left="480" w:right="340" w:hanging="323"/>
        <w:spacing w:after="0" w:line="231" w:lineRule="auto"/>
        <w:rPr>
          <w:sz w:val="20"/>
          <w:szCs w:val="20"/>
          <w:color w:val="auto"/>
        </w:rPr>
      </w:pPr>
      <w:r>
        <w:rPr>
          <w:rFonts w:ascii="Arial" w:cs="Arial" w:eastAsia="Arial" w:hAnsi="Arial"/>
          <w:sz w:val="13"/>
          <w:szCs w:val="13"/>
          <w:color w:val="auto"/>
        </w:rPr>
        <w:t>A portion of the costs incurred under the Transition Services Agreement identified as redundant or nonrecurring that are included in general and administrative expense. Fees incurred under the Transition Services agreement, net of the Company’s payroll reimbursement, were $747 and $1,735 for the three and six months ended June 30, 2021, and $1,525 and $2,861 for the three and six months ended June 30, 2020, respectively. During the fourth quarter of fiscal 2020, we updated our Transition service costs adjustment to include duplicate software costs. The prior year transition service costs adjustment has been recast to reflect the change. The adjustment to the prior year transition service costs was $113 and $220 for the duplicative software costs for the three and six months ended June 30, 2020 that were included in the 2020 full year amount in the Company’s as filed Form 10-K.</w:t>
      </w:r>
    </w:p>
    <w:p>
      <w:pPr>
        <w:spacing w:after="0" w:line="10" w:lineRule="exact"/>
        <w:rPr>
          <w:sz w:val="20"/>
          <w:szCs w:val="20"/>
          <w:color w:val="auto"/>
        </w:rPr>
      </w:pPr>
    </w:p>
    <w:p>
      <w:pPr>
        <w:jc w:val="both"/>
        <w:ind w:left="480" w:right="340" w:hanging="323"/>
        <w:spacing w:after="0" w:line="243" w:lineRule="auto"/>
        <w:rPr>
          <w:sz w:val="20"/>
          <w:szCs w:val="20"/>
          <w:color w:val="auto"/>
        </w:rPr>
      </w:pPr>
      <w:r>
        <w:rPr>
          <w:rFonts w:ascii="Arial" w:cs="Arial" w:eastAsia="Arial" w:hAnsi="Arial"/>
          <w:sz w:val="13"/>
          <w:szCs w:val="13"/>
          <w:color w:val="auto"/>
        </w:rPr>
        <w:t>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has been extended through December 31, 2021. Sequestration relief was $870 and $1,818 for the three and six months ended June 30, 2021, respectively.</w:t>
      </w:r>
    </w:p>
    <w:p>
      <w:pPr>
        <w:spacing w:after="0" w:line="194" w:lineRule="exact"/>
        <w:rPr>
          <w:sz w:val="20"/>
          <w:szCs w:val="20"/>
          <w:color w:val="auto"/>
        </w:rPr>
      </w:pPr>
    </w:p>
    <w:p>
      <w:pPr>
        <w:jc w:val="both"/>
        <w:ind w:left="480" w:right="360" w:hanging="323"/>
        <w:spacing w:after="0" w:line="224" w:lineRule="auto"/>
        <w:rPr>
          <w:sz w:val="20"/>
          <w:szCs w:val="20"/>
          <w:color w:val="auto"/>
        </w:rPr>
      </w:pPr>
      <w:r>
        <w:rPr>
          <w:rFonts w:ascii="Arial" w:cs="Arial" w:eastAsia="Arial" w:hAnsi="Arial"/>
          <w:sz w:val="14"/>
          <w:szCs w:val="14"/>
          <w:color w:val="auto"/>
        </w:rPr>
        <w:t>The 2020 amounts represent incremental costs incurred as part of the Company's response to COVID-19 including direct medical supplies, labor, and other expenses, net of $554 in increased revenue related to the 2% payment increase in Medicare reimbursements for sequestration relief for both the three and six months ended June 30, 2020. The COVID-19 costs do not include $277 in costs for the three months ended March 31, 2020 that were included in the 2020 full year amount.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5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six months ended June 30, 2021, the Company expanded its operations with the addition of five home health, three hospice and two home care agencies. The aggregate purchase price for these acquisitions was $13,385. A subsidiary of the Company entered into a separate operations transfer agreement with the prior operator of each acquired operation as part of each transaction.</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fair value of assets for home health, hospice and home care acquisitions was mostly concentrated in goodwill and intangible assets and as such, these transactions were classified as business combinations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The purchase price for the business combinations was $12,800, which consisted of equipment and other assets of $64, goodwill of $6,920, and indefinite-lived intangible assets of $5,816 related to Medicare and Medicaid licenses. The Company anticipates that the total goodwill recognized will be fully deductible for tax purposes. There were no material acquisition costs that were expensed related to the business combinations during the six months ended June 30, 2021.</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Two of the hospice agencies were acquired Medicare licenses and are considered asset acquisitions. The fair value of assets for the hospice licenses acquired totaled $585 and was allocated to indefinite-lived intangible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the six months ended June 30, 2020, the Company expanded its operations with the addition of one home health agency, three hospice agencies, and two senior living communities. The aggregate purchase price for these acquisitions was $7,268. In connection with the addition of the senior living communities, the Company entered into new long-term “triple-net” leases with subsidiaries of Ensign. The addition of these operations added a total of 164 operational senior living units to be operated by the Company’s independent operating subsidiaries. A subsidiary of the Company entered into a separate operations transfer agreement with the prior operator of each acquired operation as part of each transaction.</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fair value of assets for all home health, hospice and home care acquisitions was concentrated in goodwill and as such, these transactions were classified as business combinations in accordance with ASC 805. The purchase price for the business combinations was $7,268, which mostly consisted of equipment of $44, goodwill of $4,139, indefinite-lived intangible assets of $3,166 related to Medicare and Medicaid licenses, net of assumed liabilities of $81. The majority of total goodwill recognized is fully deductible for tax purposes. There were no acquisition costs that were expensed related to the business combinations of home health, hospice, and home care during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8. PROPERTY AND EQUIPMENT—NET</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7"/>
        </w:trPr>
        <w:tc>
          <w:tcPr>
            <w:tcW w:w="7180" w:type="dxa"/>
            <w:vAlign w:val="bottom"/>
          </w:tcPr>
          <w:p>
            <w:pPr>
              <w:ind w:left="660"/>
              <w:spacing w:after="0"/>
              <w:rPr>
                <w:sz w:val="20"/>
                <w:szCs w:val="20"/>
                <w:color w:val="auto"/>
              </w:rPr>
            </w:pPr>
            <w:r>
              <w:rPr>
                <w:rFonts w:ascii="Arial" w:cs="Arial" w:eastAsia="Arial" w:hAnsi="Arial"/>
                <w:sz w:val="18"/>
                <w:szCs w:val="18"/>
                <w:color w:val="auto"/>
              </w:rPr>
              <w:t>Property and equipment, net consist of the following:</w:t>
            </w: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56"/>
        </w:trPr>
        <w:tc>
          <w:tcPr>
            <w:tcW w:w="7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9,984</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r>
      <w:tr>
        <w:trPr>
          <w:trHeight w:val="223"/>
        </w:trPr>
        <w:tc>
          <w:tcPr>
            <w:tcW w:w="7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33,590</w:t>
            </w:r>
          </w:p>
        </w:tc>
      </w:tr>
      <w:tr>
        <w:trPr>
          <w:trHeight w:val="229"/>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(15,706)</w:t>
            </w: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expense was $1,167 and $2,338 for the three and six months ended June 30, 2021, respectively, and $1,197 and $2,215 for the three and six months ended June 30, 2020, respectively.</w:t>
      </w:r>
    </w:p>
    <w:p>
      <w:pPr>
        <w:spacing w:after="0" w:line="19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Company measures certain assets at fair value on a non-recurring basis, including long-lived assets, which are evaluated for impairment. Long-lived assets include assets such as property and equipment, operating lease assets and certain intangible assets. The inputs used to determine the fair value of long-lived assets and a reporting unit are considered Level 3 measurements due to their subjective nature. Management has evaluated its long-lived assets and determined there was no impairment during the three and six months ended June 30, 2021 and 2020.</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INDEFINITE-LIVED INTANGIBLE ASSETS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activity in goodwill by segment for the six months ended June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Home Health and</w:t>
            </w:r>
          </w:p>
        </w:tc>
        <w:tc>
          <w:tcPr>
            <w:tcW w:w="200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9"/>
              </w:rPr>
              <w:t>Senior Living Services</w:t>
            </w:r>
          </w:p>
        </w:tc>
        <w:tc>
          <w:tcPr>
            <w:tcW w:w="180" w:type="dxa"/>
            <w:vAlign w:val="bottom"/>
          </w:tcPr>
          <w:p>
            <w:pPr>
              <w:spacing w:after="0"/>
              <w:rPr>
                <w:sz w:val="18"/>
                <w:szCs w:val="18"/>
                <w:color w:val="auto"/>
              </w:rPr>
            </w:pPr>
          </w:p>
        </w:tc>
        <w:tc>
          <w:tcPr>
            <w:tcW w:w="176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Hospice Services</w:t>
            </w:r>
          </w:p>
        </w:tc>
        <w:tc>
          <w:tcPr>
            <w:tcW w:w="20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66,444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73,364</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660"/>
              <w:spacing w:after="0"/>
              <w:rPr>
                <w:sz w:val="20"/>
                <w:szCs w:val="20"/>
                <w:color w:val="auto"/>
              </w:rPr>
            </w:pPr>
            <w:r>
              <w:rPr>
                <w:rFonts w:ascii="Arial" w:cs="Arial" w:eastAsia="Arial" w:hAnsi="Arial"/>
                <w:sz w:val="18"/>
                <w:szCs w:val="18"/>
                <w:color w:val="auto"/>
                <w:w w:val="92"/>
              </w:rPr>
              <w:t>Other indefinite-lived intangible assets consist of the following:</w:t>
            </w: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 2021</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 and Medicaid licenses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46,133</w:t>
            </w:r>
          </w:p>
        </w:tc>
        <w:tc>
          <w:tcPr>
            <w:tcW w:w="0" w:type="dxa"/>
            <w:vAlign w:val="bottom"/>
          </w:tcPr>
          <w:p>
            <w:pPr>
              <w:spacing w:after="0"/>
              <w:rPr>
                <w:sz w:val="1"/>
                <w:szCs w:val="1"/>
                <w:color w:val="auto"/>
              </w:rPr>
            </w:pPr>
          </w:p>
        </w:tc>
      </w:tr>
      <w:tr>
        <w:trPr>
          <w:trHeight w:val="223"/>
        </w:trPr>
        <w:tc>
          <w:tcPr>
            <w:tcW w:w="526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June 30, 2021, we evaluated potential triggering events that might be indicators that our goodwill and indefinite lived intangibles were impaired. The Company concluded that the current economic and business conditions did not result in a triggering event requiring a quantitative goodwill impairment analysis. No goodwill or intangible asset impairments were recorded during the three and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ACCRUED LIABILITIES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660"/>
              <w:spacing w:after="0"/>
              <w:rPr>
                <w:sz w:val="20"/>
                <w:szCs w:val="20"/>
                <w:color w:val="auto"/>
              </w:rPr>
            </w:pPr>
            <w:r>
              <w:rPr>
                <w:rFonts w:ascii="Arial" w:cs="Arial" w:eastAsia="Arial" w:hAnsi="Arial"/>
                <w:sz w:val="18"/>
                <w:szCs w:val="18"/>
                <w:color w:val="auto"/>
              </w:rPr>
              <w:t>Other accrued liabilities consist of the following:</w:t>
            </w:r>
          </w:p>
        </w:tc>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9"/>
        </w:trPr>
        <w:tc>
          <w:tcPr>
            <w:tcW w:w="676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2021</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Refunds payable</w:t>
            </w:r>
          </w:p>
        </w:tc>
        <w:tc>
          <w:tcPr>
            <w:tcW w:w="1620" w:type="dxa"/>
            <w:vAlign w:val="bottom"/>
          </w:tcPr>
          <w:p>
            <w:pPr>
              <w:jc w:val="right"/>
              <w:ind w:right="14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2,664</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Resident deposits</w:t>
            </w:r>
          </w:p>
        </w:tc>
        <w:tc>
          <w:tcPr>
            <w:tcW w:w="1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5,647</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(CARES Act advance payments)</w:t>
            </w:r>
          </w:p>
        </w:tc>
        <w:tc>
          <w:tcPr>
            <w:tcW w:w="1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22,771</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1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self-insurance liabilities - current portion</w:t>
            </w:r>
          </w:p>
        </w:tc>
        <w:tc>
          <w:tcPr>
            <w:tcW w:w="1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1620" w:type="dxa"/>
            <w:vAlign w:val="bottom"/>
            <w:tcBorders>
              <w:bottom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37,412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Refunds payable includes payables related to overpayments, duplicate payments and credit balances from various payor sources. Deferred revenue occurs when the Company receives payments in advance of services provided. Resident deposits include refundable deposits to residents and a small portion consists of non-refundable deposits recognized into revenue over a period of time. The CARES Act also expanded the ability of CMS to provide accelerated or advance payments intended to increase the cash flow of healthcare providers and suppliers impacted by COVID-19. During the prior year the Company applied for and received $27,997 in funds under the AAP Program. On October 1, 2020, the Continuing Appropriations Act, 2021 and Other Extensions Act (the “CA Act”) was signed into law. Among other things, the CARES Act significantly changed the repayment terms for AAP. In April 2021 CMS began automatic recoupment of these amounts through offsets to new claims. Medicare will automatically recoup 25 percent of Medicare payments for 11 months. At the end of the 11 months and assuming full repayment has not occurred, recoupment will increase to 50 percent for another six months. Any balance outstanding after these two recoupment periods will be subject to repayment at a four percent interest rate. As of June 30, 2021, CMS had recouped $7,096 of the AAP. The Company anticipates completing repayment of the AAP within the allotted recoupment periods.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11. DEBT</w:t>
            </w: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6"/>
        </w:trPr>
        <w:tc>
          <w:tcPr>
            <w:tcW w:w="6640" w:type="dxa"/>
            <w:vAlign w:val="bottom"/>
          </w:tcPr>
          <w:p>
            <w:pPr>
              <w:ind w:left="660"/>
              <w:spacing w:after="0"/>
              <w:rPr>
                <w:sz w:val="20"/>
                <w:szCs w:val="20"/>
                <w:color w:val="auto"/>
              </w:rPr>
            </w:pPr>
            <w:r>
              <w:rPr>
                <w:rFonts w:ascii="Arial" w:cs="Arial" w:eastAsia="Arial" w:hAnsi="Arial"/>
                <w:sz w:val="18"/>
                <w:szCs w:val="18"/>
                <w:color w:val="auto"/>
              </w:rPr>
              <w:t>Long-term debt, net consists of the following:</w:t>
            </w:r>
          </w:p>
        </w:tc>
        <w:tc>
          <w:tcPr>
            <w:tcW w:w="1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56"/>
        </w:trPr>
        <w:tc>
          <w:tcPr>
            <w:tcW w:w="664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2021</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66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88"/>
              </w:rPr>
              <w:t>9,500</w:t>
            </w:r>
          </w:p>
        </w:tc>
      </w:tr>
      <w:tr>
        <w:trPr>
          <w:trHeight w:val="230"/>
        </w:trPr>
        <w:tc>
          <w:tcPr>
            <w:tcW w:w="66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Less: unamortized debt issuance costs</w:t>
            </w:r>
            <w:r>
              <w:rPr>
                <w:rFonts w:ascii="Arial" w:cs="Arial" w:eastAsia="Arial" w:hAnsi="Arial"/>
                <w:sz w:val="23"/>
                <w:szCs w:val="23"/>
                <w:color w:val="auto"/>
                <w:vertAlign w:val="superscript"/>
              </w:rPr>
              <w:t>(a)</w:t>
            </w:r>
          </w:p>
        </w:tc>
        <w:tc>
          <w:tcPr>
            <w:tcW w:w="1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(2,387)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left="1330"/>
              <w:spacing w:after="0"/>
              <w:rPr>
                <w:sz w:val="20"/>
                <w:szCs w:val="20"/>
                <w:color w:val="auto"/>
              </w:rPr>
            </w:pPr>
            <w:r>
              <w:rPr>
                <w:rFonts w:ascii="Arial" w:cs="Arial" w:eastAsia="Arial" w:hAnsi="Arial"/>
                <w:sz w:val="18"/>
                <w:szCs w:val="18"/>
                <w:color w:val="auto"/>
                <w:w w:val="94"/>
              </w:rPr>
              <w:t>(1,223)</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8"/>
              </w:rPr>
              <w:t>38,113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center"/>
              <w:ind w:left="1350"/>
              <w:spacing w:after="0"/>
              <w:rPr>
                <w:sz w:val="20"/>
                <w:szCs w:val="20"/>
                <w:color w:val="auto"/>
              </w:rPr>
            </w:pPr>
            <w:r>
              <w:rPr>
                <w:rFonts w:ascii="Arial" w:cs="Arial" w:eastAsia="Arial" w:hAnsi="Arial"/>
                <w:sz w:val="18"/>
                <w:szCs w:val="18"/>
                <w:color w:val="auto"/>
                <w:w w:val="88"/>
              </w:rPr>
              <w:t>8,277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480" w:right="20" w:hanging="454"/>
        <w:spacing w:after="0" w:line="236" w:lineRule="auto"/>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Amortization expense for debt issuance costs was $142 and $229 for the three and six months ended June 30, 2021, respectively, and $80 and $162 for the three and six months ended June 30, 2020, respectively, and is recorded in interest expense, net on the condensed consolidated statements of income.</w:t>
      </w:r>
    </w:p>
    <w:p>
      <w:pPr>
        <w:spacing w:after="0" w:line="33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February 23, 2021, Pennant entered into an amendment to its existing credit agreement (as amended, the “Credit Agreement”), which provides for an increased revolving credit facility with a syndicate of banks with a borrowing capacity of $150,000 (the “Revolving Credit Facility”). The interest rates applicable to loans under the Revolving Credit Facility are, at the Company’s election, either (i) Adjusted LIBOR (as defined in the Credit Agreement) plus a margin ranging from 2.3% to 3.3% per annum or (ii) Base Rate plus a margin ranging from 1.3% to 2.3% per annum, in each case based on the ratio of Consolidated Total Net Debt to Consolidated EBITDA (each, as defined in the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Credit Agreement prior to maturity in 2026, other than to the extent the outstanding borrowings exceed the aggregate commitments under the Credit Agreement. As of June 30, 2021, the Company’s weighted average interest rate on its outstanding debt was 2.91%. As of June 30, 2021, the Company had available borrowing on the Revolving Credit Facility of $106,164, which is net of outstanding letters of credit of $3,336.</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Revolving Credit Facility approximates carrying value, due to the short-term nature and variable interest rates. The fair value of this debt is categorized within Level 2 of the fair value hierarchy based on the observable market borrowing rates.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June 30, 2021, the Company was compliant with all such financial covenants.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OPTIONS AND AWARDS</w:t>
      </w:r>
    </w:p>
    <w:p>
      <w:pPr>
        <w:spacing w:after="0" w:line="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12529"/>
        </w:rPr>
        <w:t xml:space="preserve">Outstanding options held by employees of the Company under the </w:t>
      </w:r>
      <w:r>
        <w:rPr>
          <w:rFonts w:ascii="Arial" w:cs="Arial" w:eastAsia="Arial" w:hAnsi="Arial"/>
          <w:sz w:val="18"/>
          <w:szCs w:val="18"/>
          <w:color w:val="000000"/>
        </w:rPr>
        <w:t>Ensign stock plans (collectively the “Ensign Plans”) and outstanding options</w:t>
      </w:r>
      <w:r>
        <w:rPr>
          <w:rFonts w:ascii="Arial" w:cs="Arial" w:eastAsia="Arial" w:hAnsi="Arial"/>
          <w:sz w:val="18"/>
          <w:szCs w:val="18"/>
          <w:color w:val="212529"/>
        </w:rPr>
        <w:t xml:space="preserve"> </w:t>
      </w:r>
      <w:r>
        <w:rPr>
          <w:rFonts w:ascii="Arial" w:cs="Arial" w:eastAsia="Arial" w:hAnsi="Arial"/>
          <w:sz w:val="18"/>
          <w:szCs w:val="18"/>
          <w:color w:val="000000"/>
        </w:rPr>
        <w:t xml:space="preserve">and restricted stock awards under the Company Subsidiary Equity Plan (together with the Ensign Plans the “Pre-Spin Plans”) </w:t>
      </w:r>
      <w:r>
        <w:rPr>
          <w:rFonts w:ascii="Arial" w:cs="Arial" w:eastAsia="Arial" w:hAnsi="Arial"/>
          <w:sz w:val="18"/>
          <w:szCs w:val="18"/>
          <w:color w:val="212529"/>
        </w:rPr>
        <w:t>were modified and replaced</w:t>
      </w:r>
      <w:r>
        <w:rPr>
          <w:rFonts w:ascii="Arial" w:cs="Arial" w:eastAsia="Arial" w:hAnsi="Arial"/>
          <w:sz w:val="18"/>
          <w:szCs w:val="18"/>
          <w:color w:val="000000"/>
        </w:rPr>
        <w:t xml:space="preserve"> </w:t>
      </w:r>
      <w:r>
        <w:rPr>
          <w:rFonts w:ascii="Arial" w:cs="Arial" w:eastAsia="Arial" w:hAnsi="Arial"/>
          <w:sz w:val="18"/>
          <w:szCs w:val="18"/>
          <w:color w:val="212529"/>
        </w:rPr>
        <w:t xml:space="preserve">with Pennant awards under the Pennant Plans at the Spin-Off date. Additionally, in connection with the Spin-Off, the Company issued new options and restricted stock awards to Pennant and Ensign employees under the 2019 Omnibus Incentive Plan (the </w:t>
      </w:r>
      <w:r>
        <w:rPr>
          <w:rFonts w:ascii="Arial" w:cs="Arial" w:eastAsia="Arial" w:hAnsi="Arial"/>
          <w:sz w:val="18"/>
          <w:szCs w:val="18"/>
          <w:color w:val="000000"/>
        </w:rPr>
        <w:t>“</w:t>
      </w:r>
      <w:r>
        <w:rPr>
          <w:rFonts w:ascii="Arial" w:cs="Arial" w:eastAsia="Arial" w:hAnsi="Arial"/>
          <w:sz w:val="18"/>
          <w:szCs w:val="18"/>
          <w:color w:val="212529"/>
        </w:rPr>
        <w:t>OIP</w:t>
      </w:r>
      <w:r>
        <w:rPr>
          <w:rFonts w:ascii="Arial" w:cs="Arial" w:eastAsia="Arial" w:hAnsi="Arial"/>
          <w:sz w:val="18"/>
          <w:szCs w:val="18"/>
          <w:color w:val="000000"/>
        </w:rPr>
        <w:t>”</w:t>
      </w:r>
      <w:r>
        <w:rPr>
          <w:rFonts w:ascii="Arial" w:cs="Arial" w:eastAsia="Arial" w:hAnsi="Arial"/>
          <w:sz w:val="18"/>
          <w:szCs w:val="18"/>
          <w:color w:val="212529"/>
        </w:rPr>
        <w:t xml:space="preserve">) and Long-Term Incentive Plan (the </w:t>
      </w:r>
      <w:r>
        <w:rPr>
          <w:rFonts w:ascii="Arial" w:cs="Arial" w:eastAsia="Arial" w:hAnsi="Arial"/>
          <w:sz w:val="18"/>
          <w:szCs w:val="18"/>
          <w:color w:val="000000"/>
        </w:rPr>
        <w:t>“</w:t>
      </w:r>
      <w:r>
        <w:rPr>
          <w:rFonts w:ascii="Arial" w:cs="Arial" w:eastAsia="Arial" w:hAnsi="Arial"/>
          <w:sz w:val="18"/>
          <w:szCs w:val="18"/>
          <w:color w:val="212529"/>
        </w:rPr>
        <w:t>LTIP</w:t>
      </w:r>
      <w:r>
        <w:rPr>
          <w:rFonts w:ascii="Arial" w:cs="Arial" w:eastAsia="Arial" w:hAnsi="Arial"/>
          <w:sz w:val="18"/>
          <w:szCs w:val="18"/>
          <w:color w:val="000000"/>
        </w:rPr>
        <w:t>”,</w:t>
      </w:r>
      <w:r>
        <w:rPr>
          <w:rFonts w:ascii="Arial" w:cs="Arial" w:eastAsia="Arial" w:hAnsi="Arial"/>
          <w:sz w:val="18"/>
          <w:szCs w:val="18"/>
          <w:color w:val="212529"/>
        </w:rPr>
        <w:t xml:space="preserve"> </w:t>
      </w:r>
      <w:r>
        <w:rPr>
          <w:rFonts w:ascii="Arial" w:cs="Arial" w:eastAsia="Arial" w:hAnsi="Arial"/>
          <w:sz w:val="18"/>
          <w:szCs w:val="18"/>
          <w:color w:val="000000"/>
        </w:rPr>
        <w:t>together referred to as the “Pennant Plans”</w:t>
      </w:r>
      <w:r>
        <w:rPr>
          <w:rFonts w:ascii="Arial" w:cs="Arial" w:eastAsia="Arial" w:hAnsi="Arial"/>
          <w:sz w:val="18"/>
          <w:szCs w:val="18"/>
          <w:color w:val="212529"/>
        </w:rPr>
        <w:t>).</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Ensign Plans and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Ensign and Pennant Plans.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share-based compensation expense for all Plans for the three and six months ended June 30, 2021 and 2020 was: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40" w:type="dxa"/>
            <w:vAlign w:val="bottom"/>
          </w:tcPr>
          <w:p>
            <w:pPr>
              <w:spacing w:after="0"/>
              <w:rPr>
                <w:sz w:val="20"/>
                <w:szCs w:val="20"/>
                <w:color w:val="auto"/>
              </w:rPr>
            </w:pPr>
          </w:p>
        </w:tc>
        <w:tc>
          <w:tcPr>
            <w:tcW w:w="23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 related to stock options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Share-based compensation expense related to Restricted Stock</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175"/>
        </w:trPr>
        <w:tc>
          <w:tcPr>
            <w:tcW w:w="6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Share-based compensation expense related to Restricted Stock to non-employee</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ind w:left="240"/>
              <w:spacing w:after="0"/>
              <w:rPr>
                <w:sz w:val="20"/>
                <w:szCs w:val="20"/>
                <w:color w:val="auto"/>
              </w:rPr>
            </w:pPr>
            <w:r>
              <w:rPr>
                <w:rFonts w:ascii="Arial" w:cs="Arial" w:eastAsia="Arial" w:hAnsi="Arial"/>
                <w:sz w:val="18"/>
                <w:szCs w:val="18"/>
                <w:color w:val="auto"/>
              </w:rPr>
              <w:t>Total share-based compensation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future periods, the Company estimates it will recognize the following share-based compensation expense for unvested stock options and unvested Restricted Stock, which were unvested as of June 30,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Unrecognized</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Recognition Period (in</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Compensation Expense</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years)</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Stock</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7,877</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unrecognized share-based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20,796</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Pennant Plans, options granted to employees of the subsidiaries of Pennant generally vest over five years at 20% per year on the anniversary of the grant date. Options expire ten years after the date of grant.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uses the Black-Scholes option-pricing model to recognize the value of stock-based compensation expense for share-based payment awards under the Plans. Determining the appropriate fair-value model and calculating the fair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value of stock-based awards at the grant date requires considerable judgment, including estimating stock price volatility and expected option life. The Company develops estimates based on historical data and market information, which can change significantly over time.</w:t>
      </w:r>
    </w:p>
    <w:p>
      <w:pPr>
        <w:spacing w:after="0" w:line="197"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The fair value of each option is estimated on the grant date using a Black-Scholes option-pricing model with the following weighted average assumptions for stock options granted:</w:t>
      </w:r>
    </w:p>
    <w:tbl>
      <w:tblPr>
        <w:tblLayout w:type="fixed"/>
        <w:tblInd w:w="0" w:type="dxa"/>
        <w:tblCellMar>
          <w:top w:w="0" w:type="dxa"/>
          <w:left w:w="0" w:type="dxa"/>
          <w:bottom w:w="0" w:type="dxa"/>
          <w:right w:w="0" w:type="dxa"/>
        </w:tblCellMar>
      </w:tblPr>
      <w:tr>
        <w:trPr>
          <w:trHeight w:val="181"/>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30"/>
              <w:spacing w:after="0" w:line="182"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Options</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Risk-Free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Expected</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175"/>
        </w:trPr>
        <w:tc>
          <w:tcPr>
            <w:tcW w:w="2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Grant Year</w:t>
            </w:r>
          </w:p>
        </w:tc>
        <w:tc>
          <w:tcPr>
            <w:tcW w:w="13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Expected Life</w:t>
            </w:r>
            <w:r>
              <w:rPr>
                <w:rFonts w:ascii="Arial" w:cs="Arial" w:eastAsia="Arial" w:hAnsi="Arial"/>
                <w:sz w:val="23"/>
                <w:szCs w:val="23"/>
                <w:b w:val="1"/>
                <w:bCs w:val="1"/>
                <w:color w:val="auto"/>
                <w:w w:val="97"/>
                <w:vertAlign w:val="superscript"/>
              </w:rPr>
              <w:t>(a)</w:t>
            </w:r>
          </w:p>
        </w:tc>
        <w:tc>
          <w:tcPr>
            <w:tcW w:w="1540" w:type="dxa"/>
            <w:vAlign w:val="bottom"/>
            <w:gridSpan w:val="2"/>
            <w:vMerge w:val="continue"/>
          </w:tcPr>
          <w:p>
            <w:pPr>
              <w:spacing w:after="0"/>
              <w:rPr>
                <w:sz w:val="15"/>
                <w:szCs w:val="15"/>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Dividend Yield</w:t>
            </w:r>
          </w:p>
        </w:tc>
        <w:tc>
          <w:tcPr>
            <w:tcW w:w="12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30"/>
        </w:trPr>
        <w:tc>
          <w:tcPr>
            <w:tcW w:w="2660" w:type="dxa"/>
            <w:vAlign w:val="bottom"/>
            <w:gridSpan w:val="2"/>
            <w:vMerge w:val="continue"/>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Granted</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8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8"/>
              </w:rPr>
              <w:t>Volatility</w:t>
            </w:r>
            <w:r>
              <w:rPr>
                <w:rFonts w:ascii="Arial" w:cs="Arial" w:eastAsia="Arial" w:hAnsi="Arial"/>
                <w:sz w:val="23"/>
                <w:szCs w:val="23"/>
                <w:b w:val="1"/>
                <w:bCs w:val="1"/>
                <w:color w:val="auto"/>
                <w:w w:val="88"/>
                <w:vertAlign w:val="superscript"/>
              </w:rPr>
              <w:t>(b)</w:t>
            </w:r>
          </w:p>
        </w:tc>
        <w:tc>
          <w:tcPr>
            <w:tcW w:w="1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Options</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7"/>
              </w:rPr>
              <w:t>—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35.8 %</w:t>
            </w:r>
          </w:p>
        </w:tc>
        <w:tc>
          <w:tcPr>
            <w:tcW w:w="10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80" w:right="20" w:hanging="454"/>
        <w:spacing w:after="0" w:line="236" w:lineRule="auto"/>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7" w:lineRule="exact"/>
        <w:rPr>
          <w:rFonts w:ascii="Arial" w:cs="Arial" w:eastAsia="Arial" w:hAnsi="Arial"/>
          <w:sz w:val="14"/>
          <w:szCs w:val="14"/>
          <w:color w:val="auto"/>
        </w:rPr>
      </w:pPr>
    </w:p>
    <w:p>
      <w:pPr>
        <w:ind w:left="480" w:hanging="454"/>
        <w:spacing w:after="0"/>
        <w:tabs>
          <w:tab w:leader="none" w:pos="4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Because the Company’s equity shares have been traded for a relatively short period of time, expected volatility assumption was based on the volatility of related industry stocks.</w:t>
      </w:r>
    </w:p>
    <w:p>
      <w:pPr>
        <w:spacing w:after="0" w:line="3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employee stock option activity during the six months ended June 30,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96"/>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6"/>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spacing w:after="0"/>
              <w:rPr>
                <w:sz w:val="14"/>
                <w:szCs w:val="14"/>
                <w:color w:val="auto"/>
              </w:rPr>
            </w:pPr>
          </w:p>
        </w:tc>
        <w:tc>
          <w:tcPr>
            <w:tcW w:w="1240" w:type="dxa"/>
            <w:vAlign w:val="bottom"/>
          </w:tcPr>
          <w:p>
            <w:pPr>
              <w:jc w:val="center"/>
              <w:ind w:right="96"/>
              <w:spacing w:after="0" w:line="162" w:lineRule="exact"/>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Average</w:t>
            </w:r>
          </w:p>
        </w:tc>
        <w:tc>
          <w:tcPr>
            <w:tcW w:w="1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6"/>
              <w:spacing w:after="0" w:line="162" w:lineRule="exact"/>
              <w:rPr>
                <w:sz w:val="20"/>
                <w:szCs w:val="20"/>
                <w:color w:val="auto"/>
              </w:rPr>
            </w:pPr>
            <w:r>
              <w:rPr>
                <w:rFonts w:ascii="Arial" w:cs="Arial" w:eastAsia="Arial" w:hAnsi="Arial"/>
                <w:sz w:val="16"/>
                <w:szCs w:val="16"/>
                <w:b w:val="1"/>
                <w:bCs w:val="1"/>
                <w:color w:val="auto"/>
                <w:w w:val="89"/>
              </w:rPr>
              <w:t>of Options</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Exercise Price</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Options Vested</w:t>
            </w:r>
          </w:p>
        </w:tc>
        <w:tc>
          <w:tcPr>
            <w:tcW w:w="160" w:type="dxa"/>
            <w:vAlign w:val="bottom"/>
          </w:tcPr>
          <w:p>
            <w:pPr>
              <w:spacing w:after="0"/>
              <w:rPr>
                <w:sz w:val="18"/>
                <w:szCs w:val="18"/>
                <w:color w:val="auto"/>
              </w:rPr>
            </w:pPr>
          </w:p>
        </w:tc>
        <w:tc>
          <w:tcPr>
            <w:tcW w:w="1240" w:type="dxa"/>
            <w:vAlign w:val="bottom"/>
          </w:tcPr>
          <w:p>
            <w:pPr>
              <w:jc w:val="center"/>
              <w:ind w:right="76"/>
              <w:spacing w:after="0"/>
              <w:rPr>
                <w:sz w:val="20"/>
                <w:szCs w:val="20"/>
                <w:color w:val="auto"/>
              </w:rPr>
            </w:pPr>
            <w:r>
              <w:rPr>
                <w:rFonts w:ascii="Arial" w:cs="Arial" w:eastAsia="Arial" w:hAnsi="Arial"/>
                <w:sz w:val="16"/>
                <w:szCs w:val="16"/>
                <w:b w:val="1"/>
                <w:bCs w:val="1"/>
                <w:color w:val="auto"/>
                <w:w w:val="83"/>
              </w:rPr>
              <w:t>Vested</w:t>
            </w:r>
          </w:p>
        </w:tc>
        <w:tc>
          <w:tcPr>
            <w:tcW w:w="0" w:type="dxa"/>
            <w:vAlign w:val="bottom"/>
          </w:tcPr>
          <w:p>
            <w:pPr>
              <w:spacing w:after="0"/>
              <w:rPr>
                <w:sz w:val="1"/>
                <w:szCs w:val="1"/>
                <w:color w:val="auto"/>
              </w:rPr>
            </w:pPr>
          </w:p>
        </w:tc>
      </w:tr>
      <w:tr>
        <w:trPr>
          <w:trHeight w:val="22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&amp; Expired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status of Pennant’s non-vested Restricted Stock, and changes during the six months ended June 30, 2021, is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w w:val="92"/>
              </w:rPr>
              <w:t>Non-Vested Restricted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Weighted Average</w:t>
            </w:r>
          </w:p>
        </w:tc>
      </w:tr>
      <w:tr>
        <w:trPr>
          <w:trHeight w:val="213"/>
        </w:trPr>
        <w:tc>
          <w:tcPr>
            <w:tcW w:w="784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Grant Date Fair Value</w:t>
            </w: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49.58</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14.55</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independent operating subsidiaries lease 54 senior living communities and its administrative offices under non-cancelable operating leases, most of which have initial lease terms ranging from five to 21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As of June 30, 2021, the Company’s independent operating subsidiaries leased 31 communities from subsidiaries of Ensign (the “Ensign Leases”) under a master lease arrangement</w:t>
      </w:r>
      <w:r>
        <w:rPr>
          <w:rFonts w:ascii="Arial" w:cs="Arial" w:eastAsia="Arial" w:hAnsi="Arial"/>
          <w:sz w:val="17"/>
          <w:szCs w:val="17"/>
          <w:i w:val="1"/>
          <w:iCs w:val="1"/>
          <w:color w:val="auto"/>
        </w:rPr>
        <w:t>.</w:t>
      </w:r>
      <w:r>
        <w:rPr>
          <w:rFonts w:ascii="Arial" w:cs="Arial" w:eastAsia="Arial" w:hAnsi="Arial"/>
          <w:sz w:val="17"/>
          <w:szCs w:val="17"/>
          <w:color w:val="auto"/>
        </w:rPr>
        <w:t xml:space="preserve"> The existing leases with subsidiaries of Ensign are generally for initial terms of between 14 to 20 years. In addition to rent, each of the operating companies are required to pay the following: (1) all impositions and taxes levied on or with respect to the leased properties (other than taxes on the income of the lessor); (2) all utilities and other services necessary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Fifteen of the Company’s affiliated senior living communities, excluding the communities that are operated under the Ensign Leases (as defined herein), are operated under two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660"/>
              <w:spacing w:after="0"/>
              <w:rPr>
                <w:sz w:val="20"/>
                <w:szCs w:val="20"/>
                <w:color w:val="auto"/>
              </w:rPr>
            </w:pPr>
            <w:r>
              <w:rPr>
                <w:rFonts w:ascii="Arial" w:cs="Arial" w:eastAsia="Arial" w:hAnsi="Arial"/>
                <w:sz w:val="18"/>
                <w:szCs w:val="18"/>
                <w:color w:val="auto"/>
              </w:rPr>
              <w:t>The components of operating lease cost, are as follows: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9"/>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Three Months Ended June 30,</w:t>
            </w:r>
          </w:p>
        </w:tc>
        <w:tc>
          <w:tcPr>
            <w:tcW w:w="180" w:type="dxa"/>
            <w:vAlign w:val="bottom"/>
          </w:tcPr>
          <w:p>
            <w:pPr>
              <w:spacing w:after="0"/>
              <w:rPr>
                <w:sz w:val="24"/>
                <w:szCs w:val="24"/>
                <w:color w:val="auto"/>
              </w:rPr>
            </w:pPr>
          </w:p>
        </w:tc>
        <w:tc>
          <w:tcPr>
            <w:tcW w:w="24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59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0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Facility Rent—cost of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8,957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17,792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17,748</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Rent—cost of services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8"/>
        </w:trPr>
        <w:tc>
          <w:tcPr>
            <w:tcW w:w="5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Rent—cost of services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5940" w:type="dxa"/>
            <w:vAlign w:val="bottom"/>
          </w:tcPr>
          <w:p>
            <w:pPr>
              <w:ind w:left="20"/>
              <w:spacing w:after="0"/>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2,989</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2,676</w:t>
            </w:r>
          </w:p>
        </w:tc>
      </w:tr>
    </w:tbl>
    <w:p>
      <w:pPr>
        <w:spacing w:after="0" w:line="41" w:lineRule="exact"/>
        <w:rPr>
          <w:sz w:val="20"/>
          <w:szCs w:val="20"/>
          <w:color w:val="auto"/>
        </w:rPr>
      </w:pPr>
    </w:p>
    <w:p>
      <w:pPr>
        <w:ind w:left="480" w:right="40" w:hanging="454"/>
        <w:spacing w:after="0" w:line="236"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variable lease cost for operating leases, which costs include property taxes and insurance, common area maintenance, and consumer price index increases, incurred as part of our triple net lease, and which is included in cost of services for the three and six months ended June 30, 2021 and 2020.</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ind w:left="660"/>
              <w:spacing w:after="0"/>
              <w:rPr>
                <w:sz w:val="20"/>
                <w:szCs w:val="20"/>
                <w:color w:val="auto"/>
              </w:rPr>
            </w:pPr>
            <w:r>
              <w:rPr>
                <w:rFonts w:ascii="Arial" w:cs="Arial" w:eastAsia="Arial" w:hAnsi="Arial"/>
                <w:sz w:val="18"/>
                <w:szCs w:val="18"/>
                <w:color w:val="auto"/>
                <w:w w:val="91"/>
              </w:rPr>
              <w:t>The following table shows the lease maturity analysis for all leases as of June 30, 2021, for the years ended December 31:</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00"/>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19,603</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38,630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37,673</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36,663</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35,739</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356,870</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525,178</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present value adjustments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(218,785)</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total lease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306,393</w:t>
            </w:r>
          </w:p>
        </w:tc>
      </w:tr>
      <w:tr>
        <w:trPr>
          <w:trHeight w:val="229"/>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lease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(15,233)</w:t>
            </w:r>
          </w:p>
        </w:tc>
      </w:tr>
      <w:tr>
        <w:trPr>
          <w:trHeight w:val="248"/>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291,160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June 30, 2021, the weighted average remaining lease term is 14.5 years and the weighted average discount rate is 8.2%.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recorded income tax expense of $604 and $944 or 19.7% and 21.8% of earnings before income taxes for the three and six months ended June 30, 2021, respectively and income tax expense of $1,437 and $2,326 or 24.9% and 24.1% of earnings before income taxes for the three and six months ended June 30, 2020, respectively. The effective tax rate for both three and six month periods includes excess tax benefits from share-based compensation which were offset by non-deductible expenses including non-deductible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Regulatory Matters - </w:t>
      </w:r>
      <w:r>
        <w:rPr>
          <w:rFonts w:ascii="Arial" w:cs="Arial" w:eastAsia="Arial" w:hAnsi="Arial"/>
          <w:sz w:val="17"/>
          <w:szCs w:val="17"/>
          <w:color w:val="auto"/>
        </w:rPr>
        <w:t>The Company provides services in complex and highly regulated industries. The Company’s compliance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The Department of Justice, CMS, or other federal and state enforcement and regulatory agencies may conduct additional investigations related to the Company's businesses. The Company believes that it is presently in compliance in all material respects with all applicable laws and regulations.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Cost-Containment Measures - </w:t>
      </w:r>
      <w:r>
        <w:rPr>
          <w:rFonts w:ascii="Arial" w:cs="Arial" w:eastAsia="Arial" w:hAnsi="Arial"/>
          <w:sz w:val="18"/>
          <w:szCs w:val="18"/>
          <w:color w:val="auto"/>
        </w:rPr>
        <w:t>Government and third-party payors have instituted cost-containment measures designed to limit payments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of healthcare services, and there can be no assurance that future measures designed to limit payments made to providers will not adversely affect the Company.</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Indemnities - </w:t>
      </w:r>
      <w:r>
        <w:rPr>
          <w:rFonts w:ascii="Arial" w:cs="Arial" w:eastAsia="Arial" w:hAnsi="Arial"/>
          <w:sz w:val="16"/>
          <w:szCs w:val="16"/>
          <w:color w:val="auto"/>
        </w:rPr>
        <w:t>From time to time, the Company enters into certain types of contracts that contingently require the Company to indemnify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w:t>
      </w:r>
    </w:p>
    <w:p>
      <w:pPr>
        <w:spacing w:after="0" w:line="2" w:lineRule="exact"/>
        <w:rPr>
          <w:sz w:val="20"/>
          <w:szCs w:val="20"/>
          <w:color w:val="auto"/>
        </w:rPr>
      </w:pPr>
    </w:p>
    <w:p>
      <w:pPr>
        <w:jc w:val="both"/>
        <w:ind w:firstLine="8"/>
        <w:spacing w:after="0" w:line="281" w:lineRule="auto"/>
        <w:tabs>
          <w:tab w:leader="none" w:pos="273" w:val="left"/>
        </w:tabs>
        <w:numPr>
          <w:ilvl w:val="0"/>
          <w:numId w:val="14"/>
        </w:numPr>
        <w:rPr>
          <w:rFonts w:ascii="Arial" w:cs="Arial" w:eastAsia="Arial" w:hAnsi="Arial"/>
          <w:sz w:val="16"/>
          <w:szCs w:val="16"/>
          <w:color w:val="auto"/>
        </w:rPr>
      </w:pPr>
      <w:r>
        <w:rPr>
          <w:rFonts w:ascii="Arial" w:cs="Arial" w:eastAsia="Arial" w:hAnsi="Arial"/>
          <w:sz w:val="16"/>
          <w:szCs w:val="16"/>
          <w:color w:val="auto"/>
        </w:rPr>
        <w:t>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w:t>
      </w:r>
    </w:p>
    <w:p>
      <w:pPr>
        <w:spacing w:after="0" w:line="1" w:lineRule="exact"/>
        <w:rPr>
          <w:rFonts w:ascii="Arial" w:cs="Arial" w:eastAsia="Arial" w:hAnsi="Arial"/>
          <w:sz w:val="16"/>
          <w:szCs w:val="16"/>
          <w:color w:val="auto"/>
        </w:rPr>
      </w:pPr>
    </w:p>
    <w:p>
      <w:pPr>
        <w:jc w:val="both"/>
        <w:ind w:firstLine="8"/>
        <w:spacing w:after="0" w:line="253" w:lineRule="auto"/>
        <w:tabs>
          <w:tab w:leader="none" w:pos="3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spacing w:after="0" w:line="21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The Company’s businesses involve a significant risk of liability given the age and health of the patients and residents served by its</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as well as employment related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the potential lawsuits and claims described above, the Company is also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As such, the Company could face increased scrutiny, potential liability and legal expenses and costs based on claims under state false claims acts in markets in which it conducts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spacing w:after="0" w:line="21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w:t>
      </w:r>
    </w:p>
    <w:p>
      <w:pPr>
        <w:spacing w:after="0" w:line="19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Medicare Revenue Recoupments - </w:t>
      </w:r>
      <w:r>
        <w:rPr>
          <w:rFonts w:ascii="Arial" w:cs="Arial" w:eastAsia="Arial" w:hAnsi="Arial"/>
          <w:sz w:val="16"/>
          <w:szCs w:val="16"/>
          <w:color w:val="auto"/>
        </w:rPr>
        <w:t>The Company is subject to probe reviews relating to Medicare services, billings and potential overpayments by</w:t>
      </w:r>
      <w:r>
        <w:rPr>
          <w:rFonts w:ascii="Arial" w:cs="Arial" w:eastAsia="Arial" w:hAnsi="Arial"/>
          <w:sz w:val="16"/>
          <w:szCs w:val="16"/>
          <w:i w:val="1"/>
          <w:iCs w:val="1"/>
          <w:color w:val="auto"/>
        </w:rPr>
        <w:t xml:space="preserve"> </w:t>
      </w:r>
      <w:r>
        <w:rPr>
          <w:rFonts w:ascii="Arial" w:cs="Arial" w:eastAsia="Arial" w:hAnsi="Arial"/>
          <w:sz w:val="16"/>
          <w:szCs w:val="16"/>
          <w:color w:val="auto"/>
        </w:rPr>
        <w:t>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As of June 30, 2021, eight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As of June 30, 2021, and through the filing of this Quarterly Report on Form 10-Q, the Company’s independent operating subsidiaries have responded to the Reviews that are currently ongoing, on appeal or in dispute resolution process and the Company has no material probable or estimable contingencies.</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The Company retains risk for a substantial portion of potential claims for general and professional liability, 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automobile liability. The Company does not retain risk related to its employee health plans.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and Washington which are subject to state insurance and possess their own limits.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Credit Risk - </w:t>
      </w:r>
      <w:r>
        <w:rPr>
          <w:rFonts w:ascii="Arial" w:cs="Arial" w:eastAsia="Arial" w:hAnsi="Arial"/>
          <w:sz w:val="17"/>
          <w:szCs w:val="17"/>
          <w:color w:val="auto"/>
        </w:rPr>
        <w:t>The Company has significant accounts receivable balances, the collectability of which is dependent on the availability of funds from</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70.8% and 75.7% of its total gross accounts receivable as of June 30, 2021 and December 31, 2020, respectively. Revenue from reimbursement under the Medicare and Medicaid programs accounted for 61.7% and 62.8% for the three and six months ended June 30, 2021, and 59.4% and 58.7% of the Company’s revenue for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in conjunction with the Interim Financial Statements and the related notes thereto contained in Part I, Item 1 of this Quarterly Report on Form 10-Q (the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2020 (the “2020 Annual Report”), which discusses our business and related risks in greater detail, as well as subsequent reports we may file from time to time on Form 10-K, Form 10-Q and 8-K, for additional information. The section entitled “Risk Factors” filed within our 2020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229" w:lineRule="exact"/>
        <w:rPr>
          <w:sz w:val="20"/>
          <w:szCs w:val="20"/>
          <w:color w:val="auto"/>
        </w:rPr>
      </w:pPr>
    </w:p>
    <w:p>
      <w:pPr>
        <w:jc w:val="both"/>
        <w:ind w:firstLine="212"/>
        <w:spacing w:after="0" w:line="269" w:lineRule="auto"/>
        <w:rPr>
          <w:sz w:val="20"/>
          <w:szCs w:val="20"/>
          <w:color w:val="auto"/>
        </w:rPr>
      </w:pPr>
      <w:r>
        <w:rPr>
          <w:rFonts w:ascii="Arial" w:cs="Arial" w:eastAsia="Arial" w:hAnsi="Arial"/>
          <w:sz w:val="17"/>
          <w:szCs w:val="17"/>
          <w:color w:val="auto"/>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benefits resulting from the Spin-Off, the effects of competition and the effects of future legislation or regulations and other non-historical statements. Additionally, many of these risks and uncertainties are currently amplified by and will continue to be amplified by, or in the future may be amplified by, the COVID-19 outbreak. The developments with respect to the spread of COVID-19 and its impacts have occurred rapidly, and because of the unprecedented nature of the pandemic, we are unable to predict the extent and duration of the adverse financial impact of COVID-19 on our business, financial condition and results of operations.</w:t>
      </w:r>
    </w:p>
    <w:p>
      <w:pPr>
        <w:spacing w:after="0" w:line="209" w:lineRule="exact"/>
        <w:rPr>
          <w:sz w:val="20"/>
          <w:szCs w:val="20"/>
          <w:color w:val="auto"/>
        </w:rPr>
      </w:pPr>
    </w:p>
    <w:p>
      <w:pPr>
        <w:jc w:val="both"/>
        <w:ind w:firstLine="257"/>
        <w:spacing w:after="0" w:line="263" w:lineRule="auto"/>
        <w:rPr>
          <w:sz w:val="20"/>
          <w:szCs w:val="20"/>
          <w:color w:val="auto"/>
        </w:rPr>
      </w:pPr>
      <w:r>
        <w:rPr>
          <w:rFonts w:ascii="Arial" w:cs="Arial" w:eastAsia="Arial" w:hAnsi="Arial"/>
          <w:sz w:val="18"/>
          <w:szCs w:val="18"/>
          <w:color w:val="auto"/>
        </w:rPr>
        <w:t>The risk factors discussed in this Quarterly Report and the 2020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spacing w:after="0" w:line="2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related to the COVID-19 outbreak;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changes to, or delays receiving, reimbursement and other aspects of Medicaid and Medicare;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regulation of the healthcare services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the federal income tax 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for, or a shortage of, skilled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reviews, audits and investigations of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federal and state employment related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state and federal employment, immigration, licensing and other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from other healthcare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of national labor unions;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leases of our affiliated senior living communities;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complete future community or business acquisitions and failure to successfully integrate acquired communities and businesses into our operations;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security breaches and other cyber security incidents;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the financial and credit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related to our ability to realize the anticipated benefits of the Spin-Off;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related to our ability to obtain financing or the terms of such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37"/>
        <w:spacing w:after="0" w:line="311" w:lineRule="auto"/>
        <w:rPr>
          <w:sz w:val="20"/>
          <w:szCs w:val="20"/>
          <w:color w:val="auto"/>
        </w:rPr>
      </w:pPr>
      <w:r>
        <w:rPr>
          <w:rFonts w:ascii="Arial" w:cs="Arial" w:eastAsia="Arial" w:hAnsi="Arial"/>
          <w:sz w:val="16"/>
          <w:szCs w:val="16"/>
          <w:color w:val="auto"/>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a leading provider of high-quality healthcare services to patients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Iowa, Montana, Nevada, Oklahoma, Oregon, Texas, Utah, Washington, Wisconsin and Wyoming. As of June 30, 2021, our home health and hospice business provided home health, hospice and home care services from 86 agencies operating across these 14 states, and our senior living business operated 54 senior living communities throughout seven states.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affiliated home health and hospice agencies and senior living communities as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agencies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Senior living communities</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living units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line="176" w:lineRule="exact"/>
              <w:rPr>
                <w:sz w:val="20"/>
                <w:szCs w:val="20"/>
                <w:color w:val="auto"/>
              </w:rPr>
            </w:pPr>
            <w:r>
              <w:rPr>
                <w:rFonts w:ascii="Arial" w:cs="Arial" w:eastAsia="Arial" w:hAnsi="Arial"/>
                <w:sz w:val="18"/>
                <w:szCs w:val="18"/>
                <w:color w:val="auto"/>
                <w:w w:val="92"/>
              </w:rPr>
              <w:t>Total number of home health, hospice, and senior</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living operations</w:t>
            </w:r>
          </w:p>
        </w:tc>
        <w:tc>
          <w:tcPr>
            <w:tcW w:w="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been, and we expect to continue to be, impacted by several factors related to the viral disease known as COVID-19 (“COVID-19”) that may cause actual results to differ from our historical results or current expectations. Due to the COVID-19 pandemic, the results presented in this report are not necessarily indicative of future operating results. The situation surrounding COVID-19 remains fluid. We are actively managing our response in collaboration with government officials, team members and business partners, and we are assessing potential impacts to our financial position and operating results, as well as adverse developments in our business.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Living Segment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COVID-19 continues to impact all aspects of our senior living business and geographies, including impacts on our residents, team members, vendors and business partners. During the second quarter of 2021, we saw our occupancy begin to improve each month, although our overall senior living occupancy has decreased since the onset of the COVID-19 pandemic due to a greater number of move outs net of move ins. We cannot be sure if or when the occupancy levels in our senior living communities will improve over multiple measurement periods or return to pre-pandemic levels. In addition, the decrease in occupancy across the senior living industry has caused some other operators to offer potential residents rent discounts or other incentives, which has impacted our ability to maintain or increase rental rates at some of our communities.</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experienced and expect to continue to see increased labor costs due to increased overtime and premium pay and the increased need for temporary labor to supplement our existing staffing. We are monitoring the ongoing impact of our COVID-19 response actions on our revenue and expenses. However, the extent to which COVID-19 will continue to impact our operations will depend on future developments, which remain uncertain and cannot be predicted with confidence, including the pace of spread and impact of the B.1.617.2 variant of COVID-19 (the “Delta variant”) and other potential variant strains, and the actions taken to contain COVID-19 or treat its impact, among others.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Activities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six months ended June 30, 2021, we expanded our operations with the addition of five home health, three hospice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two home care agencies. We entered into a separate operations transfer agreement with each respective prior operator as a part of each transaction. The aggregate purchase price for these acquisitions was $13.4 million. For further discussion of our acquisitions, see Note 7, </w:t>
      </w:r>
      <w:r>
        <w:rPr>
          <w:rFonts w:ascii="Arial" w:cs="Arial" w:eastAsia="Arial" w:hAnsi="Arial"/>
          <w:sz w:val="18"/>
          <w:szCs w:val="18"/>
          <w:i w:val="1"/>
          <w:iCs w:val="1"/>
          <w:color w:val="auto"/>
        </w:rPr>
        <w:t>Acquisitions</w:t>
      </w:r>
      <w:r>
        <w:rPr>
          <w:rFonts w:ascii="Arial" w:cs="Arial" w:eastAsia="Arial" w:hAnsi="Arial"/>
          <w:sz w:val="18"/>
          <w:szCs w:val="18"/>
          <w:color w:val="auto"/>
        </w:rPr>
        <w:t>, in the Notes to the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the second quarter we experienced an increase in all of our key metrics in our home health and hospice businesses. Since the pandemic began and until the first quarter of 2021, we experienced a steady decline in senior living occupancy as move-ins declined relative to move-outs due to the pandemic. During the second quarter of 2021, we began to experience a slight increase in our senior living occupancy. We cannot be sure when the occupancy levels in our senior living communities will improve over consecutive measurement periods or return to pre-pandemic levels. As uncertainty regarding the COVID-19 pandemic persists, if there is a resurgence in cases, or if variant strains aggressively emerge, we could see a more prolonged recovery. For further discussion of trends related to COVID-19, see </w:t>
      </w:r>
      <w:r>
        <w:rPr>
          <w:rFonts w:ascii="Arial" w:cs="Arial" w:eastAsia="Arial" w:hAnsi="Arial"/>
          <w:sz w:val="17"/>
          <w:szCs w:val="17"/>
          <w:i w:val="1"/>
          <w:iCs w:val="1"/>
          <w:color w:val="auto"/>
        </w:rPr>
        <w:t>COVID-19</w:t>
      </w:r>
      <w:r>
        <w:rPr>
          <w:rFonts w:ascii="Arial" w:cs="Arial" w:eastAsia="Arial" w:hAnsi="Arial"/>
          <w:sz w:val="17"/>
          <w:szCs w:val="17"/>
          <w:color w:val="auto"/>
        </w:rPr>
        <w:t xml:space="preserve"> above.</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disclosed under the heading “Government Regulation” in the 2020 Annual Report a summary of regulations that we believe materially affect our business, financial condition or results of operations. Since the time of the filing of the 2020 Annual Report, the following regulations have been updated.</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Coronavirus Aid, Relief, and Economic Security Act (the “CARES Act”) was enacted on March 27, 2020 in the United States and subsequent regulatory actions. The CARES Act contained provisions for accelerated or advance Medicare payments (“AAP”) to provide supporting cash flow to providers and suppliers combating the effects of the COVID-19 pandemic. We applied for and received $28.0 million in the prior year. These funds are subject to automatic recoupment through offsets to new claims beginning one year after payment were issued. In April, 2021, CMS began to automatically recoup 25 percent of Medicare payments, which will continue for 11 months. At the end of the 11 months, assuming full repayment has not occurred, recoupment will increase to 50 percent for another six months. Any balance outstanding after these two recoupment periods will be subject to repayment at a four percent interest rate. We anticipate completing repayment of the AAP within the allotted recoupment periods.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CARES Act temporarily suspended the 2% sequestration payment adjustment on Medicare fee-for-service payment beginning May 1, 2020 until December 31, 2020. The suspension was initially extended to go through March 31, 2021, and in April 2021 was extended through December 31, 2021. We recognized $0.9 million and $1.8 million in revenue related to the suspension of sequestration for the three and six months ended June 30, 2021, exclusive of our start-up operations. Further, the CARES Act payroll tax deferral program allowed employers to defer the deposit and payment of the employer’s portion of social security taxes that otherwise would be due between March 27, 2020, and December 31, 2020. The CARES Act permits employers to deposit half of these deferred payments by the end of 2021 and the other half by the end of 2022. We deferred approximately $7.8 million of the employer-paid portion of social security taxes, of which $3.9 million is included in other long-term liabilities and the current portion of $3.9 million in accrued wages and related liabilities.</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American Rescue Plan Act of 2021 (the “ARP Act”) was enacted on March 11, 2021 in the United States. The ARP Act was designed to assist the country with the effects of the COVID-19 pandemic and included a number of tax components. The ARP Act’s primary tax impact on us is a new revenue raising provision that requires us to include the next five highest paid employees to the list of covered officers already subject to the IRC Section 162(m) wage limitation beginning in the 2027 tax year. We will continue to assess the effect of the ARP Act and ongoing other government legislation related to the COVID-19 pandemic that may be issued.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two reportable segments: (1) home health and hospice services, which includes our home health, home care and hospice businesses; and</w:t>
      </w:r>
    </w:p>
    <w:p>
      <w:pPr>
        <w:spacing w:after="0" w:line="46" w:lineRule="exact"/>
        <w:rPr>
          <w:sz w:val="20"/>
          <w:szCs w:val="20"/>
          <w:color w:val="auto"/>
        </w:rPr>
      </w:pPr>
    </w:p>
    <w:p>
      <w:pPr>
        <w:jc w:val="both"/>
        <w:ind w:firstLine="8"/>
        <w:spacing w:after="0" w:line="255" w:lineRule="auto"/>
        <w:tabs>
          <w:tab w:leader="none" w:pos="2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living services, which includes the operation of assisted living, independent living and memory care communities. Our Chief Executive Officer, who is our Chief Operating Decision Maker (“CODM”), reviews financial information at the operating segment level. We also report an “all other” category that includes general and administrative expense from our Service Center.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the fiscal aspects of our business by monitoring key performance indicators that affect our financial performance. These indicators and their definitions include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Total home health admissions</w:t>
      </w:r>
      <w:r>
        <w:rPr>
          <w:rFonts w:ascii="Arial" w:cs="Arial" w:eastAsia="Arial" w:hAnsi="Arial"/>
          <w:sz w:val="16"/>
          <w:szCs w:val="16"/>
          <w:color w:val="auto"/>
        </w:rPr>
        <w:t>. The total admissions of home health patients, including new acquisitions, new admissions and readmissions.</w:t>
      </w:r>
    </w:p>
    <w:p>
      <w:pPr>
        <w:spacing w:after="0" w:line="140" w:lineRule="exact"/>
        <w:rPr>
          <w:rFonts w:ascii="Arial" w:cs="Arial" w:eastAsia="Arial" w:hAnsi="Arial"/>
          <w:sz w:val="16"/>
          <w:szCs w:val="16"/>
          <w:i w:val="1"/>
          <w:iCs w:val="1"/>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Total Medicare home health admissions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admissions of home health patients, who are receiving care under Medicare reimbursement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including new acquisitions, new admissions and readmissions.</w:t>
      </w:r>
    </w:p>
    <w:p>
      <w:pPr>
        <w:spacing w:after="0" w:line="62"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Average Medicare revenue per completed 60-day home health episode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amount of revenue for each completed 60-day home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episode generated from patients who are receiving care under Medicare reimbursement programs.</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Total hospice admissions</w:t>
      </w:r>
      <w:r>
        <w:rPr>
          <w:rFonts w:ascii="Arial" w:cs="Arial" w:eastAsia="Arial" w:hAnsi="Arial"/>
          <w:sz w:val="18"/>
          <w:szCs w:val="18"/>
          <w:color w:val="auto"/>
        </w:rPr>
        <w:t>. Total admissions of hospice patients, including new acquisitions, new admissions and recertifications.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Average hospice daily census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number of patients who are receiving hospice care during any measurement period divided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days during such measurement period.</w:t>
      </w:r>
    </w:p>
    <w:p>
      <w:pPr>
        <w:spacing w:after="0" w:line="62" w:lineRule="exact"/>
        <w:rPr>
          <w:rFonts w:ascii="Arial" w:cs="Arial" w:eastAsia="Arial" w:hAnsi="Arial"/>
          <w:sz w:val="18"/>
          <w:szCs w:val="18"/>
          <w:b w:val="1"/>
          <w:bCs w:val="1"/>
          <w:i w:val="1"/>
          <w:iCs w:val="1"/>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Hospice Medicare revenue per day</w:t>
      </w:r>
      <w:r>
        <w:rPr>
          <w:rFonts w:ascii="Arial" w:cs="Arial" w:eastAsia="Arial" w:hAnsi="Arial"/>
          <w:sz w:val="18"/>
          <w:szCs w:val="18"/>
          <w:color w:val="auto"/>
        </w:rPr>
        <w:t>. The average daily Medicare revenue recorded during any measurement period for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hospice patients.</w:t>
      </w:r>
    </w:p>
    <w:p>
      <w:pPr>
        <w:spacing w:after="0" w:line="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our overall home health and hospice statistics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60" w:type="dxa"/>
            <w:vAlign w:val="bottom"/>
          </w:tcPr>
          <w:p>
            <w:pPr>
              <w:spacing w:after="0"/>
              <w:rPr>
                <w:sz w:val="20"/>
                <w:szCs w:val="20"/>
                <w:color w:val="auto"/>
              </w:rPr>
            </w:pPr>
          </w:p>
        </w:tc>
        <w:tc>
          <w:tcPr>
            <w:tcW w:w="23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6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Total home health admissions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11,395</w:t>
            </w:r>
          </w:p>
        </w:tc>
      </w:tr>
      <w:tr>
        <w:trPr>
          <w:trHeight w:val="230"/>
        </w:trPr>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Medicare home health admissions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Average Medicare revenue per 60-day completed episode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3,232</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Total hospice admissions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3,630</w:t>
            </w: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hospice daily census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Hospice Medicare revenue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Living Services</w:t>
      </w:r>
    </w:p>
    <w:p>
      <w:pPr>
        <w:spacing w:after="0" w:line="252"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Occupancy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ratio of actual number of days our units are occupied during any measurement period to the number of units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during such measurement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Average monthly revenue per occupied unit</w:t>
      </w:r>
      <w:r>
        <w:rPr>
          <w:rFonts w:ascii="Arial" w:cs="Arial" w:eastAsia="Arial" w:hAnsi="Arial"/>
          <w:sz w:val="18"/>
          <w:szCs w:val="18"/>
          <w:color w:val="auto"/>
        </w:rPr>
        <w:t>. The revenue for senior living services during any measurement period divided by actual occupied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living units for such measurement period divided by the number of months for such measurement period.</w:t>
      </w:r>
    </w:p>
    <w:p>
      <w:pPr>
        <w:spacing w:after="0" w:line="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our senior living statistics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0"/>
                <w:szCs w:val="20"/>
                <w:color w:val="auto"/>
              </w:rPr>
            </w:pPr>
          </w:p>
        </w:tc>
        <w:tc>
          <w:tcPr>
            <w:tcW w:w="25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57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79.3 %</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3,205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Home Health. </w:t>
      </w:r>
      <w:r>
        <w:rPr>
          <w:rFonts w:ascii="Arial" w:cs="Arial" w:eastAsia="Arial" w:hAnsi="Arial"/>
          <w:sz w:val="16"/>
          <w:szCs w:val="16"/>
          <w:color w:val="auto"/>
        </w:rPr>
        <w:t>We derive the majority of our home health revenue from Medicare and managed care. The Medicare payment is adjusted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differences between estimated and actual payment amounts, an inability to obtain appropriate billing documentation or authorizations acceptable to the payor and other reasons unrelated to credit risk. For Medicare episodes that began prior to January 1, 2020, home health agencies were reimbursed under the Medicare HH PPS, while Medicare periods of care that began on or after that date are reimbursed under the Patient-Driven Groupings Model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 For further detail regarding PDGM see the </w:t>
      </w:r>
      <w:r>
        <w:rPr>
          <w:rFonts w:ascii="Arial" w:cs="Arial" w:eastAsia="Arial" w:hAnsi="Arial"/>
          <w:sz w:val="16"/>
          <w:szCs w:val="16"/>
          <w:i w:val="1"/>
          <w:iCs w:val="1"/>
          <w:color w:val="auto"/>
        </w:rPr>
        <w:t>Government Regulation</w:t>
      </w:r>
      <w:r>
        <w:rPr>
          <w:rFonts w:ascii="Arial" w:cs="Arial" w:eastAsia="Arial" w:hAnsi="Arial"/>
          <w:sz w:val="16"/>
          <w:szCs w:val="16"/>
          <w:color w:val="auto"/>
        </w:rPr>
        <w:t xml:space="preserve"> section of our 2020 Annual Report.</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Hospice. </w:t>
      </w:r>
      <w:r>
        <w:rPr>
          <w:rFonts w:ascii="Arial" w:cs="Arial" w:eastAsia="Arial" w:hAnsi="Arial"/>
          <w:sz w:val="18"/>
          <w:szCs w:val="18"/>
          <w:color w:val="auto"/>
        </w:rPr>
        <w:t>We derive the majority of our hospice business revenue from Medicare reimbursement. The estimated payment rates are calculated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214"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Routine Home Care (“RHC”). </w:t>
      </w:r>
      <w:r>
        <w:rPr>
          <w:rFonts w:ascii="Arial" w:cs="Arial" w:eastAsia="Arial" w:hAnsi="Arial"/>
          <w:sz w:val="18"/>
          <w:szCs w:val="18"/>
          <w:color w:val="auto"/>
        </w:rPr>
        <w:t>Care that is not classified under any of the other levels of care, such as the work of nurses, social workers or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aides.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Inpatient Care. </w:t>
      </w:r>
      <w:r>
        <w:rPr>
          <w:rFonts w:ascii="Arial" w:cs="Arial" w:eastAsia="Arial" w:hAnsi="Arial"/>
          <w:sz w:val="18"/>
          <w:szCs w:val="18"/>
          <w:color w:val="auto"/>
        </w:rPr>
        <w:t>Pain control or acute or chronic symptom management that cannot be managed in a setting other than an inpatient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Medicare-certified facility, such as a hospital, skilled nursing facility or hospice inpatient facility.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 Home Care. </w:t>
      </w:r>
      <w:r>
        <w:rPr>
          <w:rFonts w:ascii="Arial" w:cs="Arial" w:eastAsia="Arial" w:hAnsi="Arial"/>
          <w:sz w:val="18"/>
          <w:szCs w:val="18"/>
          <w:color w:val="auto"/>
        </w:rPr>
        <w:t>Care for patients experiencing a medical crisis that requires nursing services to achieve palliation and symptom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agency provides a minimum of eight hours of care within a 24-hour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Inpatient Respite Care. </w:t>
      </w:r>
      <w:r>
        <w:rPr>
          <w:rFonts w:ascii="Arial" w:cs="Arial" w:eastAsia="Arial" w:hAnsi="Arial"/>
          <w:sz w:val="17"/>
          <w:szCs w:val="17"/>
          <w:color w:val="auto"/>
        </w:rPr>
        <w:t>Short-term, inpatient care to give temporary relief to the caregiver who regularly provides care to the patient.</w:t>
      </w:r>
    </w:p>
    <w:p>
      <w:pPr>
        <w:spacing w:after="0" w:line="2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CMS has established a two-tiered payment system for RHC. Hospices are reimbursed at a higher rate for RHC services provided from days of service one through 60 and a lower rate for all subsequent days of service. CMS also provides for a Service Intensity Add-On, which increases payments for certain RHC services provided by registered nurses and social workers to hospice patients during the final seven days of life.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estimate amounts due back to Medicare to the extent that the cap has been exceeded.</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Senior Living Services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June 30, 2021, we provided assisted living, independent living and memory care services in 54 communities. Within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senior living operations, we generate revenue primarily from private pay sources, with a portion earned from Medicaid or other state-specific programs.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Expense</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Cost of Services (excluding rent, general and administrative expense and depreciation and amortization)</w:t>
      </w:r>
      <w:r>
        <w:rPr>
          <w:rFonts w:ascii="Arial" w:cs="Arial" w:eastAsia="Arial" w:hAnsi="Arial"/>
          <w:sz w:val="17"/>
          <w:szCs w:val="17"/>
          <w:color w:val="auto"/>
        </w:rPr>
        <w:t>. Our cost of services represents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of operating our independent operating subsidiaries, which primarily consists of payroll and related benefits, supplies, purchased services, and ancillary expenses such as the cost of pharmacy and therapy services provided to patients. Cost of services also includes the cost of general and professional liability insurance and other general cost of services specifically attributable to our operations.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Rent—Cost of Services</w:t>
      </w:r>
      <w:r>
        <w:rPr>
          <w:rFonts w:ascii="Arial" w:cs="Arial" w:eastAsia="Arial" w:hAnsi="Arial"/>
          <w:sz w:val="18"/>
          <w:szCs w:val="18"/>
          <w:color w:val="auto"/>
        </w:rPr>
        <w:t>. Rent—cost of services consists solely of base minimum rent amounts payable under lease agreements to our landlords.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lease and operate but do not own the underlying real estate at our operations, and these amounts do not include taxes, insurance, impounds, capital reserves or other charges payable under the applicable lease agreements.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General and Administrative Expense</w:t>
      </w:r>
      <w:r>
        <w:rPr>
          <w:rFonts w:ascii="Arial" w:cs="Arial" w:eastAsia="Arial" w:hAnsi="Arial"/>
          <w:sz w:val="16"/>
          <w:szCs w:val="16"/>
          <w:color w:val="auto"/>
        </w:rPr>
        <w:t>. General and administrative expense consists primarily of payroll and related benefits and travel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our Service Center personnel, including training and other operational support. General and administrative expense also includes professional fees (including accounting and legal fees), costs relating to information systems, stock-based compensation and rent for our Service Center offices.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Property and equipment are recorded at their original historical cost. Depreciation is computed using the straight-line method over the estimated useful lives of the depreciable assets (ranging from three to 15 years). Leasehold improvements are amortized on a straight-line basis over the shorter of their estimated useful lives or the remaining lease 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revenue, cost allocations, leases, intangible assets, goodwill, and income taxes.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within the 2020 Annual Report for further information on our critical accounting estimates and policies, which are as follows:</w:t>
      </w:r>
    </w:p>
    <w:p>
      <w:pPr>
        <w:spacing w:after="0" w:line="209" w:lineRule="exact"/>
        <w:rPr>
          <w:sz w:val="20"/>
          <w:szCs w:val="20"/>
          <w:color w:val="auto"/>
        </w:rPr>
      </w:pPr>
    </w:p>
    <w:p>
      <w:pPr>
        <w:ind w:left="660" w:right="52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The estimate of variable considerations to arrive at the transaction price, including methods and assumptions used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settlements with Medicare and Medicaid payors or retroactive adjustments due to audits and reviews;</w:t>
      </w:r>
    </w:p>
    <w:p>
      <w:pPr>
        <w:spacing w:after="0" w:line="38" w:lineRule="exact"/>
        <w:rPr>
          <w:rFonts w:ascii="Arial" w:cs="Arial" w:eastAsia="Arial" w:hAnsi="Arial"/>
          <w:sz w:val="17"/>
          <w:szCs w:val="17"/>
          <w:color w:val="auto"/>
        </w:rPr>
      </w:pPr>
    </w:p>
    <w:p>
      <w:pPr>
        <w:ind w:left="660" w:right="4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We use our estimated incremental borrowing rate based on the information available at lease commencement date in determining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 value of future lease payments;</w:t>
      </w:r>
    </w:p>
    <w:p>
      <w:pPr>
        <w:spacing w:after="0" w:line="58" w:lineRule="exact"/>
        <w:rPr>
          <w:rFonts w:ascii="Arial" w:cs="Arial" w:eastAsia="Arial" w:hAnsi="Arial"/>
          <w:sz w:val="18"/>
          <w:szCs w:val="18"/>
          <w:color w:val="auto"/>
        </w:rPr>
      </w:pPr>
    </w:p>
    <w:p>
      <w:pPr>
        <w:ind w:left="660" w:right="180" w:hanging="328"/>
        <w:spacing w:after="0" w:line="282"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 accountin</w:t>
      </w:r>
      <w:r>
        <w:rPr>
          <w:rFonts w:ascii="Arial" w:cs="Arial" w:eastAsia="Arial" w:hAnsi="Arial"/>
          <w:sz w:val="18"/>
          <w:szCs w:val="18"/>
          <w:b w:val="1"/>
          <w:bCs w:val="1"/>
          <w:color w:val="auto"/>
        </w:rPr>
        <w:t>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The assumptions used to allocate the purchase price paid for assets acquired and liabilities assumed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acquisitions; and</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estimation of valuation allowance or the need for and magnitude of liabilities for uncertain tax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840" w:firstLine="180"/>
        <w:spacing w:after="0" w:line="277" w:lineRule="auto"/>
        <w:rPr>
          <w:sz w:val="20"/>
          <w:szCs w:val="20"/>
          <w:color w:val="auto"/>
        </w:rPr>
      </w:pPr>
      <w:r>
        <w:rPr>
          <w:rFonts w:ascii="Arial" w:cs="Arial" w:eastAsia="Arial" w:hAnsi="Arial"/>
          <w:sz w:val="18"/>
          <w:szCs w:val="18"/>
          <w:color w:val="auto"/>
        </w:rPr>
        <w:t xml:space="preserve">Information concerning recently issued accounting pronouncements are included in Note 2, </w:t>
      </w:r>
      <w:r>
        <w:rPr>
          <w:rFonts w:ascii="Arial" w:cs="Arial" w:eastAsia="Arial" w:hAnsi="Arial"/>
          <w:sz w:val="18"/>
          <w:szCs w:val="18"/>
          <w:i w:val="1"/>
          <w:iCs w:val="1"/>
          <w:color w:val="auto"/>
        </w:rPr>
        <w:t>Basis of Presentation and 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 the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details of our revenue, expenses and earnings as a percentage of total revenue for the periods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80" w:type="dxa"/>
            <w:vAlign w:val="bottom"/>
            <w:gridSpan w:val="11"/>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240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23"/>
        </w:trPr>
        <w:tc>
          <w:tcPr>
            <w:tcW w:w="4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Borders>
              <w:top w:val="single" w:sz="8" w:color="auto"/>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74.9</w:t>
            </w:r>
          </w:p>
        </w:tc>
      </w:tr>
      <w:tr>
        <w:trPr>
          <w:trHeight w:val="229"/>
        </w:trPr>
        <w:tc>
          <w:tcPr>
            <w:tcW w:w="4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Rent—cost of services</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General and administrative expense</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7.7</w:t>
            </w: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23"/>
        </w:trPr>
        <w:tc>
          <w:tcPr>
            <w:tcW w:w="47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expenses</w:t>
            </w:r>
          </w:p>
        </w:tc>
        <w:tc>
          <w:tcPr>
            <w:tcW w:w="10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94.3</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expense, net</w:t>
            </w:r>
          </w:p>
        </w:tc>
        <w:tc>
          <w:tcPr>
            <w:tcW w:w="10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r>
      <w:tr>
        <w:trPr>
          <w:trHeight w:val="223"/>
        </w:trPr>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 net</w:t>
            </w:r>
          </w:p>
        </w:tc>
        <w:tc>
          <w:tcPr>
            <w:tcW w:w="10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5.3</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4.0</w:t>
            </w: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loss attributable to noncontrolling interest</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Net income attributable to Pennant</w:t>
            </w:r>
          </w:p>
        </w:tc>
        <w:tc>
          <w:tcPr>
            <w:tcW w:w="10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4.0 %</w:t>
            </w:r>
          </w:p>
        </w:tc>
      </w:tr>
      <w:tr>
        <w:trPr>
          <w:trHeight w:val="21"/>
        </w:trPr>
        <w:tc>
          <w:tcPr>
            <w:tcW w:w="574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31"/>
        </w:trPr>
        <w:tc>
          <w:tcPr>
            <w:tcW w:w="10340" w:type="dxa"/>
            <w:vAlign w:val="bottom"/>
            <w:gridSpan w:val="18"/>
          </w:tcPr>
          <w:p>
            <w:pPr>
              <w:ind w:left="660"/>
              <w:spacing w:after="0"/>
              <w:rPr>
                <w:sz w:val="20"/>
                <w:szCs w:val="20"/>
                <w:color w:val="auto"/>
              </w:rPr>
            </w:pPr>
            <w:r>
              <w:rPr>
                <w:rFonts w:ascii="Arial" w:cs="Arial" w:eastAsia="Arial" w:hAnsi="Arial"/>
                <w:sz w:val="18"/>
                <w:szCs w:val="18"/>
                <w:color w:val="auto"/>
                <w:w w:val="90"/>
              </w:rPr>
              <w:t>The following table presents our consolidated GAAP Financial measures for the three and six months ended June 30, 2021 and 2020:</w:t>
            </w:r>
          </w:p>
        </w:tc>
        <w:tc>
          <w:tcPr>
            <w:tcW w:w="900" w:type="dxa"/>
            <w:vAlign w:val="bottom"/>
          </w:tcPr>
          <w:p>
            <w:pPr>
              <w:spacing w:after="0"/>
              <w:rPr>
                <w:sz w:val="24"/>
                <w:szCs w:val="24"/>
                <w:color w:val="auto"/>
              </w:rPr>
            </w:pPr>
          </w:p>
        </w:tc>
      </w:tr>
      <w:tr>
        <w:trPr>
          <w:trHeight w:val="234"/>
        </w:trPr>
        <w:tc>
          <w:tcPr>
            <w:tcW w:w="4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gridSpan w:val="10"/>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20" w:type="dxa"/>
            <w:vAlign w:val="bottom"/>
          </w:tcPr>
          <w:p>
            <w:pPr>
              <w:spacing w:after="0"/>
              <w:rPr>
                <w:sz w:val="20"/>
                <w:szCs w:val="20"/>
                <w:color w:val="auto"/>
              </w:rPr>
            </w:pPr>
          </w:p>
        </w:tc>
        <w:tc>
          <w:tcPr>
            <w:tcW w:w="240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4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4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GAAP Financial Measures:</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5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110,345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92,740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216,008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184,589</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5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106,776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86,665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210,826</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174,242</w:t>
            </w: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360" w:type="dxa"/>
            <w:vAlign w:val="bottom"/>
            <w:gridSpan w:val="2"/>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10,347</w:t>
            </w:r>
          </w:p>
        </w:tc>
      </w:tr>
      <w:tr>
        <w:trPr>
          <w:trHeight w:val="1093"/>
        </w:trPr>
        <w:tc>
          <w:tcPr>
            <w:tcW w:w="47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present certain financial information regarding our reportable segments. General and administrative expenses are not allocated to the reportable segments and are included in “All Other”: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Senior Living</w:t>
            </w:r>
          </w:p>
        </w:tc>
        <w:tc>
          <w:tcPr>
            <w:tcW w:w="32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All Other</w:t>
            </w:r>
          </w:p>
        </w:tc>
        <w:tc>
          <w:tcPr>
            <w:tcW w:w="40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Hospice Services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Services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GAAP Financial Measures: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78,105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32,240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110,345</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14,931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9,752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(6,068)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57,984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34,756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92,740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11,245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13,492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20,738</w:t>
            </w: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Senior Living</w:t>
            </w:r>
          </w:p>
        </w:tc>
        <w:tc>
          <w:tcPr>
            <w:tcW w:w="34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All Other</w:t>
            </w:r>
          </w:p>
        </w:tc>
        <w:tc>
          <w:tcPr>
            <w:tcW w:w="40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5"/>
              </w:rPr>
              <w:t>Hospice Services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Services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GAAP Financial Measures: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152,712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63,296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216,008</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28,722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18,586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(12,466)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34,842</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114,746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69,843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184,589</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21,151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25,989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provides a reconciliation of Segment Adjusted EBITDAR from Operations to Condensed Consolidated Income from operations: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60" w:type="dxa"/>
            <w:vAlign w:val="bottom"/>
          </w:tcPr>
          <w:p>
            <w:pPr>
              <w:spacing w:after="0"/>
              <w:rPr>
                <w:sz w:val="20"/>
                <w:szCs w:val="20"/>
                <w:color w:val="auto"/>
              </w:rPr>
            </w:pPr>
          </w:p>
        </w:tc>
        <w:tc>
          <w:tcPr>
            <w:tcW w:w="23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ind w:left="44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Adjusted EBITDAR from Operations</w:t>
            </w:r>
            <w:r>
              <w:rPr>
                <w:rFonts w:ascii="Arial" w:cs="Arial" w:eastAsia="Arial" w:hAnsi="Arial"/>
                <w:sz w:val="23"/>
                <w:szCs w:val="23"/>
                <w:color w:val="auto"/>
                <w:vertAlign w:val="superscript"/>
              </w:rPr>
              <w:t>(a)</w:t>
            </w:r>
          </w:p>
        </w:tc>
        <w:tc>
          <w:tcPr>
            <w:tcW w:w="1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38,359</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Less: Depreciation and amortization</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Rent—cost of services</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19,473</w:t>
            </w:r>
          </w:p>
        </w:tc>
        <w:tc>
          <w:tcPr>
            <w:tcW w:w="0" w:type="dxa"/>
            <w:vAlign w:val="bottom"/>
          </w:tcPr>
          <w:p>
            <w:pPr>
              <w:spacing w:after="0"/>
              <w:rPr>
                <w:sz w:val="1"/>
                <w:szCs w:val="1"/>
                <w:color w:val="auto"/>
              </w:rPr>
            </w:pPr>
          </w:p>
        </w:tc>
      </w:tr>
      <w:tr>
        <w:trPr>
          <w:trHeight w:val="230"/>
        </w:trPr>
        <w:tc>
          <w:tcPr>
            <w:tcW w:w="4720" w:type="dxa"/>
            <w:vAlign w:val="bottom"/>
          </w:tcPr>
          <w:p>
            <w:pPr>
              <w:ind w:left="480"/>
              <w:spacing w:after="0"/>
              <w:rPr>
                <w:sz w:val="20"/>
                <w:szCs w:val="20"/>
                <w:color w:val="auto"/>
              </w:rPr>
            </w:pPr>
            <w:r>
              <w:rPr>
                <w:rFonts w:ascii="Arial" w:cs="Arial" w:eastAsia="Arial" w:hAnsi="Arial"/>
                <w:sz w:val="18"/>
                <w:szCs w:val="18"/>
                <w:color w:val="auto"/>
              </w:rPr>
              <w:t>Other Expense</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(b)</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(c)</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30"/>
        </w:trPr>
        <w:tc>
          <w:tcPr>
            <w:tcW w:w="4720" w:type="dxa"/>
            <w:vAlign w:val="bottom"/>
          </w:tcPr>
          <w:p>
            <w:pPr>
              <w:ind w:left="46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(d)</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(e)</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4720" w:type="dxa"/>
            <w:vAlign w:val="bottom"/>
          </w:tcPr>
          <w:p>
            <w:pPr>
              <w:ind w:left="460"/>
              <w:spacing w:after="0" w:line="230" w:lineRule="exact"/>
              <w:rPr>
                <w:sz w:val="20"/>
                <w:szCs w:val="20"/>
                <w:color w:val="auto"/>
              </w:rPr>
            </w:pPr>
            <w:r>
              <w:rPr>
                <w:rFonts w:ascii="Arial" w:cs="Arial" w:eastAsia="Arial" w:hAnsi="Arial"/>
                <w:sz w:val="18"/>
                <w:szCs w:val="18"/>
                <w:color w:val="auto"/>
              </w:rPr>
              <w:t>Net COVID-19 related costs</w:t>
            </w:r>
            <w:r>
              <w:rPr>
                <w:rFonts w:ascii="Arial" w:cs="Arial" w:eastAsia="Arial" w:hAnsi="Arial"/>
                <w:sz w:val="23"/>
                <w:szCs w:val="23"/>
                <w:color w:val="auto"/>
                <w:vertAlign w:val="superscript"/>
              </w:rPr>
              <w:t>(f)</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Net loss attributable to noncontrolling interest</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Condensed Consolidated Income from Operations</w:t>
            </w:r>
          </w:p>
        </w:tc>
        <w:tc>
          <w:tcPr>
            <w:tcW w:w="13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380" w:type="dxa"/>
            <w:vAlign w:val="bottom"/>
            <w:vMerge w:val="restart"/>
          </w:tcPr>
          <w:p>
            <w:pPr>
              <w:jc w:val="right"/>
              <w:ind w:right="290"/>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7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580" w:right="260" w:hanging="580"/>
        <w:spacing w:after="0" w:line="212" w:lineRule="auto"/>
        <w:tabs>
          <w:tab w:leader="none" w:pos="337"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(4) redundant and nonrecurring costs associated with the Transition Services Agreement, and (5) net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11" w:lineRule="exact"/>
        <w:rPr>
          <w:sz w:val="20"/>
          <w:szCs w:val="20"/>
          <w:color w:val="auto"/>
        </w:rPr>
      </w:pPr>
    </w:p>
    <w:p>
      <w:pPr>
        <w:ind w:left="320" w:hanging="317"/>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rFonts w:ascii="Arial" w:cs="Arial" w:eastAsia="Arial" w:hAnsi="Arial"/>
          <w:sz w:val="14"/>
          <w:szCs w:val="14"/>
          <w:color w:val="auto"/>
        </w:rPr>
      </w:pPr>
    </w:p>
    <w:p>
      <w:pPr>
        <w:ind w:left="320" w:hanging="320"/>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28" w:lineRule="exact"/>
        <w:rPr>
          <w:rFonts w:ascii="Arial" w:cs="Arial" w:eastAsia="Arial" w:hAnsi="Arial"/>
          <w:sz w:val="14"/>
          <w:szCs w:val="14"/>
          <w:color w:val="auto"/>
        </w:rPr>
      </w:pPr>
    </w:p>
    <w:p>
      <w:pPr>
        <w:ind w:left="320" w:hanging="317"/>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Acquisition related costs related to business combinations completed during the periods.</w:t>
      </w:r>
    </w:p>
    <w:p>
      <w:pPr>
        <w:spacing w:after="0" w:line="28" w:lineRule="exact"/>
        <w:rPr>
          <w:sz w:val="20"/>
          <w:szCs w:val="20"/>
          <w:color w:val="auto"/>
        </w:rPr>
      </w:pPr>
    </w:p>
    <w:p>
      <w:pPr>
        <w:ind w:left="580" w:right="260" w:hanging="580"/>
        <w:spacing w:after="0" w:line="231" w:lineRule="auto"/>
        <w:tabs>
          <w:tab w:leader="none" w:pos="337"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portion of the costs incurred under the Transition Services Agreement identified as redundant or nonrecurring that are included in general and administrative expense. Fees incurred under the Transition Services agreement, net of the Company’s payroll reimbursement, were $747 and $1,735 for the three and six months ended June 30, 2021, and $1,525 and $2,861 for the three and six months ended June 30, 2020, respectively. During the fourth quarter of fiscal 2020, we updated our Transition service costs adjustment to include duplicate software costs. The prior year transition service costs adjustment has been recast to reflect the change. The adjustment to the prior year transition service costs was $113 and $220 for the duplicative software costs for the three and six months ended June 30, 2020 that were included in the 2020 full year amount in the Company’s as filed Form 10-K.</w:t>
      </w:r>
    </w:p>
    <w:p>
      <w:pPr>
        <w:spacing w:after="0" w:line="10" w:lineRule="exact"/>
        <w:rPr>
          <w:sz w:val="20"/>
          <w:szCs w:val="20"/>
          <w:color w:val="auto"/>
        </w:rPr>
      </w:pPr>
    </w:p>
    <w:p>
      <w:pPr>
        <w:ind w:left="580" w:right="260" w:hanging="580"/>
        <w:spacing w:after="0" w:line="243" w:lineRule="auto"/>
        <w:tabs>
          <w:tab w:leader="none" w:pos="337" w:val="left"/>
        </w:tabs>
        <w:numPr>
          <w:ilvl w:val="0"/>
          <w:numId w:val="25"/>
        </w:numPr>
        <w:rPr>
          <w:rFonts w:ascii="Arial" w:cs="Arial" w:eastAsia="Arial" w:hAnsi="Arial"/>
          <w:sz w:val="13"/>
          <w:szCs w:val="13"/>
          <w:color w:val="auto"/>
        </w:rPr>
      </w:pPr>
      <w:r>
        <w:rPr>
          <w:rFonts w:ascii="Arial" w:cs="Arial" w:eastAsia="Arial" w:hAnsi="Arial"/>
          <w:sz w:val="13"/>
          <w:szCs w:val="13"/>
          <w:color w:val="auto"/>
        </w:rPr>
        <w:t>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has been extended through December 31, 2021. Sequestration relief was $870 and $1,818 for the three and six months ended June 30, 2021, respectively.</w:t>
      </w:r>
    </w:p>
    <w:p>
      <w:pPr>
        <w:spacing w:after="0" w:line="86" w:lineRule="exact"/>
        <w:rPr>
          <w:sz w:val="20"/>
          <w:szCs w:val="20"/>
          <w:color w:val="auto"/>
        </w:rPr>
      </w:pPr>
    </w:p>
    <w:p>
      <w:pPr>
        <w:jc w:val="both"/>
        <w:ind w:left="580" w:right="260"/>
        <w:spacing w:after="0" w:line="224" w:lineRule="auto"/>
        <w:rPr>
          <w:sz w:val="20"/>
          <w:szCs w:val="20"/>
          <w:color w:val="auto"/>
        </w:rPr>
      </w:pPr>
      <w:r>
        <w:rPr>
          <w:rFonts w:ascii="Arial" w:cs="Arial" w:eastAsia="Arial" w:hAnsi="Arial"/>
          <w:sz w:val="14"/>
          <w:szCs w:val="14"/>
          <w:color w:val="auto"/>
        </w:rPr>
        <w:t>The 2020 amounts represent incremental costs incurred as part of the Company's response to COVID-19 including direct medical supplies, labor, and other expenses, net of $554 in increased revenue related to the 2% payment increase in Medicare reimbursements for sequestration relief for both the three and six months ended June 30, 2020. The COVID-19 costs do not include $277 in costs for the three months ended March 31, 2020 that were included in the 2020 full year amount.</w:t>
      </w:r>
    </w:p>
    <w:p>
      <w:pPr>
        <w:spacing w:after="0" w:line="9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100" w:type="dxa"/>
            <w:vAlign w:val="bottom"/>
          </w:tcPr>
          <w:p>
            <w:pPr>
              <w:ind w:left="660"/>
              <w:spacing w:after="0"/>
              <w:rPr>
                <w:sz w:val="20"/>
                <w:szCs w:val="20"/>
                <w:color w:val="auto"/>
              </w:rPr>
            </w:pPr>
            <w:r>
              <w:rPr>
                <w:rFonts w:ascii="Arial" w:cs="Arial" w:eastAsia="Arial" w:hAnsi="Arial"/>
                <w:sz w:val="18"/>
                <w:szCs w:val="18"/>
                <w:i w:val="1"/>
                <w:iCs w:val="1"/>
                <w:color w:val="auto"/>
              </w:rPr>
              <w:t>Performance and Valuation Measures: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7"/>
        </w:trPr>
        <w:tc>
          <w:tcPr>
            <w:tcW w:w="6100" w:type="dxa"/>
            <w:vAlign w:val="bottom"/>
          </w:tcPr>
          <w:p>
            <w:pPr>
              <w:spacing w:after="0"/>
              <w:rPr>
                <w:sz w:val="22"/>
                <w:szCs w:val="22"/>
                <w:color w:val="auto"/>
              </w:rPr>
            </w:pPr>
          </w:p>
        </w:tc>
        <w:tc>
          <w:tcPr>
            <w:tcW w:w="2620" w:type="dxa"/>
            <w:vAlign w:val="bottom"/>
            <w:gridSpan w:val="5"/>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60" w:type="dxa"/>
            <w:vAlign w:val="bottom"/>
          </w:tcPr>
          <w:p>
            <w:pPr>
              <w:spacing w:after="0"/>
              <w:rPr>
                <w:sz w:val="22"/>
                <w:szCs w:val="22"/>
                <w:color w:val="auto"/>
              </w:rPr>
            </w:pPr>
          </w:p>
        </w:tc>
        <w:tc>
          <w:tcPr>
            <w:tcW w:w="23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Non-GAAP Financial Measures: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Performance Metrics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Consolidated 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8,624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14,920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18,935</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Metric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Consolidated Adjusted EBITDAR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18,615</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34,842</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7"/>
        </w:trPr>
        <w:tc>
          <w:tcPr>
            <w:tcW w:w="6100" w:type="dxa"/>
            <w:vAlign w:val="bottom"/>
          </w:tcPr>
          <w:p>
            <w:pPr>
              <w:spacing w:after="0"/>
              <w:rPr>
                <w:sz w:val="24"/>
                <w:szCs w:val="24"/>
                <w:color w:val="auto"/>
              </w:rPr>
            </w:pPr>
          </w:p>
        </w:tc>
        <w:tc>
          <w:tcPr>
            <w:tcW w:w="2620" w:type="dxa"/>
            <w:vAlign w:val="bottom"/>
            <w:gridSpan w:val="5"/>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60" w:type="dxa"/>
            <w:vAlign w:val="bottom"/>
          </w:tcPr>
          <w:p>
            <w:pPr>
              <w:spacing w:after="0"/>
              <w:rPr>
                <w:sz w:val="24"/>
                <w:szCs w:val="24"/>
                <w:color w:val="auto"/>
              </w:rPr>
            </w:pPr>
          </w:p>
        </w:tc>
        <w:tc>
          <w:tcPr>
            <w:tcW w:w="23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Segment Non-GAAP Measures:</w:t>
            </w:r>
            <w:r>
              <w:rPr>
                <w:rFonts w:ascii="Arial" w:cs="Arial" w:eastAsia="Arial" w:hAnsi="Arial"/>
                <w:sz w:val="23"/>
                <w:szCs w:val="23"/>
                <w:b w:val="1"/>
                <w:bCs w:val="1"/>
                <w:color w:val="auto"/>
                <w:vertAlign w:val="superscript"/>
              </w:rPr>
              <w:t>(a)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health and hospice 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13,867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26,642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19,456</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Senior living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4,619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8,260</w:t>
            </w:r>
          </w:p>
        </w:tc>
      </w:tr>
    </w:tbl>
    <w:p>
      <w:pPr>
        <w:spacing w:after="0" w:line="115" w:lineRule="exact"/>
        <w:rPr>
          <w:sz w:val="20"/>
          <w:szCs w:val="20"/>
          <w:color w:val="auto"/>
        </w:rPr>
      </w:pPr>
    </w:p>
    <w:p>
      <w:pPr>
        <w:ind w:left="580" w:hanging="454"/>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General and administrative expenses are not allocated to any segment for purposes of determining segment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tables below reconcile Consolidated net income to the consolidated Non-GAAP financial measures, Consolidated and Consolidated Adjusted EBITDA, and to the Non-GAAP valuation measure, Consolidated Adjusted EBITDAR,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160" w:type="dxa"/>
            <w:vAlign w:val="bottom"/>
          </w:tcPr>
          <w:p>
            <w:pPr>
              <w:spacing w:after="0"/>
              <w:rPr>
                <w:sz w:val="20"/>
                <w:szCs w:val="20"/>
                <w:color w:val="auto"/>
              </w:rPr>
            </w:pPr>
          </w:p>
        </w:tc>
        <w:tc>
          <w:tcPr>
            <w:tcW w:w="23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Provision for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r>
      <w:tr>
        <w:trPr>
          <w:trHeight w:val="229"/>
        </w:trPr>
        <w:tc>
          <w:tcPr>
            <w:tcW w:w="6100" w:type="dxa"/>
            <w:vAlign w:val="bottom"/>
          </w:tcPr>
          <w:p>
            <w:pPr>
              <w:ind w:left="4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r>
      <w:tr>
        <w:trPr>
          <w:trHeight w:val="223"/>
        </w:trPr>
        <w:tc>
          <w:tcPr>
            <w:tcW w:w="6100" w:type="dxa"/>
            <w:vAlign w:val="bottom"/>
          </w:tcPr>
          <w:p>
            <w:pPr>
              <w:ind w:left="220"/>
              <w:spacing w:after="0"/>
              <w:rPr>
                <w:sz w:val="20"/>
                <w:szCs w:val="20"/>
                <w:color w:val="auto"/>
              </w:rPr>
            </w:pPr>
            <w:r>
              <w:rPr>
                <w:rFonts w:ascii="Arial" w:cs="Arial" w:eastAsia="Arial" w:hAnsi="Arial"/>
                <w:sz w:val="18"/>
                <w:szCs w:val="18"/>
                <w:color w:val="auto"/>
              </w:rPr>
              <w:t>Consolidated EBITDA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12,569</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Consolidated EBITDA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line="230" w:lineRule="exact"/>
              <w:rPr>
                <w:sz w:val="20"/>
                <w:szCs w:val="20"/>
                <w:color w:val="auto"/>
              </w:rPr>
            </w:pPr>
            <w:r>
              <w:rPr>
                <w:rFonts w:ascii="Arial" w:cs="Arial" w:eastAsia="Arial" w:hAnsi="Arial"/>
                <w:sz w:val="18"/>
                <w:szCs w:val="18"/>
                <w:color w:val="auto"/>
              </w:rPr>
              <w:t>Add: Costs at start-up operations</w:t>
            </w:r>
            <w:r>
              <w:rPr>
                <w:rFonts w:ascii="Arial" w:cs="Arial" w:eastAsia="Arial" w:hAnsi="Arial"/>
                <w:sz w:val="23"/>
                <w:szCs w:val="23"/>
                <w:color w:val="auto"/>
                <w:vertAlign w:val="superscript"/>
              </w:rPr>
              <w:t>(a)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29"/>
        </w:trPr>
        <w:tc>
          <w:tcPr>
            <w:tcW w:w="61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r>
      <w:tr>
        <w:trPr>
          <w:trHeight w:val="230"/>
        </w:trPr>
        <w:tc>
          <w:tcPr>
            <w:tcW w:w="6100" w:type="dxa"/>
            <w:vAlign w:val="bottom"/>
          </w:tcPr>
          <w:p>
            <w:pPr>
              <w:ind w:left="48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29"/>
        </w:trPr>
        <w:tc>
          <w:tcPr>
            <w:tcW w:w="6100" w:type="dxa"/>
            <w:vAlign w:val="bottom"/>
          </w:tcPr>
          <w:p>
            <w:pPr>
              <w:ind w:left="480"/>
              <w:spacing w:after="0" w:line="230" w:lineRule="exact"/>
              <w:rPr>
                <w:sz w:val="20"/>
                <w:szCs w:val="20"/>
                <w:color w:val="auto"/>
              </w:rPr>
            </w:pPr>
            <w:r>
              <w:rPr>
                <w:rFonts w:ascii="Arial" w:cs="Arial" w:eastAsia="Arial" w:hAnsi="Arial"/>
                <w:sz w:val="18"/>
                <w:szCs w:val="18"/>
                <w:color w:val="auto"/>
              </w:rPr>
              <w:t>Net COVID-19 related costs</w:t>
            </w:r>
            <w:r>
              <w:rPr>
                <w:rFonts w:ascii="Arial" w:cs="Arial" w:eastAsia="Arial" w:hAnsi="Arial"/>
                <w:sz w:val="23"/>
                <w:szCs w:val="23"/>
                <w:color w:val="auto"/>
                <w:vertAlign w:val="superscript"/>
              </w:rPr>
              <w: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30"/>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item (a) above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Consolidated Adjusted EBITDA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18,935</w:t>
            </w:r>
          </w:p>
        </w:tc>
      </w:tr>
      <w:tr>
        <w:trPr>
          <w:trHeight w:val="223"/>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Rent—cost of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19,473</w:t>
            </w:r>
          </w:p>
        </w:tc>
      </w:tr>
      <w:tr>
        <w:trPr>
          <w:trHeight w:val="229"/>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Rent related to item (a) above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rent—cost of services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19,424</w:t>
            </w:r>
          </w:p>
        </w:tc>
      </w:tr>
      <w:tr>
        <w:trPr>
          <w:trHeight w:val="223"/>
        </w:trPr>
        <w:tc>
          <w:tcPr>
            <w:tcW w:w="6100" w:type="dxa"/>
            <w:vAlign w:val="bottom"/>
          </w:tcPr>
          <w:p>
            <w:pPr>
              <w:ind w:left="220"/>
              <w:spacing w:after="0"/>
              <w:rPr>
                <w:sz w:val="20"/>
                <w:szCs w:val="20"/>
                <w:color w:val="auto"/>
              </w:rPr>
            </w:pPr>
            <w:r>
              <w:rPr>
                <w:rFonts w:ascii="Arial" w:cs="Arial" w:eastAsia="Arial" w:hAnsi="Arial"/>
                <w:sz w:val="18"/>
                <w:szCs w:val="18"/>
                <w:color w:val="auto"/>
              </w:rPr>
              <w:t>Consolidated Adjusted EBITDAR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16" w:lineRule="exact"/>
        <w:rPr>
          <w:sz w:val="20"/>
          <w:szCs w:val="20"/>
          <w:color w:val="auto"/>
        </w:rPr>
      </w:pPr>
    </w:p>
    <w:p>
      <w:pPr>
        <w:ind w:left="480" w:hanging="454"/>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Acquisition related costs related to business combinations completed during the periods.</w:t>
      </w:r>
    </w:p>
    <w:p>
      <w:pPr>
        <w:spacing w:after="0" w:line="28" w:lineRule="exact"/>
        <w:rPr>
          <w:rFonts w:ascii="Arial" w:cs="Arial" w:eastAsia="Arial" w:hAnsi="Arial"/>
          <w:sz w:val="14"/>
          <w:szCs w:val="14"/>
          <w:color w:val="auto"/>
        </w:rPr>
      </w:pPr>
    </w:p>
    <w:p>
      <w:pPr>
        <w:jc w:val="both"/>
        <w:ind w:left="480" w:right="20" w:hanging="454"/>
        <w:spacing w:after="0" w:line="231" w:lineRule="auto"/>
        <w:tabs>
          <w:tab w:leader="none" w:pos="4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portion of the costs incurred under the Transition Services Agreement identified as redundant or nonrecurring that are included in general and administrative expense. Fees incurred under the Transition Services agreement, net of the Company’s payroll reimbursement, were $747 and $1,735 for the three and six months ended June 30, 2021, and $1,525 and $2,861 for the three and six months ended June 30, 2020, respectively. During the fourth quarter of fiscal 2020, we updated our Transition service costs adjustment to include duplicate software costs. The prior year transition service costs adjustment has been recast to reflect the change. The adjustment to the prior year transition service costs was $113 and $220 for the duplicative software costs for the three and six months ended June 30, 2020 that were included in the 2020 full year amount in the Company’s as filed Form 10-K.</w:t>
      </w:r>
    </w:p>
    <w:p>
      <w:pPr>
        <w:spacing w:after="0" w:line="9" w:lineRule="exact"/>
        <w:rPr>
          <w:rFonts w:ascii="Arial" w:cs="Arial" w:eastAsia="Arial" w:hAnsi="Arial"/>
          <w:sz w:val="13"/>
          <w:szCs w:val="13"/>
          <w:color w:val="auto"/>
        </w:rPr>
      </w:pPr>
    </w:p>
    <w:p>
      <w:pPr>
        <w:jc w:val="both"/>
        <w:ind w:left="480" w:right="20" w:hanging="454"/>
        <w:spacing w:after="0" w:line="243" w:lineRule="auto"/>
        <w:tabs>
          <w:tab w:leader="none" w:pos="4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has been extended through December 31, 2021. Sequestration relief was $870 and $1,818 for the three and six months ended June 30, 2021, respectively.</w:t>
      </w:r>
    </w:p>
    <w:p>
      <w:pPr>
        <w:spacing w:after="0" w:line="85" w:lineRule="exact"/>
        <w:rPr>
          <w:rFonts w:ascii="Arial" w:cs="Arial" w:eastAsia="Arial" w:hAnsi="Arial"/>
          <w:sz w:val="13"/>
          <w:szCs w:val="13"/>
          <w:color w:val="auto"/>
        </w:rPr>
      </w:pPr>
    </w:p>
    <w:p>
      <w:pPr>
        <w:jc w:val="both"/>
        <w:ind w:left="480" w:right="20"/>
        <w:spacing w:after="0" w:line="224" w:lineRule="auto"/>
        <w:rPr>
          <w:rFonts w:ascii="Arial" w:cs="Arial" w:eastAsia="Arial" w:hAnsi="Arial"/>
          <w:sz w:val="13"/>
          <w:szCs w:val="13"/>
          <w:color w:val="auto"/>
        </w:rPr>
      </w:pPr>
      <w:r>
        <w:rPr>
          <w:rFonts w:ascii="Arial" w:cs="Arial" w:eastAsia="Arial" w:hAnsi="Arial"/>
          <w:sz w:val="14"/>
          <w:szCs w:val="14"/>
          <w:color w:val="auto"/>
        </w:rPr>
        <w:t>The 2020 amounts represent incremental costs incurred as part of the Company's response to COVID-19 including direct medical supplies, labor, and other expenses, net of $554 in increased revenue related to the 2% payment increase in Medicare reimbursements for sequestration relief for both the three and six months ended June 30, 2020. The COVID-19 costs do not include $277 in costs for the three months ended March 31, 2020 that were included in the 2020 full year amount.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tables below reconcile Segment Adjusted EBITDAR from Operations to Segment Adjusted EBITDA from Operations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Arial" w:cs="Arial" w:eastAsia="Arial" w:hAnsi="Arial"/>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8,893</w:t>
            </w:r>
          </w:p>
        </w:tc>
      </w:tr>
      <w:tr>
        <w:trPr>
          <w:trHeight w:val="230"/>
        </w:trPr>
        <w:tc>
          <w:tcPr>
            <w:tcW w:w="6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start-up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r>
      <w:tr>
        <w:trPr>
          <w:trHeight w:val="21"/>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88"/>
        </w:trPr>
        <w:tc>
          <w:tcPr>
            <w:tcW w:w="6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0"/>
              </w:rPr>
              <w:t>Six Months Ended June 30,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Arial" w:cs="Arial" w:eastAsia="Arial" w:hAnsi="Arial"/>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25,989</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17,749</w:t>
            </w:r>
          </w:p>
        </w:tc>
      </w:tr>
      <w:tr>
        <w:trPr>
          <w:trHeight w:val="230"/>
        </w:trPr>
        <w:tc>
          <w:tcPr>
            <w:tcW w:w="6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start-up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w:t>
            </w:r>
          </w:p>
        </w:tc>
      </w:tr>
      <w:tr>
        <w:trPr>
          <w:trHeight w:val="21"/>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these Non-GAAP Financial Measures are useful to investors and other external users of our financial statements regarding our results of operations because:</w:t>
      </w:r>
    </w:p>
    <w:p>
      <w:pPr>
        <w:spacing w:after="0" w:line="197" w:lineRule="exact"/>
        <w:rPr>
          <w:sz w:val="20"/>
          <w:szCs w:val="20"/>
          <w:color w:val="auto"/>
        </w:rPr>
      </w:pPr>
    </w:p>
    <w:p>
      <w:pPr>
        <w:jc w:val="both"/>
        <w:ind w:left="660" w:hanging="328"/>
        <w:spacing w:after="0" w:line="311"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method by which assets were acquired, and differences in capital structures;</w:t>
      </w:r>
    </w:p>
    <w:p>
      <w:pPr>
        <w:spacing w:after="0" w:line="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help investors evaluate and compare the results of our operations from period to period by removing the impact of our asset base and capital structure from our operating results;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Consolidated Adjusted EBITDAR is used by investors and analysts in our industry to value the companies in our industry without regard to capital structures.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use Non-GAAP Financial Measures: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measurements of our operating performance to assist us in comparing our operating performance on a consistent basis from period to period;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assess the value of a potential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assess the value of a transformed operation’s performance;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compare our operating performance to that of our competitors.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establish compensation programs and bonuses for our leaders that are partially based upon the achievement of Consolidated Adjusted EBITDAR targets.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21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they do not reflect our current or future cash requirements for capital expenditures or contractual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they do not reflect the net interest expense, or the cash requirements necessary to service interest or principal payments, on our debt;</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Consolidated Adjusted EBITDAR, it does not reflect rent expenses, which are normal and recurring operating expenses that are necessary to operate our leased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they do not reflect any income tax payments we may be required to make;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do not reflect any cash requirements for such replacements;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companies in our industry may calculate the same Non-GAAP Financial Measures differently than we do, which may limit their usefulness as comparative measures.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compensate for these limitations by using Non-GAAP Financial Measures only to supplement net income on a basis prepared in accordance with GAAP in order to provide a more complete understanding of the factors and trends affecting our business.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income from operations to the Non-GAAP Financial Measures in the table presented above, along with the Interim Financial Statements and related notes included elsewhere in this Quarterly Report.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 following Non-GAAP Financial Measures are useful to investors as key operating performance measures and valuation measures: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EBITDA</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calculate Consolidated EBITDA as net income, adjusted for net income (loss) attributable to noncontrolling interest prior to the Spin-Off, before (a) interest expense (b) provision for income taxes and (c)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Adjusted EBITDA</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Consolidated Adjusted EBITDA by adjusting Consolidated EBITDA to exclude the effects of non-core business items, which for the reported periods includes, to the extent applicable:</w:t>
      </w:r>
    </w:p>
    <w:p>
      <w:pPr>
        <w:spacing w:after="0" w:line="19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at start-up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share-based compensation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acquisition related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Spin-Off related transaction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redundant or nonrecurring costs incurred as part of the Transition Services Agreement (as defined in Note 3,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w:t>
      </w: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Adjusted EBITDA from Operations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Measure</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Adjusted EBITDAR</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 operating and finance leases. A significant portion of finance lease expenditures are recorded in interest, whereas operating lease expenditures are recorded in rent expense.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790"/>
        </w:trPr>
        <w:tc>
          <w:tcPr>
            <w:tcW w:w="802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Three Months Ended June 30, 2021 Compared to the Three Months Ended June 30, 2020</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 June 30,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and hospice services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Home health</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35,287</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32.0 %</w:t>
            </w:r>
          </w:p>
        </w:tc>
        <w:tc>
          <w:tcPr>
            <w:tcW w:w="10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20,824</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22.4 %</w:t>
            </w: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Hospice</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36,838</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32,623</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35.2</w:t>
            </w:r>
          </w:p>
        </w:tc>
      </w:tr>
      <w:tr>
        <w:trPr>
          <w:trHeight w:val="229"/>
        </w:trPr>
        <w:tc>
          <w:tcPr>
            <w:tcW w:w="47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Home care and other</w:t>
            </w:r>
            <w:r>
              <w:rPr>
                <w:rFonts w:ascii="Arial" w:cs="Arial" w:eastAsia="Arial" w:hAnsi="Arial"/>
                <w:sz w:val="23"/>
                <w:szCs w:val="23"/>
                <w:color w:val="auto"/>
                <w:vertAlign w:val="superscript"/>
              </w:rPr>
              <w:t>(a)</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5,980</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4,537</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4.9</w:t>
            </w:r>
          </w:p>
        </w:tc>
      </w:tr>
      <w:tr>
        <w:trPr>
          <w:trHeight w:val="223"/>
        </w:trPr>
        <w:tc>
          <w:tcPr>
            <w:tcW w:w="47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home health and hospice services</w:t>
            </w: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70.8</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62.5</w:t>
            </w: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Senior living services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32,240</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34,756</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37.5</w:t>
            </w:r>
          </w:p>
        </w:tc>
      </w:tr>
      <w:tr>
        <w:trPr>
          <w:trHeight w:val="248"/>
        </w:trPr>
        <w:tc>
          <w:tcPr>
            <w:tcW w:w="47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110,345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80" w:hanging="454"/>
        <w:spacing w:after="0"/>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Home care and other revenue is included with home health revenue in other disclosures in this Quarterly Report.</w:t>
      </w: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total revenue increased $17.6 million, or 19.0% during the three months ended June 30, 2021. We experienced growth of $4.1 million from increased operational performance in our Home Health and Hospice segments as detailed below. Quarter-to-date revenue from acquired operations between June 30, 2020 and June 30, 2021 resulted in adding $13.5 million or 14.5%.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5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3"/>
        </w:trPr>
        <w:tc>
          <w:tcPr>
            <w:tcW w:w="5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gridSpan w:val="4"/>
          </w:tcPr>
          <w:p>
            <w:pPr>
              <w:jc w:val="center"/>
              <w:ind w:right="1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revenue</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Home health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35,287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20,824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69.5 %</w:t>
            </w: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Hospice services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w:t>
            </w:r>
          </w:p>
        </w:tc>
      </w:tr>
      <w:tr>
        <w:trPr>
          <w:trHeight w:val="229"/>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Home care and other</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31.8</w:t>
            </w:r>
          </w:p>
        </w:tc>
      </w:tr>
      <w:tr>
        <w:trPr>
          <w:trHeight w:val="248"/>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home health and hospice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447"/>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Total home health admissions</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91.5 %</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Medicare home health admissions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79.2</w:t>
            </w:r>
          </w:p>
        </w:tc>
      </w:tr>
      <w:tr>
        <w:trPr>
          <w:trHeight w:val="230"/>
        </w:trPr>
        <w:tc>
          <w:tcPr>
            <w:tcW w:w="5940" w:type="dxa"/>
            <w:vAlign w:val="bottom"/>
          </w:tcPr>
          <w:p>
            <w:pPr>
              <w:ind w:left="360"/>
              <w:spacing w:after="0" w:line="230" w:lineRule="exact"/>
              <w:rPr>
                <w:sz w:val="20"/>
                <w:szCs w:val="20"/>
                <w:color w:val="auto"/>
              </w:rPr>
            </w:pPr>
            <w:r>
              <w:rPr>
                <w:rFonts w:ascii="Arial" w:cs="Arial" w:eastAsia="Arial" w:hAnsi="Arial"/>
                <w:sz w:val="18"/>
                <w:szCs w:val="18"/>
                <w:color w:val="auto"/>
              </w:rPr>
              <w:t>Average Medicare revenue per 60-day completed episode</w:t>
            </w:r>
            <w:r>
              <w:rPr>
                <w:rFonts w:ascii="Arial" w:cs="Arial" w:eastAsia="Arial" w:hAnsi="Arial"/>
                <w:sz w:val="23"/>
                <w:szCs w:val="23"/>
                <w:color w:val="auto"/>
                <w:vertAlign w:val="superscript"/>
              </w:rPr>
              <w:t>(a)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3,441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0.8</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Total hospice admissions</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4.8</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census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16.0</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Hospice Medicare revenue per day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4.3</w:t>
            </w:r>
          </w:p>
        </w:tc>
      </w:tr>
      <w:tr>
        <w:trPr>
          <w:trHeight w:val="23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home health and hospice agencies at period end</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28.4</w:t>
            </w:r>
          </w:p>
        </w:tc>
      </w:tr>
    </w:tbl>
    <w:p>
      <w:pPr>
        <w:spacing w:after="0" w:line="116" w:lineRule="exact"/>
        <w:rPr>
          <w:sz w:val="20"/>
          <w:szCs w:val="20"/>
          <w:color w:val="auto"/>
        </w:rPr>
      </w:pPr>
    </w:p>
    <w:p>
      <w:pPr>
        <w:ind w:left="480" w:hanging="454"/>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Recast prior period based upon current methodology.</w:t>
      </w:r>
    </w:p>
    <w:p>
      <w:pPr>
        <w:spacing w:after="0" w:line="3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Home health and hospice revenue increased $20.1 million, or 34.7%. Revenue grew due to an increase in all key performance indicators, including an increase of 91.5% in total home health admissions, an increase of 79.2% in Medicare home health admissions, an increase of 4.8% in total hospice admissions, and an increase of 16.0% in hospice average daily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census during the three months ended June 30, 2021 in comparison to the prior year’s quarter. Growth was partially driven by the addition of nineteen home health, hospice and home care operations between June 30, 2020 and June 30, 2021, adding $13.5 million or 23.3% in revenue along with additional revenue due to the sequestration suspension in the current year.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7"/>
        </w:trPr>
        <w:tc>
          <w:tcPr>
            <w:tcW w:w="5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5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5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32,240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34,756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4"/>
              </w:rPr>
              <w:t>(7.2)%</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Number of communities at period end</w:t>
            </w:r>
          </w:p>
        </w:tc>
        <w:tc>
          <w:tcPr>
            <w:tcW w:w="16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72.7 %</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3,176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360" w:type="dxa"/>
            <w:vAlign w:val="bottom"/>
          </w:tcPr>
          <w:p>
            <w:pPr>
              <w:ind w:left="840"/>
              <w:spacing w:after="0"/>
              <w:rPr>
                <w:sz w:val="20"/>
                <w:szCs w:val="20"/>
                <w:color w:val="auto"/>
              </w:rPr>
            </w:pPr>
            <w:r>
              <w:rPr>
                <w:rFonts w:ascii="Arial" w:cs="Arial" w:eastAsia="Arial" w:hAnsi="Arial"/>
                <w:sz w:val="18"/>
                <w:szCs w:val="18"/>
                <w:color w:val="auto"/>
              </w:rPr>
              <w:t>(0.9)</w:t>
            </w:r>
          </w:p>
        </w:tc>
      </w:tr>
    </w:tbl>
    <w:p>
      <w:pPr>
        <w:spacing w:after="0" w:line="3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Senior living revenue decreased $2.5 million, or 7.2%, for the three months ended June 30, 2021 compared to the same period in the prior year due primarily to a 5.8% decrease in occupancy between June 30, 2020 and June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total cost of services by each of our reportable segments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8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June 30,</w:t>
            </w: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312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Borders>
              <w:bottom w:val="single" w:sz="8" w:color="auto"/>
            </w:tcBorders>
          </w:tcPr>
          <w:p>
            <w:pPr>
              <w:spacing w:after="0"/>
              <w:rPr>
                <w:sz w:val="19"/>
                <w:szCs w:val="19"/>
                <w:color w:val="auto"/>
              </w:rPr>
            </w:pPr>
          </w:p>
        </w:tc>
      </w:tr>
      <w:tr>
        <w:trPr>
          <w:trHeight w:val="223"/>
        </w:trPr>
        <w:tc>
          <w:tcPr>
            <w:tcW w:w="3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3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Home Health and Hospice</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18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3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Senior Living</w:t>
            </w:r>
          </w:p>
        </w:tc>
        <w:tc>
          <w:tcPr>
            <w:tcW w:w="9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820" w:type="dxa"/>
            <w:vAlign w:val="bottom"/>
            <w:tcBorders>
              <w:bottom w:val="single" w:sz="8" w:color="CCEEFF"/>
            </w:tcBorders>
            <w:gridSpan w:val="2"/>
          </w:tcPr>
          <w:p>
            <w:pPr>
              <w:jc w:val="right"/>
              <w:ind w:right="57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tcPr>
          <w:p>
            <w:pPr>
              <w:spacing w:after="0"/>
              <w:rPr>
                <w:sz w:val="19"/>
                <w:szCs w:val="19"/>
                <w:color w:val="auto"/>
              </w:rPr>
            </w:pPr>
          </w:p>
        </w:tc>
      </w:tr>
      <w:tr>
        <w:trPr>
          <w:trHeight w:val="248"/>
        </w:trPr>
        <w:tc>
          <w:tcPr>
            <w:tcW w:w="31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cost of services</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1820" w:type="dxa"/>
            <w:vAlign w:val="bottom"/>
            <w:tcBorders>
              <w:bottom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27.2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consolidated cost of services increased $18.5 million or 27.2% for the three months ended June 30, 2021 when compared to the three months ended June 30, 2020. Cost of services as a percentage of revenue increased by 5.0% from 73.5% to 78.5% for the three months ended June 30, 2021 when compared to the three months ended June 30, 2020.</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6"/>
        </w:trPr>
        <w:tc>
          <w:tcPr>
            <w:tcW w:w="5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3"/>
        </w:trPr>
        <w:tc>
          <w:tcPr>
            <w:tcW w:w="5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64,107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17,998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39.0 %</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82.1 %</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Cost of services related to our home health and hospice services segment increased $18.0 million, or 39.0%, primarily due to increased volume of services provided and increased labor costs. Cost of services as a percentage of revenue for the three months ended June 30, 2021 increased 2.6% from 79.5% to 82.1% for the three months ended June 30, 2021 when compared to the three months ended June 30, 2020. Wage costs show an increase over the prior year due to challenges in the staffing environment resulting in higher overtime and per hour wages.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0"/>
        </w:trPr>
        <w:tc>
          <w:tcPr>
            <w:tcW w:w="5540" w:type="dxa"/>
            <w:vAlign w:val="bottom"/>
            <w:gridSpan w:val="2"/>
          </w:tcPr>
          <w:p>
            <w:pPr>
              <w:spacing w:after="0"/>
              <w:rPr>
                <w:sz w:val="20"/>
                <w:szCs w:val="20"/>
                <w:color w:val="auto"/>
              </w:rPr>
            </w:pPr>
            <w:r>
              <w:rPr>
                <w:rFonts w:ascii="Arial" w:cs="Arial" w:eastAsia="Arial" w:hAnsi="Arial"/>
                <w:sz w:val="18"/>
                <w:szCs w:val="18"/>
                <w:i w:val="1"/>
                <w:iCs w:val="1"/>
                <w:color w:val="auto"/>
              </w:rPr>
              <w:t>Senior Living Services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2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22,560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22,050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70.0 %</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 of services related to our senior living services segment increased $0.5 million, or 2.3%. As a percentage of revenue, costs of service increased by 6.6% from 63.4% to 70.0% for the three months ended June 30, 2021 when compared to the three months ended June 30, 2020, primarily as a result of a decrease in occupancy while maintaining levels of cost in operating expenses. Fixed costs have remained intact to facilitate recovery.</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Rent—Cost of Services</w:t>
      </w:r>
      <w:r>
        <w:rPr>
          <w:rFonts w:ascii="Arial" w:cs="Arial" w:eastAsia="Arial" w:hAnsi="Arial"/>
          <w:sz w:val="18"/>
          <w:szCs w:val="18"/>
          <w:color w:val="auto"/>
        </w:rPr>
        <w:t>. Rent expense increased 4.0% from $9.8 million to $10.2 million in the three months ended June 30,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2020, primarily as a result of adjustments due to CPI increases, acquisitions and other lease renewals. Rent as a percentage of total revenue decreased 1.3% from 10.5% to 9.2% in the three months ended June 30, 2021.</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Our general and administrative expense increased $1.3 million or 17.8% from $7.5 million to $8.8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June 30, 2021 when compared to the three months ended June 30, 2020. General and administrative expense as a percentage of revenue decreased 0.1% from 8.1% to 8.0% as a result of growth in revenue outpacing growth in expense. The increase in general and administrative expense was primarily due to nonrecurring costs of $0.7 million related to transition services costs and $0.6 million related to continued operational support of our own information systems infrastructure during the three months ended June 30, 2021 when compared to the three months ended June 30, 2020.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decreased slightly as a percentage of total revenue.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Our effective tax rate for the three months ended June 30, 2021 was 19.7% of earnings before income taxes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an effective tax rate of 24.9% for the three months ended June 30, 2020. See Note 14</w:t>
      </w:r>
      <w:r>
        <w:rPr>
          <w:rFonts w:ascii="Arial" w:cs="Arial" w:eastAsia="Arial" w:hAnsi="Arial"/>
          <w:sz w:val="18"/>
          <w:szCs w:val="18"/>
          <w:i w:val="1"/>
          <w:iCs w:val="1"/>
          <w:color w:val="auto"/>
        </w:rPr>
        <w:t>, Income Taxes</w:t>
      </w:r>
      <w:r>
        <w:rPr>
          <w:rFonts w:ascii="Arial" w:cs="Arial" w:eastAsia="Arial" w:hAnsi="Arial"/>
          <w:sz w:val="18"/>
          <w:szCs w:val="18"/>
          <w:color w:val="auto"/>
        </w:rPr>
        <w:t>, to the Interim Financial Statements included elsewhere in this Quarterly Report for further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the Six Months Ended June 30,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7"/>
        </w:trPr>
        <w:tc>
          <w:tcPr>
            <w:tcW w:w="47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Six Months Ended June 30,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23"/>
        </w:trPr>
        <w:tc>
          <w:tcPr>
            <w:tcW w:w="47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470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r>
      <w:tr>
        <w:trPr>
          <w:trHeight w:val="223"/>
        </w:trPr>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Home health</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68,491</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31.7 %</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42,268</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22.9 %</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Hospice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73,752</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63,063</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34.2</w:t>
            </w:r>
          </w:p>
        </w:tc>
      </w:tr>
      <w:tr>
        <w:trPr>
          <w:trHeight w:val="230"/>
        </w:trPr>
        <w:tc>
          <w:tcPr>
            <w:tcW w:w="4700" w:type="dxa"/>
            <w:vAlign w:val="bottom"/>
          </w:tcPr>
          <w:p>
            <w:pPr>
              <w:ind w:left="140"/>
              <w:spacing w:after="0" w:line="230" w:lineRule="exact"/>
              <w:rPr>
                <w:sz w:val="20"/>
                <w:szCs w:val="20"/>
                <w:color w:val="auto"/>
              </w:rPr>
            </w:pPr>
            <w:r>
              <w:rPr>
                <w:rFonts w:ascii="Arial" w:cs="Arial" w:eastAsia="Arial" w:hAnsi="Arial"/>
                <w:sz w:val="18"/>
                <w:szCs w:val="18"/>
                <w:color w:val="auto"/>
              </w:rPr>
              <w:t>Home care and other</w:t>
            </w:r>
            <w:r>
              <w:rPr>
                <w:rFonts w:ascii="Arial" w:cs="Arial" w:eastAsia="Arial" w:hAnsi="Arial"/>
                <w:sz w:val="23"/>
                <w:szCs w:val="23"/>
                <w:color w:val="auto"/>
                <w:vertAlign w:val="superscript"/>
              </w:rPr>
              <w:t>(a)</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10,469</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9,415</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5.1</w:t>
            </w:r>
          </w:p>
        </w:tc>
      </w:tr>
      <w:tr>
        <w:trPr>
          <w:trHeight w:val="223"/>
        </w:trPr>
        <w:tc>
          <w:tcPr>
            <w:tcW w:w="4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home health and hospice services</w:t>
            </w: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152,712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70.7</w:t>
            </w: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114,746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62.2</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Senior living services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63,296</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69,843</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37.8</w:t>
            </w:r>
          </w:p>
        </w:tc>
      </w:tr>
      <w:tr>
        <w:trPr>
          <w:trHeight w:val="248"/>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184,589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480" w:hanging="454"/>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Home care and other revenue is included with home health revenue in other disclosures in this Quarterly Report.</w:t>
      </w:r>
    </w:p>
    <w:p>
      <w:pPr>
        <w:spacing w:after="0" w:line="3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total revenue increased $31.4 million, or 17.0% during the six months ended June 30, 2021. This increase was primarily the result of revenue from acquired home health and hospice operations increasing by $25.5 million or 13.8% since June 30, 2020. The remaining increase in revenue came due to organic growth from operational performance in our home health and hospice segment, offset by a decrease of $6.5 million in our senior living segment.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5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 June 30,</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3"/>
        </w:trPr>
        <w:tc>
          <w:tcPr>
            <w:tcW w:w="5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revenue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820" w:type="dxa"/>
            <w:vAlign w:val="bottom"/>
          </w:tcPr>
          <w:p>
            <w:pPr>
              <w:ind w:left="220"/>
              <w:spacing w:after="0"/>
              <w:rPr>
                <w:sz w:val="20"/>
                <w:szCs w:val="20"/>
                <w:color w:val="auto"/>
              </w:rPr>
            </w:pPr>
            <w:r>
              <w:rPr>
                <w:rFonts w:ascii="Arial" w:cs="Arial" w:eastAsia="Arial" w:hAnsi="Arial"/>
                <w:sz w:val="18"/>
                <w:szCs w:val="18"/>
                <w:color w:val="auto"/>
              </w:rPr>
              <w:t>Home health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68,491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42,268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26,223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62.0 %</w:t>
            </w: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Hospice services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w:t>
            </w:r>
          </w:p>
        </w:tc>
      </w:tr>
      <w:tr>
        <w:trPr>
          <w:trHeight w:val="230"/>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Home care and 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11.2</w:t>
            </w:r>
          </w:p>
        </w:tc>
      </w:tr>
      <w:tr>
        <w:trPr>
          <w:trHeight w:val="248"/>
        </w:trPr>
        <w:tc>
          <w:tcPr>
            <w:tcW w:w="5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home health and hospice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447"/>
        </w:trPr>
        <w:tc>
          <w:tcPr>
            <w:tcW w:w="5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 June 30,</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3"/>
        </w:trPr>
        <w:tc>
          <w:tcPr>
            <w:tcW w:w="5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Total home health admissions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7,771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68.2 %</w:t>
            </w:r>
          </w:p>
        </w:tc>
      </w:tr>
      <w:tr>
        <w:trPr>
          <w:trHeight w:val="229"/>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Medicare home health admissions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69.0</w:t>
            </w: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Average Medicare revenue per 60-day completed episode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5.9</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Total hospice admissions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15.7</w:t>
            </w:r>
          </w:p>
        </w:tc>
      </w:tr>
      <w:tr>
        <w:trPr>
          <w:trHeight w:val="229"/>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census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19.5</w:t>
            </w: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Hospice Medicare revenue per day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5.5</w:t>
            </w:r>
          </w:p>
        </w:tc>
      </w:tr>
      <w:tr>
        <w:trPr>
          <w:trHeight w:val="229"/>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home health and hospice agencies at period end</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28.4</w:t>
            </w:r>
          </w:p>
        </w:tc>
      </w:tr>
    </w:tbl>
    <w:p>
      <w:pPr>
        <w:spacing w:after="0" w:line="3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Home health and hospice revenue increased $38.0 million, or 33.1% during the six months ended June 30, 2021. Revenue grew primarily due to an increase of 68.2% in home health admissions, (inclusive of total Medicare home health admissions increase of 69.0%), an increase of 15.7% in total hospice admissions, and an increase of 19.5% in hospice average daily census during the six months ended June 30, 2021 when compared to the six months ended June 30, 2020. Growth was primarily driven by the addition of $25.5 million in revenue from the acquisition of nineteen home health, hospice and home care operations from June 30, 2020 through June 30, 2021, as well as additional revenue due to an increase in operational performance metrics compared to the prior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7"/>
        </w:trPr>
        <w:tc>
          <w:tcPr>
            <w:tcW w:w="5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60" w:type="dxa"/>
            <w:vAlign w:val="bottom"/>
            <w:gridSpan w:val="4"/>
          </w:tcPr>
          <w:p>
            <w:pPr>
              <w:ind w:left="14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54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4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63,296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69,843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(6,547)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4"/>
              </w:rPr>
              <w:t>(9.4)%</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Number of communities at period end</w:t>
            </w:r>
          </w:p>
        </w:tc>
        <w:tc>
          <w:tcPr>
            <w:tcW w:w="26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3,181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1360" w:type="dxa"/>
            <w:vAlign w:val="bottom"/>
          </w:tcPr>
          <w:p>
            <w:pPr>
              <w:ind w:left="840"/>
              <w:spacing w:after="0"/>
              <w:rPr>
                <w:sz w:val="20"/>
                <w:szCs w:val="20"/>
                <w:color w:val="auto"/>
              </w:rPr>
            </w:pPr>
            <w:r>
              <w:rPr>
                <w:rFonts w:ascii="Arial" w:cs="Arial" w:eastAsia="Arial" w:hAnsi="Arial"/>
                <w:sz w:val="18"/>
                <w:szCs w:val="18"/>
                <w:color w:val="auto"/>
              </w:rPr>
              <w:t>(0.7)</w:t>
            </w:r>
          </w:p>
        </w:tc>
      </w:tr>
    </w:tbl>
    <w:p>
      <w:pPr>
        <w:spacing w:after="0" w:line="3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Senior living revenue decreased $6.5 million, or 9.4%, for the six months ended June 30, 2021 compared to the same period in the prior year due primarily to a 6.9% decrease in occupancy in occupancy between June 30, 2020 and June 30,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i w:val="1"/>
                <w:iCs w:val="1"/>
                <w:color w:val="auto"/>
                <w:w w:val="89"/>
              </w:rPr>
              <w:t>Cost of Services</w:t>
            </w:r>
          </w:p>
        </w:tc>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and Hospice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32,096</w:t>
            </w:r>
          </w:p>
        </w:tc>
        <w:tc>
          <w:tcPr>
            <w:tcW w:w="14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2"/>
              </w:rPr>
              <w:t>34.3 %</w:t>
            </w:r>
          </w:p>
        </w:tc>
      </w:tr>
      <w:tr>
        <w:trPr>
          <w:trHeight w:val="230"/>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Living</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480" w:type="dxa"/>
            <w:vAlign w:val="bottom"/>
            <w:tcBorders>
              <w:bottom w:val="single" w:sz="8" w:color="CCEEFF"/>
            </w:tcBorders>
            <w:gridSpan w:val="2"/>
          </w:tcPr>
          <w:p>
            <w:pPr>
              <w:ind w:left="960"/>
              <w:spacing w:after="0"/>
              <w:rPr>
                <w:sz w:val="20"/>
                <w:szCs w:val="20"/>
                <w:color w:val="auto"/>
              </w:rPr>
            </w:pPr>
            <w:r>
              <w:rPr>
                <w:rFonts w:ascii="Arial" w:cs="Arial" w:eastAsia="Arial" w:hAnsi="Arial"/>
                <w:sz w:val="18"/>
                <w:szCs w:val="18"/>
                <w:color w:val="auto"/>
              </w:rPr>
              <w:t>(0.3)</w:t>
            </w:r>
          </w:p>
        </w:tc>
      </w:tr>
      <w:tr>
        <w:trPr>
          <w:trHeight w:val="248"/>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cost of services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31,941</w:t>
            </w:r>
          </w:p>
        </w:tc>
        <w:tc>
          <w:tcPr>
            <w:tcW w:w="14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w w:val="92"/>
              </w:rPr>
              <w:t>23.1 %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Consolidated cost of services increased $31.9 million or 23.1% during the six months ended June 30, 2021. Cost of services as a percentage of revenue for the six months ended June 30, 2021 increased by 3.9% to 78.8% from 74.9% compared to the six months ended June 30,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5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6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3"/>
        </w:trPr>
        <w:tc>
          <w:tcPr>
            <w:tcW w:w="5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 (in thousands)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125,593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93,497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32,096</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82.2 %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services related to our home health and hospice services segment increased $32.1 million, or 34.3%, primarily due to increased volume of services due to acquisitions and organic growth. Cost of services as a percentage of revenue for the six months ended June 30, 2021 increased 0.7% compared to the six months ended June 30, 2020. Wage costs show an increase over the prior year due to challenges in the staffing environment resulting in higher overtime and per hour wages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5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8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 June 30,</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54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 (in thousands)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44,696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44,851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(155)</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6.4 %</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services related to our senior living services segment decreased $0.2 million, or 0.3% during the six months ended June 30, 2021. As a percentage of revenue, costs of service increased by 6.4% from 64.2% to 70.6% during the six months ended June 30, 2021 when compared to the six months ended June 30, 2020, as a result of a decrease in occupancy while maintaining levels of cost in operating expenses in anticipation of occupancy rebound. Fixed costs have remained intact to facilitate recovery.</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Rent—Cost of Services</w:t>
      </w:r>
      <w:r>
        <w:rPr>
          <w:rFonts w:ascii="Arial" w:cs="Arial" w:eastAsia="Arial" w:hAnsi="Arial"/>
          <w:sz w:val="18"/>
          <w:szCs w:val="18"/>
          <w:color w:val="auto"/>
        </w:rPr>
        <w:t>. Rent increased 3.3% from $19.5 million to $20.1 million in the six months ended June 30, 2021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the prior year, primarily as a result of adjustments due to CPI increases, acquisitions and other lease renewals. As a percentage of revenue, rent</w:t>
      </w:r>
      <w:r>
        <w:rPr>
          <w:rFonts w:ascii="Arial" w:cs="Arial" w:eastAsia="Arial" w:hAnsi="Arial"/>
          <w:sz w:val="18"/>
          <w:szCs w:val="18"/>
          <w:i w:val="1"/>
          <w:iCs w:val="1"/>
          <w:color w:val="auto"/>
        </w:rPr>
        <w:t>—</w:t>
      </w:r>
      <w:r>
        <w:rPr>
          <w:rFonts w:ascii="Arial" w:cs="Arial" w:eastAsia="Arial" w:hAnsi="Arial"/>
          <w:sz w:val="18"/>
          <w:szCs w:val="18"/>
          <w:color w:val="auto"/>
        </w:rPr>
        <w:t xml:space="preserve"> cost of services decreased 1.2% when compared to the six months ended June 30, 2020.</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Our general and administrative expense increased $3.9 million or 27.3% from $14.2 million to $18.1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2021 when compared to the six months ended June 30, 2020. The increase in general and administrative expense was primarily due to increased costs of $1.6 million non-recurring costs related to transition services costs and $1.2 million related to continued operational support of our own information systems infrastructure during the six months ended June 30, 2021 and an increase of $1.2 million from wages for additional personnel to support the new systems and the growth in operations for the six months ended June 30, 2021 when compared to the six months ended June 30, 2020.</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decreased slightly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Our effective tax rate for the six months ended June 30, 2021 was 21.8% of earnings before income taxes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with an effective tax rate of 24.1% for the six months ended June 30, 2020. The decrease in the effective tax rate was due to an increase in excess tax benefits from share-based compensation, which was partially offset by an increase in non-deductible expenses including non-deductible compensation. See Note 14</w:t>
      </w:r>
      <w:r>
        <w:rPr>
          <w:rFonts w:ascii="Arial" w:cs="Arial" w:eastAsia="Arial" w:hAnsi="Arial"/>
          <w:sz w:val="17"/>
          <w:szCs w:val="17"/>
          <w:i w:val="1"/>
          <w:iCs w:val="1"/>
          <w:color w:val="auto"/>
        </w:rPr>
        <w:t>, Income Taxes</w:t>
      </w:r>
      <w:r>
        <w:rPr>
          <w:rFonts w:ascii="Arial" w:cs="Arial" w:eastAsia="Arial" w:hAnsi="Arial"/>
          <w:sz w:val="17"/>
          <w:szCs w:val="17"/>
          <w:color w:val="auto"/>
        </w:rPr>
        <w:t>, to the Interim Financial Statements included elsewhere in this Quarterly Report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sources of liquidity are net cash provided by operating activities and borrowings under our revolving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23, 2021, Pennant entered into an amendment to its existing credit agreement (as amended, the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The Company is permitted to prepay all or any portion of the loans under the Revolving Credit Facility prior to maturity without premium or penalty, subject to reimbursement of any LIBOR breakage costs of the lenders.</w:t>
      </w:r>
    </w:p>
    <w:p>
      <w:pPr>
        <w:spacing w:after="0" w:line="21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June 30, 2021, the Company was compliant with all such financial covenants.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252525"/>
        </w:rPr>
        <w:t xml:space="preserve">As of </w:t>
      </w:r>
      <w:r>
        <w:rPr>
          <w:rFonts w:ascii="Arial" w:cs="Arial" w:eastAsia="Arial" w:hAnsi="Arial"/>
          <w:sz w:val="18"/>
          <w:szCs w:val="18"/>
          <w:color w:val="000000"/>
        </w:rPr>
        <w:t>June 30, 2021 we had $2.9 million of cash and $106.2 million of available borrowing capacity on our Revolving Credit Facility.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our existing cash, cash equivalents, cash generated through operations and our access to financing facilities, together with funding through third-party sources such as commercial banks, will be sufficient to fund our operating activities and growth needs, and provide adequate liquidity for the next twelve months.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selected data from our condensed consolidated Statement of Cash Flows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69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6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19"/>
                <w:szCs w:val="19"/>
                <w:color w:val="auto"/>
              </w:rPr>
            </w:pPr>
          </w:p>
        </w:tc>
      </w:tr>
      <w:tr>
        <w:trPr>
          <w:trHeight w:val="230"/>
        </w:trPr>
        <w:tc>
          <w:tcPr>
            <w:tcW w:w="6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provided by operating activities</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43,398</w:t>
            </w:r>
          </w:p>
        </w:tc>
      </w:tr>
      <w:tr>
        <w:trPr>
          <w:trHeight w:val="230"/>
        </w:trPr>
        <w:tc>
          <w:tcPr>
            <w:tcW w:w="698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(15,477)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(13,803)</w:t>
            </w:r>
          </w:p>
        </w:tc>
      </w:tr>
      <w:tr>
        <w:trPr>
          <w:trHeight w:val="229"/>
        </w:trPr>
        <w:tc>
          <w:tcPr>
            <w:tcW w:w="6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30,119</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(17,868)</w:t>
            </w:r>
          </w:p>
        </w:tc>
      </w:tr>
      <w:tr>
        <w:trPr>
          <w:trHeight w:val="223"/>
        </w:trPr>
        <w:tc>
          <w:tcPr>
            <w:tcW w:w="6980" w:type="dxa"/>
            <w:vAlign w:val="bottom"/>
          </w:tcPr>
          <w:p>
            <w:pPr>
              <w:ind w:left="880"/>
              <w:spacing w:after="0"/>
              <w:rPr>
                <w:sz w:val="20"/>
                <w:szCs w:val="20"/>
                <w:color w:val="auto"/>
              </w:rPr>
            </w:pPr>
            <w:r>
              <w:rPr>
                <w:rFonts w:ascii="Arial" w:cs="Arial" w:eastAsia="Arial" w:hAnsi="Arial"/>
                <w:sz w:val="18"/>
                <w:szCs w:val="18"/>
                <w:color w:val="auto"/>
              </w:rPr>
              <w:t>Net increase in cash</w:t>
            </w:r>
          </w:p>
        </w:tc>
        <w:tc>
          <w:tcPr>
            <w:tcW w:w="9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11,727</w:t>
            </w:r>
          </w:p>
        </w:tc>
      </w:tr>
      <w:tr>
        <w:trPr>
          <w:trHeight w:val="229"/>
        </w:trPr>
        <w:tc>
          <w:tcPr>
            <w:tcW w:w="6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at beginning of year</w:t>
            </w: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23"/>
        </w:trPr>
        <w:tc>
          <w:tcPr>
            <w:tcW w:w="6980" w:type="dxa"/>
            <w:vAlign w:val="bottom"/>
          </w:tcPr>
          <w:p>
            <w:pPr>
              <w:ind w:left="880"/>
              <w:spacing w:after="0"/>
              <w:rPr>
                <w:sz w:val="20"/>
                <w:szCs w:val="20"/>
                <w:color w:val="auto"/>
              </w:rPr>
            </w:pPr>
            <w:r>
              <w:rPr>
                <w:rFonts w:ascii="Arial" w:cs="Arial" w:eastAsia="Arial" w:hAnsi="Arial"/>
                <w:sz w:val="18"/>
                <w:szCs w:val="18"/>
                <w:color w:val="auto"/>
              </w:rPr>
              <w:t>Cash at end of year</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12,129</w:t>
            </w:r>
          </w:p>
        </w:tc>
      </w:tr>
      <w:tr>
        <w:trPr>
          <w:trHeight w:val="21"/>
        </w:trPr>
        <w:tc>
          <w:tcPr>
            <w:tcW w:w="6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the Six Months Ended June 30, 2020</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net cash flow from operating activities for the six months ended June 30, 2021 decreased by $55.2 million when compared to the six months ended June 30, 2020. The primary driver of this difference can be attributed to the $35.1 million change in cash flows related to the AAP. We received $28.0 million in AAP in the six months ended June 30, 2020, and CMS recouped $7.1 million of those funds during the six months ended June 30, 2021. Other factors that contributed to the net cash used in operating activities were a decrease of $3.9 million in net income, an increase of $7.0 million in prepaid expenses, and a decrease of $4.1 million in accrued wages when compared to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net cash used in investing activities for the six months ended June 30, 2021 increased by $1.7 million compared to the six months ended June 30, 2020, primarily due to an increase of $5.9 million related to cash paid for acquisitions, offset by a decrease of $3.6 million in capital expenditures in the six months ended June 30, 2021.</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net cash provided by financing activities increased by approximately $48.0 million for the six months ended June 30, 2021 compared to the six months ended June 30, 2020, primarily due to the financing of our acquisitions and the recoupment of the AAP.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2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Other than certain draws and payments made on our Revolving Credit Facility, as described in Note 11, </w:t>
      </w:r>
      <w:r>
        <w:rPr>
          <w:rFonts w:ascii="Arial" w:cs="Arial" w:eastAsia="Arial" w:hAnsi="Arial"/>
          <w:sz w:val="18"/>
          <w:szCs w:val="18"/>
          <w:i w:val="1"/>
          <w:iCs w:val="1"/>
          <w:color w:val="auto"/>
        </w:rPr>
        <w:t>Debt</w:t>
      </w:r>
      <w:r>
        <w:rPr>
          <w:rFonts w:ascii="Arial" w:cs="Arial" w:eastAsia="Arial" w:hAnsi="Arial"/>
          <w:sz w:val="18"/>
          <w:szCs w:val="18"/>
          <w:color w:val="auto"/>
        </w:rPr>
        <w:t>, to the Interim Financial Statements in Part I of this Quarterly Report, there have been no material changes to our total obligations during the period covered by this Quarterly Report outside of the normal course of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are exposed to risks associated with market changes in interest rates. Our Revolving Credit Facility exposes us to variability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in interest payments due to changes in LIBOR. We manage our exposure to this market risk by monitoring available financing alternatives.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Interim Financial Statements for a description of claims and legal actions arising in the ordinary course of our business.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12529"/>
        </w:rPr>
        <w:t>We have disclosed under the heading “Risk Factors” in the 2020 Annual Report risk factors that materially affect our business, financial condition or results of operations. You should carefully consider the risk factors set forth in the 2020 Annual Report and the other information set forth elsewhere in this Quarterly Report.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257"/>
        </w:trPr>
        <w:tc>
          <w:tcPr>
            <w:tcW w:w="1080" w:type="dxa"/>
            <w:vAlign w:val="bottom"/>
            <w:gridSpan w:val="5"/>
          </w:tcPr>
          <w:p>
            <w:pPr>
              <w:ind w:left="220"/>
              <w:spacing w:after="0"/>
              <w:rPr>
                <w:sz w:val="20"/>
                <w:szCs w:val="20"/>
                <w:color w:val="auto"/>
              </w:rPr>
            </w:pPr>
            <w:r>
              <w:rPr>
                <w:rFonts w:ascii="Arial" w:cs="Arial" w:eastAsia="Arial" w:hAnsi="Arial"/>
                <w:sz w:val="18"/>
                <w:szCs w:val="18"/>
                <w:color w:val="auto"/>
              </w:rPr>
              <w:t>Exhibit</w:t>
            </w:r>
          </w:p>
        </w:tc>
        <w:tc>
          <w:tcPr>
            <w:tcW w:w="1010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23"/>
        </w:trPr>
        <w:tc>
          <w:tcPr>
            <w:tcW w:w="940" w:type="dxa"/>
            <w:vAlign w:val="bottom"/>
            <w:tcBorders>
              <w:top w:val="single" w:sz="8" w:color="auto"/>
            </w:tcBorders>
            <w:gridSpan w:val="3"/>
          </w:tcPr>
          <w:p>
            <w:pPr>
              <w:jc w:val="right"/>
              <w:spacing w:after="0"/>
              <w:rPr>
                <w:rFonts w:ascii="Arial" w:cs="Arial" w:eastAsia="Arial" w:hAnsi="Arial"/>
                <w:sz w:val="18"/>
                <w:szCs w:val="18"/>
                <w:color w:val="0000FF"/>
              </w:rPr>
            </w:pPr>
            <w:hyperlink r:id="rId59">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Amended and Restated Certificate of Incorporation of The Pennant Group, Inc., effective as of September 27, 2019 (incorporated by</w:t>
            </w:r>
          </w:p>
        </w:tc>
      </w:t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tcPr>
          <w:p>
            <w:pPr>
              <w:spacing w:after="0" w:line="142" w:lineRule="exact"/>
              <w:rPr>
                <w:sz w:val="20"/>
                <w:szCs w:val="20"/>
                <w:color w:val="auto"/>
              </w:rPr>
            </w:pPr>
            <w:r>
              <w:rPr>
                <w:rFonts w:ascii="Arial" w:cs="Arial" w:eastAsia="Arial" w:hAnsi="Arial"/>
                <w:sz w:val="16"/>
                <w:szCs w:val="16"/>
                <w:color w:val="auto"/>
              </w:rPr>
              <w:t>reference to Exhibit 3.1 to The Pennant Group, Inc.’s Current Report on Form 8-K (File No. 001-38900) filed with the SEC on October 3,</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2019).</w:t>
            </w:r>
          </w:p>
        </w:tc>
      </w:tr>
      <w:tr>
        <w:trPr>
          <w:trHeight w:val="242"/>
        </w:trPr>
        <w:tc>
          <w:tcPr>
            <w:tcW w:w="940" w:type="dxa"/>
            <w:vAlign w:val="bottom"/>
            <w:gridSpan w:val="3"/>
          </w:tcPr>
          <w:p>
            <w:pPr>
              <w:jc w:val="right"/>
              <w:spacing w:after="0"/>
              <w:rPr>
                <w:rFonts w:ascii="Arial" w:cs="Arial" w:eastAsia="Arial" w:hAnsi="Arial"/>
                <w:sz w:val="18"/>
                <w:szCs w:val="18"/>
                <w:color w:val="0000FF"/>
              </w:rPr>
            </w:pPr>
            <w:hyperlink r:id="rId60">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1"/>
              </w:rPr>
              <w:t>Amended and Restated By-laws of The Pennant Group, Inc. (incorporated by reference to Exhibit 3.2 to The Pennant Group, Inc.’s Current</w:t>
            </w:r>
          </w:p>
        </w:tc>
      </w:tr>
      <w:tr>
        <w:trPr>
          <w:trHeight w:val="210"/>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Report on Form 8-K (File No. 001-38900) filed with the SEC on October 3, 2019).</w:t>
            </w:r>
          </w:p>
        </w:tc>
      </w:tr>
      <w:tr>
        <w:trPr>
          <w:trHeight w:val="229"/>
        </w:trPr>
        <w:tc>
          <w:tcPr>
            <w:tcW w:w="940" w:type="dxa"/>
            <w:vAlign w:val="bottom"/>
            <w:gridSpan w:val="3"/>
          </w:tcPr>
          <w:p>
            <w:pPr>
              <w:jc w:val="right"/>
              <w:spacing w:after="0"/>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5"/>
              </w:rPr>
              <w:t>Pennant Services Nonqualified Deferred Compensation Plan (incorporated by reference to Exhibit 10.1 to The Pennant Group, Inc.’s</w:t>
            </w:r>
          </w:p>
        </w:tc>
      </w:tr>
      <w:tr>
        <w:trPr>
          <w:trHeight w:val="210"/>
        </w:trPr>
        <w:tc>
          <w:tcPr>
            <w:tcW w:w="6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Current Report on Form 8-K (File No. 001-38900) filed with the SEC on May 28, 2021).</w:t>
            </w:r>
          </w:p>
        </w:tc>
      </w:tr>
      <w:tr>
        <w:trPr>
          <w:trHeight w:val="256"/>
        </w:trPr>
        <w:tc>
          <w:tcPr>
            <w:tcW w:w="620" w:type="dxa"/>
            <w:vAlign w:val="bottom"/>
          </w:tcPr>
          <w:p>
            <w:pPr>
              <w:spacing w:after="0"/>
              <w:rPr>
                <w:sz w:val="22"/>
                <w:szCs w:val="22"/>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4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9"/>
        </w:trPr>
        <w:tc>
          <w:tcPr>
            <w:tcW w:w="620" w:type="dxa"/>
            <w:vAlign w:val="bottom"/>
          </w:tcPr>
          <w:p>
            <w:pPr>
              <w:spacing w:after="0"/>
              <w:rPr>
                <w:sz w:val="24"/>
                <w:szCs w:val="24"/>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4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9"/>
        </w:trPr>
        <w:tc>
          <w:tcPr>
            <w:tcW w:w="620" w:type="dxa"/>
            <w:vAlign w:val="bottom"/>
          </w:tcPr>
          <w:p>
            <w:pPr>
              <w:spacing w:after="0"/>
              <w:rPr>
                <w:sz w:val="24"/>
                <w:szCs w:val="24"/>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4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9"/>
        </w:trPr>
        <w:tc>
          <w:tcPr>
            <w:tcW w:w="620" w:type="dxa"/>
            <w:vAlign w:val="bottom"/>
          </w:tcPr>
          <w:p>
            <w:pPr>
              <w:spacing w:after="0"/>
              <w:rPr>
                <w:sz w:val="24"/>
                <w:szCs w:val="24"/>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5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50"/>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101.INS</w:t>
            </w:r>
          </w:p>
        </w:tc>
        <w:tc>
          <w:tcPr>
            <w:tcW w:w="10100" w:type="dxa"/>
            <w:vAlign w:val="bottom"/>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101.SCH</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101.CAL</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101.DEF</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101.LAB</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101.PRE</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00" w:type="dxa"/>
            <w:vAlign w:val="bottom"/>
            <w:gridSpan w:val="2"/>
          </w:tcPr>
          <w:p>
            <w:pPr>
              <w:ind w:left="1960"/>
              <w:spacing w:after="0"/>
              <w:rPr>
                <w:sz w:val="20"/>
                <w:szCs w:val="20"/>
                <w:color w:val="auto"/>
              </w:rPr>
            </w:pPr>
            <w:r>
              <w:rPr>
                <w:rFonts w:ascii="Arial" w:cs="Arial" w:eastAsia="Arial" w:hAnsi="Arial"/>
                <w:sz w:val="18"/>
                <w:szCs w:val="18"/>
                <w:color w:val="auto"/>
              </w:rPr>
              <w:t>The Pennant Group, Inc.</w:t>
            </w:r>
          </w:p>
        </w:tc>
      </w:tr>
      <w:tr>
        <w:trPr>
          <w:trHeight w:val="283"/>
        </w:trPr>
        <w:tc>
          <w:tcPr>
            <w:tcW w:w="3600" w:type="dxa"/>
            <w:vAlign w:val="bottom"/>
          </w:tcPr>
          <w:p>
            <w:pPr>
              <w:spacing w:after="0"/>
              <w:rPr>
                <w:sz w:val="20"/>
                <w:szCs w:val="20"/>
                <w:color w:val="auto"/>
              </w:rPr>
            </w:pPr>
            <w:r>
              <w:rPr>
                <w:rFonts w:ascii="Arial" w:cs="Arial" w:eastAsia="Arial" w:hAnsi="Arial"/>
                <w:sz w:val="18"/>
                <w:szCs w:val="18"/>
                <w:color w:val="auto"/>
              </w:rPr>
              <w:t>Dated: August 9, 2021</w:t>
            </w:r>
          </w:p>
        </w:tc>
        <w:tc>
          <w:tcPr>
            <w:tcW w:w="274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L. FREEMAN</w:t>
            </w:r>
          </w:p>
        </w:tc>
      </w:tr>
      <w:tr>
        <w:trPr>
          <w:trHeight w:val="224"/>
        </w:trPr>
        <w:tc>
          <w:tcPr>
            <w:tcW w:w="36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Jennifer L. Freeman</w:t>
            </w:r>
          </w:p>
        </w:tc>
      </w:tr>
    </w:tbl>
    <w:p>
      <w:pPr>
        <w:ind w:left="6380"/>
        <w:spacing w:after="0" w:line="220" w:lineRule="auto"/>
        <w:rPr>
          <w:sz w:val="20"/>
          <w:szCs w:val="20"/>
          <w:color w:val="auto"/>
        </w:rPr>
      </w:pPr>
      <w:r>
        <w:rPr>
          <w:rFonts w:ascii="Arial" w:cs="Arial" w:eastAsia="Arial" w:hAnsi="Arial"/>
          <w:sz w:val="18"/>
          <w:szCs w:val="18"/>
          <w:color w:val="auto"/>
        </w:rPr>
        <w:t>Chief Financial Officer (Principal Financial Officer and Duly</w:t>
      </w:r>
    </w:p>
    <w:p>
      <w:pPr>
        <w:ind w:left="638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Daniel H Walker, certify that:</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DANIEL H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14605</wp:posOffset>
            </wp:positionV>
            <wp:extent cx="2691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16" w:lineRule="exact"/>
        <w:rPr>
          <w:sz w:val="20"/>
          <w:szCs w:val="20"/>
          <w:color w:val="auto"/>
        </w:rPr>
      </w:pPr>
    </w:p>
    <w:p>
      <w:pPr>
        <w:ind w:left="5700"/>
        <w:spacing w:after="0"/>
        <w:tabs>
          <w:tab w:leader="none" w:pos="6360" w:val="left"/>
        </w:tabs>
        <w:rPr>
          <w:sz w:val="20"/>
          <w:szCs w:val="20"/>
          <w:color w:val="auto"/>
        </w:rPr>
      </w:pPr>
      <w:r>
        <w:rPr>
          <w:rFonts w:ascii="Arial" w:cs="Arial" w:eastAsia="Arial" w:hAnsi="Arial"/>
          <w:sz w:val="18"/>
          <w:szCs w:val="18"/>
          <w:color w:val="auto"/>
        </w:rPr>
        <w:t>Name:</w:t>
        <w:tab/>
        <w:t>Daniel H Walker</w:t>
      </w:r>
    </w:p>
    <w:tbl>
      <w:tblPr>
        <w:tblLayout w:type="fixed"/>
        <w:tblInd w:w="5580" w:type="dxa"/>
        <w:tblCellMar>
          <w:top w:w="0" w:type="dxa"/>
          <w:left w:w="0" w:type="dxa"/>
          <w:bottom w:w="0" w:type="dxa"/>
          <w:right w:w="0" w:type="dxa"/>
        </w:tblCellMar>
      </w:tblPr>
      <w:tr>
        <w:trPr>
          <w:trHeight w:val="199"/>
        </w:trPr>
        <w:tc>
          <w:tcPr>
            <w:tcW w:w="6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980" w:type="dxa"/>
            <w:vAlign w:val="bottom"/>
          </w:tcPr>
          <w:p>
            <w:pPr>
              <w:ind w:left="200"/>
              <w:spacing w:after="0" w:line="199" w:lineRule="exact"/>
              <w:rPr>
                <w:sz w:val="20"/>
                <w:szCs w:val="20"/>
                <w:color w:val="auto"/>
              </w:rPr>
            </w:pPr>
            <w:r>
              <w:rPr>
                <w:rFonts w:ascii="Arial" w:cs="Arial" w:eastAsia="Arial" w:hAnsi="Arial"/>
                <w:sz w:val="18"/>
                <w:szCs w:val="18"/>
                <w:color w:val="auto"/>
                <w:w w:val="91"/>
              </w:rPr>
              <w:t>Chairman and Chief Executive Officer</w:t>
            </w:r>
          </w:p>
        </w:tc>
        <w:tc>
          <w:tcPr>
            <w:tcW w:w="0" w:type="dxa"/>
            <w:vAlign w:val="bottom"/>
          </w:tcPr>
          <w:p>
            <w:pPr>
              <w:spacing w:after="0"/>
              <w:rPr>
                <w:sz w:val="1"/>
                <w:szCs w:val="1"/>
                <w:color w:val="auto"/>
              </w:rPr>
            </w:pPr>
          </w:p>
        </w:tc>
      </w:tr>
      <w:tr>
        <w:trPr>
          <w:trHeight w:val="135"/>
        </w:trPr>
        <w:tc>
          <w:tcPr>
            <w:tcW w:w="600" w:type="dxa"/>
            <w:vAlign w:val="bottom"/>
            <w:vMerge w:val="continue"/>
          </w:tcPr>
          <w:p>
            <w:pPr>
              <w:spacing w:after="0"/>
              <w:rPr>
                <w:sz w:val="11"/>
                <w:szCs w:val="11"/>
                <w:color w:val="auto"/>
              </w:rPr>
            </w:pPr>
          </w:p>
        </w:tc>
        <w:tc>
          <w:tcPr>
            <w:tcW w:w="2980" w:type="dxa"/>
            <w:vAlign w:val="bottom"/>
            <w:vMerge w:val="restart"/>
          </w:tcPr>
          <w:p>
            <w:pPr>
              <w:ind w:left="2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Jennifer L. Freeman, certify that:</w:t>
      </w:r>
    </w:p>
    <w:p>
      <w:pPr>
        <w:spacing w:after="0" w:line="40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674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 (Principal Financial</w:t>
      </w:r>
    </w:p>
    <w:p>
      <w:pPr>
        <w:ind w:left="5660"/>
        <w:spacing w:after="0" w:line="203" w:lineRule="auto"/>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440"/>
        <w:spacing w:after="0"/>
        <w:rPr>
          <w:sz w:val="20"/>
          <w:szCs w:val="20"/>
          <w:color w:val="auto"/>
        </w:rPr>
      </w:pPr>
      <w:r>
        <w:rPr>
          <w:rFonts w:ascii="Arial" w:cs="Arial" w:eastAsia="Arial" w:hAnsi="Arial"/>
          <w:sz w:val="18"/>
          <w:szCs w:val="18"/>
          <w:i w:val="1"/>
          <w:iCs w:val="1"/>
          <w:color w:val="auto"/>
        </w:rPr>
        <w:t>Authorized Officer)</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Quarterly Report of The Pennant Group, Inc. (the Company) on Form 10-Q for the period ended June 30, 2021, as filed with the Securities and Exchange Commission on the date hereof (the Report), I, Daniel H Walker, Chief Executive Officer of the Company, certify, pursuant to 18 U.S.C. § 1350, as adopted pursuant to Section 906 of the Sarbanes-Oxley Act of 2002, that to my knowledge:</w:t>
      </w:r>
    </w:p>
    <w:p>
      <w:pPr>
        <w:spacing w:after="0" w:line="2" w:lineRule="exact"/>
        <w:rPr>
          <w:sz w:val="20"/>
          <w:szCs w:val="20"/>
          <w:color w:val="auto"/>
        </w:rPr>
      </w:pPr>
    </w:p>
    <w:p>
      <w:pPr>
        <w:ind w:left="700" w:hanging="350"/>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sz w:val="20"/>
          <w:szCs w:val="20"/>
          <w:color w:val="auto"/>
        </w:rPr>
      </w:pPr>
    </w:p>
    <w:p>
      <w:pPr>
        <w:ind w:left="700" w:hanging="350"/>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H WALKER</w:t>
      </w:r>
    </w:p>
    <w:p>
      <w:pPr>
        <w:spacing w:after="0" w:line="23" w:lineRule="exact"/>
        <w:rPr>
          <w:sz w:val="20"/>
          <w:szCs w:val="20"/>
          <w:color w:val="auto"/>
        </w:rPr>
      </w:pPr>
    </w:p>
    <w:tbl>
      <w:tblPr>
        <w:tblLayout w:type="fixed"/>
        <w:tblInd w:w="5400" w:type="dxa"/>
        <w:tblCellMar>
          <w:top w:w="0" w:type="dxa"/>
          <w:left w:w="0" w:type="dxa"/>
          <w:bottom w:w="0" w:type="dxa"/>
          <w:right w:w="0" w:type="dxa"/>
        </w:tblCellMar>
      </w:tblPr>
      <w:tr>
        <w:trPr>
          <w:trHeight w:val="222"/>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7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Daniel H Walker</w:t>
            </w:r>
          </w:p>
        </w:tc>
        <w:tc>
          <w:tcPr>
            <w:tcW w:w="0" w:type="dxa"/>
            <w:vAlign w:val="bottom"/>
          </w:tcPr>
          <w:p>
            <w:pPr>
              <w:spacing w:after="0"/>
              <w:rPr>
                <w:sz w:val="1"/>
                <w:szCs w:val="1"/>
                <w:color w:val="auto"/>
              </w:rPr>
            </w:pPr>
          </w:p>
        </w:tc>
      </w:tr>
      <w:tr>
        <w:trPr>
          <w:trHeight w:val="176"/>
        </w:trPr>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3700" w:type="dxa"/>
            <w:vAlign w:val="bottom"/>
          </w:tcPr>
          <w:p>
            <w:pPr>
              <w:ind w:left="160"/>
              <w:spacing w:after="0" w:line="176" w:lineRule="exact"/>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135"/>
        </w:trPr>
        <w:tc>
          <w:tcPr>
            <w:tcW w:w="680" w:type="dxa"/>
            <w:vAlign w:val="bottom"/>
            <w:vMerge w:val="continue"/>
          </w:tcPr>
          <w:p>
            <w:pPr>
              <w:spacing w:after="0"/>
              <w:rPr>
                <w:sz w:val="11"/>
                <w:szCs w:val="11"/>
                <w:color w:val="auto"/>
              </w:rPr>
            </w:pPr>
          </w:p>
        </w:tc>
        <w:tc>
          <w:tcPr>
            <w:tcW w:w="3700" w:type="dxa"/>
            <w:vAlign w:val="bottom"/>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August 9, 2021</w:t>
      </w:r>
    </w:p>
    <w:p>
      <w:pPr>
        <w:spacing w:after="0" w:line="3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connection with the Quarterly Report of The Pennant Group, Inc. (the Company) on Form 10-Q for the period ended June 30, 2021, as filed with the Securities and Exchange Commission on the date hereof (the Report), I, Jennifer L. Freeman, Chief Financial Officer of the Company, certify, pursuant to 18 U.S.C. § 1350, as adopted pursuant to Section 906 of the Sarbanes-Oxley Act of 2002, that to my knowledge:</w:t>
      </w:r>
    </w:p>
    <w:p>
      <w:pPr>
        <w:spacing w:after="0" w:line="2" w:lineRule="exact"/>
        <w:rPr>
          <w:sz w:val="20"/>
          <w:szCs w:val="20"/>
          <w:color w:val="auto"/>
        </w:rPr>
      </w:pPr>
    </w:p>
    <w:p>
      <w:pPr>
        <w:ind w:left="700" w:hanging="350"/>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sz w:val="20"/>
          <w:szCs w:val="20"/>
          <w:color w:val="auto"/>
        </w:rPr>
      </w:pPr>
    </w:p>
    <w:p>
      <w:pPr>
        <w:ind w:left="700" w:hanging="350"/>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14605</wp:posOffset>
            </wp:positionV>
            <wp:extent cx="27686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5440"/>
        <w:spacing w:after="0"/>
        <w:tabs>
          <w:tab w:leader="none" w:pos="6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Chief Financial Officer (Principal Financial</w:t>
      </w:r>
    </w:p>
    <w:p>
      <w:pPr>
        <w:ind w:left="5440"/>
        <w:spacing w:after="0" w:line="203" w:lineRule="auto"/>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240"/>
        <w:spacing w:after="0"/>
        <w:rPr>
          <w:sz w:val="20"/>
          <w:szCs w:val="20"/>
          <w:color w:val="auto"/>
        </w:rPr>
      </w:pPr>
      <w:r>
        <w:rPr>
          <w:rFonts w:ascii="Arial" w:cs="Arial" w:eastAsia="Arial" w:hAnsi="Arial"/>
          <w:sz w:val="18"/>
          <w:szCs w:val="18"/>
          <w:i w:val="1"/>
          <w:iCs w:val="1"/>
          <w:color w:val="auto"/>
        </w:rPr>
        <w:t>Authorized Officer)</w:t>
      </w:r>
    </w:p>
    <w:p>
      <w:pPr>
        <w:spacing w:after="0" w:line="2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August 9, 2021</w:t>
      </w:r>
    </w:p>
    <w:p>
      <w:pPr>
        <w:spacing w:after="0" w:line="3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lvl w:ilvl="1">
      <w:lvlJc w:val="left"/>
      <w:lvlText w:val="(%2)"/>
      <w:numFmt w:val="lowerLetter"/>
      <w:start w:val="1"/>
    </w:lvl>
  </w:abstractNum>
  <w:abstractNum w:abstractNumId="4">
    <w:nsid w:val="2443A858"/>
    <w:multiLevelType w:val="hybridMultilevel"/>
    <w:lvl w:ilvl="0">
      <w:lvlJc w:val="left"/>
      <w:lvlText w:val="%1."/>
      <w:numFmt w:val="decimal"/>
      <w:start w:val="5"/>
    </w:lvl>
    <w:lvl w:ilvl="1">
      <w:lvlJc w:val="left"/>
      <w:lvlText w:val="%2"/>
      <w:numFmt w:val="lowerLetter"/>
      <w:start w:val="1"/>
    </w:lvl>
  </w:abstractNum>
  <w:abstractNum w:abstractNumId="5">
    <w:nsid w:val="2D1D5AE9"/>
    <w:multiLevelType w:val="hybridMultilevel"/>
    <w:lvl w:ilvl="0">
      <w:lvlJc w:val="left"/>
      <w:lvlText w:val="(%1)"/>
      <w:numFmt w:val="lowerLetter"/>
      <w:start w:val="5"/>
    </w:lvl>
  </w:abstractNum>
  <w:abstractNum w:abstractNumId="6">
    <w:nsid w:val="6763845E"/>
    <w:multiLevelType w:val="hybridMultilevel"/>
    <w:lvl w:ilvl="0">
      <w:lvlJc w:val="left"/>
      <w:lvlText w:val="(%1)"/>
      <w:numFmt w:val="lowerLetter"/>
      <w:start w:val="7"/>
    </w:lvl>
  </w:abstractNum>
  <w:abstractNum w:abstractNumId="7">
    <w:nsid w:val="75A2A8D4"/>
    <w:multiLevelType w:val="hybridMultilevel"/>
    <w:lvl w:ilvl="0">
      <w:lvlJc w:val="left"/>
      <w:lvlText w:val="(%1)"/>
      <w:numFmt w:val="lowerLetter"/>
      <w:start w:val="6"/>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Roman"/>
      <w:start w:val="2"/>
    </w:lvl>
  </w:abstractNum>
  <w:abstractNum w:abstractNumId="14">
    <w:nsid w:val="71F32454"/>
    <w:multiLevelType w:val="hybridMultilevel"/>
    <w:lvl w:ilvl="0">
      <w:lvlJc w:val="left"/>
      <w:lvlText w:val="(%1)"/>
      <w:numFmt w:val="lowerRoman"/>
      <w:start w:val="4"/>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2"/>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lvl w:ilvl="1">
      <w:lvlJc w:val="left"/>
      <w:lvlText w:val="(%2)"/>
      <w:numFmt w:val="lowerLetter"/>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bullet"/>
      <w:start w:val="1"/>
    </w:lvl>
  </w:abstractNum>
  <w:abstractNum w:abstractNumId="37">
    <w:nsid w:val="5E884ADC"/>
    <w:multiLevelType w:val="hybridMultilevel"/>
    <w:lvl w:ilvl="0">
      <w:lvlJc w:val="left"/>
      <w:lvlText w:val="2"/>
      <w:numFmt w:val="bullet"/>
      <w:start w:val="1"/>
    </w:lvl>
  </w:abstractNum>
  <w:abstractNum w:abstractNumId="38">
    <w:nsid w:val="51EAD36B"/>
    <w:multiLevelType w:val="hybridMultilevel"/>
    <w:lvl w:ilvl="0">
      <w:lvlJc w:val="left"/>
      <w:lvlText w:val="1"/>
      <w:numFmt w:val="bullet"/>
      <w:start w:val="1"/>
    </w:lvl>
  </w:abstractNum>
  <w:abstractNum w:abstractNumId="39">
    <w:nsid w:val="2D51779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59" Type="http://schemas.openxmlformats.org/officeDocument/2006/relationships/hyperlink" Target="https://www.sec.gov/Archives/edgar/data/1766400/000119312519235824/d693607dex31.htm" TargetMode="External"/><Relationship Id="rId60" Type="http://schemas.openxmlformats.org/officeDocument/2006/relationships/hyperlink" Target="https://www.sec.gov/Archives/edgar/data/1766400/000119312519235824/d693607dex32.htm" TargetMode="External"/><Relationship Id="rId61" Type="http://schemas.openxmlformats.org/officeDocument/2006/relationships/hyperlink" Target="https://www.sec.gov/Archives/edgar/data/1766400/000176640021000081/pennantservicedcplando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2021-08-09T16:41:03Z</dcterms:created>
  <dcterms:modified xsi:type="dcterms:W3CDTF">2021-08-09T16:41:03Z</dcterms:modified>
</cp:coreProperties>
</file>