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6"/>
        </w:rPr>
      </w:pPr>
      <w:r>
        <w:rPr>
          <w:rFonts w:ascii="Times New Roman;sans-serif" w:hAnsi="Times New Roman;sans-serif"/>
          <w:b/>
          <w:color w:val="000000"/>
          <w:sz w:val="26"/>
        </w:rPr>
        <w:t>UNITED STATES</w:t>
      </w:r>
    </w:p>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tbl>
      <w:tblPr>
        <w:tblW w:w="9807" w:type="dxa"/>
        <w:jc w:val="center"/>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September 30, 2023. </w:t>
      </w:r>
    </w:p>
    <w:tbl>
      <w:tblPr>
        <w:tblW w:w="9807" w:type="dxa"/>
        <w:jc w:val="center"/>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120" w:after="283"/>
        <w:jc w:val="left"/>
        <w:rPr/>
      </w:pPr>
      <w:r>
        <w:rPr>
          <w:color w:val="000000"/>
        </w:rPr>
        <w:t>    </w:t>
      </w:r>
      <w:r>
        <w:rPr>
          <w:rFonts w:ascii="Times New Roman;sans-serif" w:hAnsi="Times New Roman;sans-serif"/>
          <w:b/>
          <w:color w:val="000000"/>
          <w:sz w:val="18"/>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8"/>
        </w:rPr>
        <w:t xml:space="preserve">to </w:t>
      </w:r>
      <w:r>
        <w:rPr>
          <w:color w:val="000000"/>
          <w:u w:val="single"/>
        </w:rPr>
        <w:t>                    </w:t>
      </w:r>
      <w:r>
        <w:rPr>
          <w:rFonts w:ascii="Times New Roman;sans-serif" w:hAnsi="Times New Roman;sans-serif"/>
          <w:b/>
          <w:color w:val="000000"/>
          <w:sz w:val="18"/>
        </w:rPr>
        <w:t>.</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001-38900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p>
      <w:pPr>
        <w:pStyle w:val="TextBody"/>
        <w:bidi w:val="0"/>
        <w:spacing w:lineRule="auto" w:line="288" w:before="120" w:after="283"/>
        <w:jc w:val="center"/>
        <w:rPr>
          <w:rFonts w:ascii="Times New Roman;sans-serif" w:hAnsi="Times New Roman;sans-serif"/>
          <w:b/>
          <w:color w:val="000000"/>
          <w:sz w:val="44"/>
        </w:rPr>
      </w:pPr>
      <w:r>
        <w:rPr>
          <w:rFonts w:ascii="Times New Roman;sans-serif" w:hAnsi="Times New Roman;sans-serif"/>
          <w:b/>
          <w:color w:val="000000"/>
          <w:sz w:val="44"/>
        </w:rPr>
        <w:t>THE PENNANT GROUP,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3748" w:type="dxa"/>
        <w:jc w:val="center"/>
        <w:tblInd w:w="0" w:type="dxa"/>
        <w:tblLayout w:type="fixed"/>
        <w:tblCellMar>
          <w:top w:w="28" w:type="dxa"/>
          <w:left w:w="28" w:type="dxa"/>
          <w:bottom w:w="28" w:type="dxa"/>
          <w:right w:w="28" w:type="dxa"/>
        </w:tblCellMar>
      </w:tblPr>
      <w:tblGrid>
        <w:gridCol w:w="827"/>
        <w:gridCol w:w="730"/>
        <w:gridCol w:w="737"/>
        <w:gridCol w:w="425"/>
        <w:gridCol w:w="425"/>
        <w:gridCol w:w="604"/>
      </w:tblGrid>
      <w:tr>
        <w:trPr/>
        <w:tc>
          <w:tcPr>
            <w:tcW w:w="82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83-3349931</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1675 East Riverside Drive, Suite 150, Eagle, ID 83616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and Zip Code)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(208) 506-6100</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47"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None </w:t>
      </w:r>
    </w:p>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233" w:type="dxa"/>
        <w:jc w:val="center"/>
        <w:tblInd w:w="0" w:type="dxa"/>
        <w:tblLayout w:type="fixed"/>
        <w:tblCellMar>
          <w:top w:w="28" w:type="dxa"/>
          <w:left w:w="28" w:type="dxa"/>
          <w:bottom w:w="28" w:type="dxa"/>
          <w:right w:w="28" w:type="dxa"/>
        </w:tblCellMar>
      </w:tblPr>
      <w:tblGrid>
        <w:gridCol w:w="1155"/>
        <w:gridCol w:w="1017"/>
        <w:gridCol w:w="1023"/>
        <w:gridCol w:w="519"/>
        <w:gridCol w:w="519"/>
        <w:gridCol w:w="521"/>
        <w:gridCol w:w="1019"/>
        <w:gridCol w:w="1019"/>
        <w:gridCol w:w="1441"/>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$0.001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PNTG</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bidi w:val="0"/>
        <w:spacing w:lineRule="auto" w:line="288" w:before="0" w:after="0"/>
        <w:ind w:left="0" w:right="0" w:firstLine="495"/>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12(g) of the Act: None</w:t>
      </w:r>
    </w:p>
    <w:p>
      <w:pPr>
        <w:pStyle w:val="TextBody"/>
        <w:bidi w:val="0"/>
        <w:spacing w:before="0" w:after="0"/>
        <w:jc w:val="center"/>
        <w:rPr/>
      </w:pPr>
      <w:r>
        <w:rPr/>
      </w:r>
    </w:p>
    <w:p>
      <w:pPr>
        <w:pStyle w:val="TextBody"/>
        <w:bidi w:val="0"/>
        <w:spacing w:lineRule="auto" w:line="288" w:before="200" w:after="283"/>
        <w:ind w:left="0" w:right="0" w:firstLine="495"/>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ans-serif" w:hAnsi="Times New Roman;sans-serif"/>
          <w:b w:val="false"/>
          <w:color w:val="000000"/>
          <w:sz w:val="18"/>
        </w:rPr>
        <w:t xml:space="preserve">Yes </w:t>
      </w:r>
      <w:r>
        <w:rPr>
          <w:color w:val="000000"/>
        </w:rPr>
        <w:t xml:space="preserve">☐ </w:t>
      </w:r>
      <w:r>
        <w:rPr>
          <w:rFonts w:ascii="Times New Roman;sans-serif" w:hAnsi="Times New Roman;sans-serif"/>
          <w:b w:val="false"/>
          <w:color w:val="000000"/>
          <w:sz w:val="18"/>
        </w:rPr>
        <w:t>No</w:t>
      </w:r>
    </w:p>
    <w:p>
      <w:pPr>
        <w:pStyle w:val="TextBody"/>
        <w:bidi w:val="0"/>
        <w:spacing w:lineRule="auto" w:line="288" w:before="200" w:after="283"/>
        <w:ind w:left="0" w:right="0" w:firstLine="495"/>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ans-serif" w:hAnsi="Times New Roman;sans-serif"/>
          <w:b w:val="false"/>
          <w:color w:val="000000"/>
          <w:sz w:val="18"/>
        </w:rPr>
        <w:t xml:space="preserve">Yes </w:t>
      </w:r>
      <w:r>
        <w:rPr>
          <w:color w:val="000000"/>
        </w:rPr>
        <w:t xml:space="preserve">☐ </w:t>
      </w:r>
      <w:r>
        <w:rPr>
          <w:rFonts w:ascii="Times New Roman;sans-serif" w:hAnsi="Times New Roman;sans-serif"/>
          <w:b w:val="false"/>
          <w:color w:val="000000"/>
          <w:sz w:val="18"/>
        </w:rPr>
        <w:t>No</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0"/>
        <w:gridCol w:w="527"/>
        <w:gridCol w:w="529"/>
        <w:gridCol w:w="109"/>
        <w:gridCol w:w="109"/>
        <w:gridCol w:w="109"/>
        <w:gridCol w:w="417"/>
        <w:gridCol w:w="417"/>
        <w:gridCol w:w="419"/>
        <w:gridCol w:w="109"/>
        <w:gridCol w:w="109"/>
        <w:gridCol w:w="109"/>
        <w:gridCol w:w="522"/>
        <w:gridCol w:w="522"/>
        <w:gridCol w:w="524"/>
        <w:gridCol w:w="109"/>
        <w:gridCol w:w="109"/>
        <w:gridCol w:w="109"/>
        <w:gridCol w:w="669"/>
        <w:gridCol w:w="669"/>
        <w:gridCol w:w="672"/>
        <w:gridCol w:w="109"/>
        <w:gridCol w:w="109"/>
        <w:gridCol w:w="109"/>
        <w:gridCol w:w="675"/>
        <w:gridCol w:w="675"/>
        <w:gridCol w:w="678"/>
        <w:gridCol w:w="109"/>
        <w:gridCol w:w="109"/>
        <w:gridCol w:w="164"/>
      </w:tblGrid>
      <w:tr>
        <w:trPr/>
        <w:tc>
          <w:tcPr>
            <w:tcW w:w="60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18"/>
        </w:rPr>
        <w:t xml:space="preserve">Indicate by a check mark whether the registrant is a shell company (as defined in Rule 12b-2 of the Exchange Act). </w:t>
      </w:r>
      <w:r>
        <w:rPr>
          <w:color w:val="000000"/>
        </w:rPr>
        <w:t xml:space="preserve">☐ </w:t>
      </w:r>
      <w:r>
        <w:rPr>
          <w:rFonts w:ascii="Times New Roman;sans-serif" w:hAnsi="Times New Roman;sans-serif"/>
          <w:b w:val="false"/>
          <w:color w:val="000000"/>
          <w:sz w:val="18"/>
        </w:rPr>
        <w:t xml:space="preserve">Yes </w:t>
      </w:r>
      <w:r>
        <w:rPr>
          <w:color w:val="000000"/>
        </w:rPr>
        <w:t xml:space="preserve">☒ </w:t>
      </w:r>
      <w:r>
        <w:rPr>
          <w:rFonts w:ascii="Times New Roman;sans-serif" w:hAnsi="Times New Roman;sans-serif"/>
          <w:b w:val="false"/>
          <w:color w:val="000000"/>
          <w:sz w:val="18"/>
        </w:rPr>
        <w:t>No</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 of November 6, 2023, 29,926,501 shares of the registrant’s common stock were outstanding.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THE PENNANT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THREE AND NINE MONTHS ENDED SEPTEMBER 30, 2023 </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73"/>
        <w:gridCol w:w="240"/>
        <w:gridCol w:w="241"/>
        <w:gridCol w:w="109"/>
        <w:gridCol w:w="3002"/>
        <w:gridCol w:w="2980"/>
        <w:gridCol w:w="2985"/>
        <w:gridCol w:w="109"/>
        <w:gridCol w:w="109"/>
        <w:gridCol w:w="157"/>
      </w:tblGrid>
      <w:tr>
        <w:trPr/>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2" w:type="dxa"/>
            <w:tcBorders/>
            <w:vAlign w:val="center"/>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c>
          <w:tcPr>
            <w:tcW w:w="2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8fcfe9607044afbc2eaef328908ae4_10">
              <w:r>
                <w:rPr>
                  <w:rStyle w:val="InternetLink"/>
                  <w:rFonts w:ascii="Times New Roman;sans-serif" w:hAnsi="Times New Roman;sans-serif"/>
                  <w:b/>
                  <w:color w:val="0000FF"/>
                  <w:sz w:val="20"/>
                  <w:u w:val="single"/>
                </w:rPr>
                <w:t>Part I. Financial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8fcfe9607044afbc2eaef328908ae4_13">
              <w:r>
                <w:rPr>
                  <w:rStyle w:val="InternetLink"/>
                  <w:rFonts w:ascii="Times New Roman;sans-serif" w:hAnsi="Times New Roman;sans-serif"/>
                  <w:b w:val="false"/>
                  <w:color w:val="0000FF"/>
                  <w:sz w:val="20"/>
                  <w:u w:val="single"/>
                </w:rPr>
                <w:t>Item 1.</w:t>
              </w:r>
            </w:hyperlink>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8fcfe9607044afbc2eaef328908ae4_13">
              <w:r>
                <w:rPr>
                  <w:rStyle w:val="InternetLink"/>
                  <w:rFonts w:ascii="Times New Roman;sans-serif" w:hAnsi="Times New Roman;sans-serif"/>
                  <w:b w:val="false"/>
                  <w:color w:val="0000FF"/>
                  <w:sz w:val="20"/>
                  <w:u w:val="single"/>
                </w:rPr>
                <w:t>Financial Statements (unaudited)</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8fcfe9607044afbc2eaef328908ae4_16">
              <w:r>
                <w:rPr>
                  <w:rStyle w:val="InternetLink"/>
                  <w:rFonts w:ascii="Times New Roman;sans-serif" w:hAnsi="Times New Roman;sans-serif"/>
                  <w:b w:val="false"/>
                  <w:color w:val="0000FF"/>
                  <w:sz w:val="20"/>
                  <w:u w:val="single"/>
                </w:rPr>
                <w:t>Condensed Consolidated Balance Sheets as of September 30, 2023 and December 31, 2022</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8fcfe9607044afbc2eaef328908ae4_16">
              <w:r>
                <w:rPr>
                  <w:rStyle w:val="InternetLink"/>
                  <w:rFonts w:ascii="Times New Roman;sans-serif" w:hAnsi="Times New Roman;sans-serif"/>
                  <w:b w:val="false"/>
                  <w:color w:val="0000FF"/>
                  <w:sz w:val="20"/>
                  <w:u w:val="single"/>
                </w:rPr>
                <w:t>1</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8fcfe9607044afbc2eaef328908ae4_19">
              <w:r>
                <w:rPr>
                  <w:rStyle w:val="InternetLink"/>
                  <w:rFonts w:ascii="Times New Roman;sans-serif" w:hAnsi="Times New Roman;sans-serif"/>
                  <w:b w:val="false"/>
                  <w:color w:val="0000FF"/>
                  <w:sz w:val="20"/>
                  <w:u w:val="single"/>
                </w:rPr>
                <w:t>Condensed Consolidated Statements of Income for the three and nine months ended September 30, 2023 and 2022</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8fcfe9607044afbc2eaef328908ae4_19">
              <w:r>
                <w:rPr>
                  <w:rStyle w:val="InternetLink"/>
                  <w:rFonts w:ascii="Times New Roman;sans-serif" w:hAnsi="Times New Roman;sans-serif"/>
                  <w:b w:val="false"/>
                  <w:color w:val="0000FF"/>
                  <w:sz w:val="20"/>
                  <w:u w:val="single"/>
                </w:rPr>
                <w:t>2</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8fcfe9607044afbc2eaef328908ae4_22">
              <w:r>
                <w:rPr>
                  <w:rStyle w:val="InternetLink"/>
                  <w:rFonts w:ascii="Times New Roman;sans-serif" w:hAnsi="Times New Roman;sans-serif"/>
                  <w:b w:val="false"/>
                  <w:color w:val="0000FF"/>
                  <w:sz w:val="20"/>
                  <w:u w:val="single"/>
                </w:rPr>
                <w:t>Condensed Consolidated Statements of Stockholders’ Equity for the three and nine months ended September 30, 2023 and 2022</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8fcfe9607044afbc2eaef328908ae4_22">
              <w:r>
                <w:rPr>
                  <w:rStyle w:val="InternetLink"/>
                  <w:rFonts w:ascii="Times New Roman;sans-serif" w:hAnsi="Times New Roman;sans-serif"/>
                  <w:b w:val="false"/>
                  <w:color w:val="0000FF"/>
                  <w:sz w:val="20"/>
                  <w:u w:val="single"/>
                </w:rPr>
                <w:t>3</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8fcfe9607044afbc2eaef328908ae4_25">
              <w:r>
                <w:rPr>
                  <w:rStyle w:val="InternetLink"/>
                  <w:rFonts w:ascii="Times New Roman;sans-serif" w:hAnsi="Times New Roman;sans-serif"/>
                  <w:b w:val="false"/>
                  <w:color w:val="0000FF"/>
                  <w:sz w:val="20"/>
                  <w:u w:val="single"/>
                </w:rPr>
                <w:t>Condensed Consolidated Statements of Cash Flows for the nine months ended September 30, 2023 and 2022</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8fcfe9607044afbc2eaef328908ae4_25">
              <w:r>
                <w:rPr>
                  <w:rStyle w:val="InternetLink"/>
                  <w:rFonts w:ascii="Times New Roman;sans-serif" w:hAnsi="Times New Roman;sans-serif"/>
                  <w:b w:val="false"/>
                  <w:color w:val="0000FF"/>
                  <w:sz w:val="20"/>
                  <w:u w:val="single"/>
                </w:rPr>
                <w:t>5</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8fcfe9607044afbc2eaef328908ae4_28">
              <w:r>
                <w:rPr>
                  <w:rStyle w:val="InternetLink"/>
                  <w:rFonts w:ascii="Times New Roman;sans-serif" w:hAnsi="Times New Roman;sans-serif"/>
                  <w:b w:val="false"/>
                  <w:color w:val="0000FF"/>
                  <w:sz w:val="20"/>
                  <w:u w:val="single"/>
                </w:rPr>
                <w:t>Notes to the Condensed Consolidated 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8fcfe9607044afbc2eaef328908ae4_28">
              <w:r>
                <w:rPr>
                  <w:rStyle w:val="InternetLink"/>
                  <w:rFonts w:ascii="Times New Roman;sans-serif" w:hAnsi="Times New Roman;sans-serif"/>
                  <w:b w:val="false"/>
                  <w:color w:val="0000FF"/>
                  <w:sz w:val="20"/>
                  <w:u w:val="single"/>
                </w:rPr>
                <w:t>7</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8fcfe9607044afbc2eaef328908ae4_112">
              <w:r>
                <w:rPr>
                  <w:rStyle w:val="InternetLink"/>
                  <w:rFonts w:ascii="Times New Roman;sans-serif" w:hAnsi="Times New Roman;sans-serif"/>
                  <w:b w:val="false"/>
                  <w:color w:val="0000FF"/>
                  <w:sz w:val="20"/>
                  <w:u w:val="single"/>
                </w:rPr>
                <w:t>Item 2.</w:t>
              </w:r>
            </w:hyperlink>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8fcfe9607044afbc2eaef328908ae4_11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8fcfe9607044afbc2eaef328908ae4_112">
              <w:r>
                <w:rPr>
                  <w:rStyle w:val="InternetLink"/>
                  <w:rFonts w:ascii="Times New Roman;sans-serif" w:hAnsi="Times New Roman;sans-serif"/>
                  <w:b w:val="false"/>
                  <w:color w:val="0000FF"/>
                  <w:sz w:val="20"/>
                  <w:u w:val="single"/>
                </w:rPr>
                <w:t>25</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8fcfe9607044afbc2eaef328908ae4_181">
              <w:r>
                <w:rPr>
                  <w:rStyle w:val="InternetLink"/>
                  <w:rFonts w:ascii="Times New Roman;sans-serif" w:hAnsi="Times New Roman;sans-serif"/>
                  <w:b w:val="false"/>
                  <w:color w:val="0000FF"/>
                  <w:sz w:val="20"/>
                  <w:u w:val="single"/>
                </w:rPr>
                <w:t>Item 3.</w:t>
              </w:r>
            </w:hyperlink>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8fcfe9607044afbc2eaef328908ae4_181">
              <w:r>
                <w:rPr>
                  <w:rStyle w:val="InternetLink"/>
                  <w:rFonts w:ascii="Times New Roman;sans-serif" w:hAnsi="Times New Roman;sans-serif"/>
                  <w:b w:val="false"/>
                  <w:color w:val="0000FF"/>
                  <w:sz w:val="20"/>
                  <w:u w:val="singl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8fcfe9607044afbc2eaef328908ae4_181">
              <w:r>
                <w:rPr>
                  <w:rStyle w:val="InternetLink"/>
                  <w:rFonts w:ascii="Times New Roman;sans-serif" w:hAnsi="Times New Roman;sans-serif"/>
                  <w:b w:val="false"/>
                  <w:color w:val="0000FF"/>
                  <w:sz w:val="20"/>
                  <w:u w:val="single"/>
                </w:rPr>
                <w:t>45</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8fcfe9607044afbc2eaef328908ae4_184">
              <w:r>
                <w:rPr>
                  <w:rStyle w:val="InternetLink"/>
                  <w:rFonts w:ascii="Times New Roman;sans-serif" w:hAnsi="Times New Roman;sans-serif"/>
                  <w:b w:val="false"/>
                  <w:color w:val="0000FF"/>
                  <w:sz w:val="20"/>
                  <w:u w:val="single"/>
                </w:rPr>
                <w:t>Item 4.</w:t>
              </w:r>
            </w:hyperlink>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8fcfe9607044afbc2eaef328908ae4_184">
              <w:r>
                <w:rPr>
                  <w:rStyle w:val="InternetLink"/>
                  <w:rFonts w:ascii="Times New Roman;sans-serif" w:hAnsi="Times New Roman;sans-serif"/>
                  <w:b w:val="false"/>
                  <w:color w:val="0000FF"/>
                  <w:sz w:val="20"/>
                  <w:u w:val="singl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8fcfe9607044afbc2eaef328908ae4_184">
              <w:r>
                <w:rPr>
                  <w:rStyle w:val="InternetLink"/>
                  <w:rFonts w:ascii="Times New Roman;sans-serif" w:hAnsi="Times New Roman;sans-serif"/>
                  <w:b w:val="false"/>
                  <w:color w:val="0000FF"/>
                  <w:sz w:val="20"/>
                  <w:u w:val="single"/>
                </w:rPr>
                <w:t>45</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28fcfe9607044afbc2eaef328908ae4_187">
              <w:r>
                <w:rPr>
                  <w:rStyle w:val="InternetLink"/>
                  <w:rFonts w:ascii="Times New Roman;sans-serif" w:hAnsi="Times New Roman;sans-serif"/>
                  <w:b/>
                  <w:color w:val="0000FF"/>
                  <w:sz w:val="20"/>
                  <w:u w:val="single"/>
                </w:rPr>
                <w:t>Part II. Other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8fcfe9607044afbc2eaef328908ae4_190">
              <w:r>
                <w:rPr>
                  <w:rStyle w:val="InternetLink"/>
                  <w:rFonts w:ascii="Times New Roman;sans-serif" w:hAnsi="Times New Roman;sans-serif"/>
                  <w:b w:val="false"/>
                  <w:color w:val="0000FF"/>
                  <w:sz w:val="20"/>
                  <w:u w:val="single"/>
                </w:rPr>
                <w:t>Item 1.</w:t>
              </w:r>
            </w:hyperlink>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8fcfe9607044afbc2eaef328908ae4_190">
              <w:r>
                <w:rPr>
                  <w:rStyle w:val="InternetLink"/>
                  <w:rFonts w:ascii="Times New Roman;sans-serif" w:hAnsi="Times New Roman;sans-serif"/>
                  <w:b w:val="false"/>
                  <w:color w:val="0000FF"/>
                  <w:sz w:val="20"/>
                  <w:u w:val="singl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8fcfe9607044afbc2eaef328908ae4_190">
              <w:r>
                <w:rPr>
                  <w:rStyle w:val="InternetLink"/>
                  <w:rFonts w:ascii="Times New Roman;sans-serif" w:hAnsi="Times New Roman;sans-serif"/>
                  <w:b w:val="false"/>
                  <w:color w:val="0000FF"/>
                  <w:sz w:val="20"/>
                  <w:u w:val="single"/>
                </w:rPr>
                <w:t>46</w:t>
              </w:r>
            </w:hyperlink>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8fcfe9607044afbc2eaef328908ae4_193">
              <w:r>
                <w:rPr>
                  <w:rStyle w:val="InternetLink"/>
                  <w:rFonts w:ascii="Times New Roman;sans-serif" w:hAnsi="Times New Roman;sans-serif"/>
                  <w:b w:val="false"/>
                  <w:color w:val="0000FF"/>
                  <w:sz w:val="20"/>
                  <w:u w:val="single"/>
                </w:rPr>
                <w:t>Item 1A.</w:t>
              </w:r>
            </w:hyperlink>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8fcfe9607044afbc2eaef328908ae4_193">
              <w:r>
                <w:rPr>
                  <w:rStyle w:val="InternetLink"/>
                  <w:rFonts w:ascii="Times New Roman;sans-serif" w:hAnsi="Times New Roman;sans-serif"/>
                  <w:b w:val="false"/>
                  <w:color w:val="0000FF"/>
                  <w:sz w:val="20"/>
                  <w:u w:val="singl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8fcfe9607044afbc2eaef328908ae4_193">
              <w:r>
                <w:rPr>
                  <w:rStyle w:val="InternetLink"/>
                  <w:rFonts w:ascii="Times New Roman;sans-serif" w:hAnsi="Times New Roman;sans-serif"/>
                  <w:b w:val="false"/>
                  <w:color w:val="0000FF"/>
                  <w:sz w:val="20"/>
                  <w:u w:val="single"/>
                </w:rPr>
                <w:t>46</w:t>
              </w:r>
            </w:hyperlink>
          </w:p>
        </w:tc>
      </w:tr>
      <w:tr>
        <w:trP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8fcfe9607044afbc2eaef328908ae4_196">
              <w:r>
                <w:rPr>
                  <w:rStyle w:val="InternetLink"/>
                  <w:rFonts w:ascii="Times New Roman;sans-serif" w:hAnsi="Times New Roman;sans-serif"/>
                  <w:b w:val="false"/>
                  <w:color w:val="0000FF"/>
                  <w:sz w:val="20"/>
                  <w:u w:val="single"/>
                </w:rPr>
                <w:t>Item 6.</w:t>
              </w:r>
            </w:hyperlink>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8fcfe9607044afbc2eaef328908ae4_196">
              <w:r>
                <w:rPr>
                  <w:rStyle w:val="InternetLink"/>
                  <w:rFonts w:ascii="Times New Roman;sans-serif" w:hAnsi="Times New Roman;sans-serif"/>
                  <w:b w:val="false"/>
                  <w:color w:val="0000FF"/>
                  <w:sz w:val="20"/>
                  <w:u w:val="single"/>
                </w:rPr>
                <w:t>Exhibits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8fcfe9607044afbc2eaef328908ae4_196">
              <w:r>
                <w:rPr>
                  <w:rStyle w:val="InternetLink"/>
                  <w:rFonts w:ascii="Times New Roman;sans-serif" w:hAnsi="Times New Roman;sans-serif"/>
                  <w:b w:val="false"/>
                  <w:color w:val="0000FF"/>
                  <w:sz w:val="20"/>
                  <w:u w:val="single"/>
                </w:rPr>
                <w:t>47</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8fcfe9607044afbc2eaef328908ae4_199">
              <w:r>
                <w:rPr>
                  <w:rStyle w:val="InternetLink"/>
                  <w:rFonts w:ascii="Times New Roman;sans-serif" w:hAnsi="Times New Roman;sans-serif"/>
                  <w:b w:val="false"/>
                  <w:color w:val="0000FF"/>
                  <w:sz w:val="20"/>
                  <w:u w:val="single"/>
                </w:rPr>
                <w:t>Signatures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8fcfe9607044afbc2eaef328908ae4_199">
              <w:r>
                <w:rPr>
                  <w:rStyle w:val="InternetLink"/>
                  <w:rFonts w:ascii="Times New Roman;sans-serif" w:hAnsi="Times New Roman;sans-serif"/>
                  <w:b w:val="false"/>
                  <w:color w:val="0000FF"/>
                  <w:sz w:val="20"/>
                  <w:u w:val="single"/>
                </w:rPr>
                <w:t>48</w:t>
              </w:r>
            </w:hyperlink>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I. </w:t>
      </w:r>
      <w:r>
        <w:rPr>
          <w:rFonts w:ascii="Times New Roman;sans-serif" w:hAnsi="Times New Roman;sans-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par value)</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20"/>
        <w:gridCol w:w="2256"/>
        <w:gridCol w:w="2182"/>
        <w:gridCol w:w="247"/>
        <w:gridCol w:w="968"/>
        <w:gridCol w:w="127"/>
        <w:gridCol w:w="109"/>
        <w:gridCol w:w="109"/>
        <w:gridCol w:w="109"/>
        <w:gridCol w:w="243"/>
        <w:gridCol w:w="953"/>
        <w:gridCol w:w="182"/>
      </w:tblGrid>
      <w:tr>
        <w:trPr/>
        <w:tc>
          <w:tcPr>
            <w:tcW w:w="2720"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receivable—less allowance for doubtful accounts of $931 and $592, respectively</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72,196 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73,822 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262,987 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260,868 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and other assets</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79,497 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indefinite-lived intangibles</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520,315 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512,119 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wages and related liabilities</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liabilities—current</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68,760 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70,247 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liabilities—less current portion</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247,042 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62,892 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380,796 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386,462 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$0.001 par value; 100,000 shares authorized; 30,266 and 29,919 shares issued and outstanding, respectively, at September 30, 2023; and 30,149 and 29,692 shares issued and outstanding, respectively, at December 31, 2022 </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104,245 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99,764 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3 shares at September 30, 2023 and December 31, 2022</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The Pennant Group, Inc. stockholders’ equity</w:t>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134,523 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121,012 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139,519 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125,657 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520,315 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512,119 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for per-share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73"/>
        <w:gridCol w:w="1222"/>
        <w:gridCol w:w="1216"/>
        <w:gridCol w:w="242"/>
        <w:gridCol w:w="949"/>
        <w:gridCol w:w="124"/>
        <w:gridCol w:w="124"/>
        <w:gridCol w:w="124"/>
        <w:gridCol w:w="124"/>
        <w:gridCol w:w="242"/>
        <w:gridCol w:w="949"/>
        <w:gridCol w:w="124"/>
        <w:gridCol w:w="109"/>
        <w:gridCol w:w="109"/>
        <w:gridCol w:w="109"/>
        <w:gridCol w:w="234"/>
        <w:gridCol w:w="918"/>
        <w:gridCol w:w="120"/>
        <w:gridCol w:w="120"/>
        <w:gridCol w:w="120"/>
        <w:gridCol w:w="120"/>
        <w:gridCol w:w="234"/>
        <w:gridCol w:w="918"/>
        <w:gridCol w:w="181"/>
      </w:tblGrid>
      <w:tr>
        <w:trPr/>
        <w:tc>
          <w:tcPr>
            <w:tcW w:w="147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11"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140,192 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118,350 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398,937 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348,576 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w:t>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94,680 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277,658 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Rent—cost of services</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asset dispositions and impairment, net</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133,131 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111,206 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381,335 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342,221 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The Pennant Group, Inc.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3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14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10834" w:type="dxa"/>
        <w:jc w:val="center"/>
        <w:tblInd w:w="0" w:type="dxa"/>
        <w:tblLayout w:type="fixed"/>
        <w:tblCellMar>
          <w:top w:w="28" w:type="dxa"/>
          <w:left w:w="28" w:type="dxa"/>
          <w:bottom w:w="28" w:type="dxa"/>
          <w:right w:w="28" w:type="dxa"/>
        </w:tblCellMar>
      </w:tblPr>
      <w:tblGrid>
        <w:gridCol w:w="591"/>
        <w:gridCol w:w="282"/>
        <w:gridCol w:w="283"/>
        <w:gridCol w:w="323"/>
        <w:gridCol w:w="323"/>
        <w:gridCol w:w="211"/>
        <w:gridCol w:w="109"/>
        <w:gridCol w:w="109"/>
        <w:gridCol w:w="109"/>
        <w:gridCol w:w="231"/>
        <w:gridCol w:w="390"/>
        <w:gridCol w:w="130"/>
        <w:gridCol w:w="109"/>
        <w:gridCol w:w="109"/>
        <w:gridCol w:w="109"/>
        <w:gridCol w:w="196"/>
        <w:gridCol w:w="736"/>
        <w:gridCol w:w="109"/>
        <w:gridCol w:w="109"/>
        <w:gridCol w:w="109"/>
        <w:gridCol w:w="109"/>
        <w:gridCol w:w="196"/>
        <w:gridCol w:w="646"/>
        <w:gridCol w:w="109"/>
        <w:gridCol w:w="109"/>
        <w:gridCol w:w="109"/>
        <w:gridCol w:w="109"/>
        <w:gridCol w:w="210"/>
        <w:gridCol w:w="210"/>
        <w:gridCol w:w="211"/>
        <w:gridCol w:w="109"/>
        <w:gridCol w:w="109"/>
        <w:gridCol w:w="109"/>
        <w:gridCol w:w="226"/>
        <w:gridCol w:w="399"/>
        <w:gridCol w:w="126"/>
        <w:gridCol w:w="109"/>
        <w:gridCol w:w="109"/>
        <w:gridCol w:w="109"/>
        <w:gridCol w:w="300"/>
        <w:gridCol w:w="853"/>
        <w:gridCol w:w="168"/>
        <w:gridCol w:w="109"/>
        <w:gridCol w:w="109"/>
        <w:gridCol w:w="109"/>
        <w:gridCol w:w="196"/>
        <w:gridCol w:w="736"/>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30,149 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The Pennant Group, Inc.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from the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30,203 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The Pennant Group, Inc.</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from the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30,251 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The Pennant Group, Inc.</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from the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September 30, 2023</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30,266 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4,996 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 - (Continued)</w:t>
      </w:r>
    </w:p>
    <w:p>
      <w:pPr>
        <w:pStyle w:val="TextBody"/>
        <w:bidi w:val="0"/>
        <w:spacing w:lineRule="auto" w:line="288" w:before="0" w:after="14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10834" w:type="dxa"/>
        <w:jc w:val="center"/>
        <w:tblInd w:w="0" w:type="dxa"/>
        <w:tblLayout w:type="fixed"/>
        <w:tblCellMar>
          <w:top w:w="28" w:type="dxa"/>
          <w:left w:w="28" w:type="dxa"/>
          <w:bottom w:w="28" w:type="dxa"/>
          <w:right w:w="28" w:type="dxa"/>
        </w:tblCellMar>
      </w:tblPr>
      <w:tblGrid>
        <w:gridCol w:w="591"/>
        <w:gridCol w:w="282"/>
        <w:gridCol w:w="283"/>
        <w:gridCol w:w="323"/>
        <w:gridCol w:w="323"/>
        <w:gridCol w:w="211"/>
        <w:gridCol w:w="109"/>
        <w:gridCol w:w="109"/>
        <w:gridCol w:w="109"/>
        <w:gridCol w:w="231"/>
        <w:gridCol w:w="390"/>
        <w:gridCol w:w="130"/>
        <w:gridCol w:w="109"/>
        <w:gridCol w:w="109"/>
        <w:gridCol w:w="109"/>
        <w:gridCol w:w="196"/>
        <w:gridCol w:w="736"/>
        <w:gridCol w:w="109"/>
        <w:gridCol w:w="109"/>
        <w:gridCol w:w="109"/>
        <w:gridCol w:w="109"/>
        <w:gridCol w:w="196"/>
        <w:gridCol w:w="646"/>
        <w:gridCol w:w="109"/>
        <w:gridCol w:w="109"/>
        <w:gridCol w:w="109"/>
        <w:gridCol w:w="109"/>
        <w:gridCol w:w="210"/>
        <w:gridCol w:w="210"/>
        <w:gridCol w:w="211"/>
        <w:gridCol w:w="109"/>
        <w:gridCol w:w="109"/>
        <w:gridCol w:w="109"/>
        <w:gridCol w:w="226"/>
        <w:gridCol w:w="399"/>
        <w:gridCol w:w="126"/>
        <w:gridCol w:w="109"/>
        <w:gridCol w:w="109"/>
        <w:gridCol w:w="109"/>
        <w:gridCol w:w="300"/>
        <w:gridCol w:w="853"/>
        <w:gridCol w:w="168"/>
        <w:gridCol w:w="109"/>
        <w:gridCol w:w="109"/>
        <w:gridCol w:w="109"/>
        <w:gridCol w:w="196"/>
        <w:gridCol w:w="736"/>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28,826 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The Pennant Group, Inc.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from the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28,849 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The Pennant Group, Inc.</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(2,676)</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from the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28,886 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The Pennant Group, Inc.</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from the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September 30, 2022</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30,146 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4,432 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14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8634" w:type="dxa"/>
        <w:jc w:val="center"/>
        <w:tblInd w:w="0" w:type="dxa"/>
        <w:tblLayout w:type="fixed"/>
        <w:tblCellMar>
          <w:top w:w="28" w:type="dxa"/>
          <w:left w:w="28" w:type="dxa"/>
          <w:bottom w:w="28" w:type="dxa"/>
          <w:right w:w="28" w:type="dxa"/>
        </w:tblCellMar>
      </w:tblPr>
      <w:tblGrid>
        <w:gridCol w:w="2097"/>
        <w:gridCol w:w="1839"/>
        <w:gridCol w:w="1853"/>
        <w:gridCol w:w="266"/>
        <w:gridCol w:w="756"/>
        <w:gridCol w:w="148"/>
        <w:gridCol w:w="148"/>
        <w:gridCol w:w="148"/>
        <w:gridCol w:w="148"/>
        <w:gridCol w:w="266"/>
        <w:gridCol w:w="756"/>
        <w:gridCol w:w="209"/>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fees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doubtful accounts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operating assets and liabilities, net of acquisitions: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obligations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wages and related liabilities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liabilities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(CARES Act advance payments)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(6,211)</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27,910 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(10,426)</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 for business acquisitions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(17,576)</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(20,176)</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Revolving Credit Facility</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82,000 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Revolving Credit Facility</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(141,000)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(78,000)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the exercise of options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financing activities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(9,030)</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increase (decrease) in cash </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(2,235)</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beginning of period</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end of period</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3,383 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2,955 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 (Continued)</w:t>
      </w:r>
    </w:p>
    <w:p>
      <w:pPr>
        <w:pStyle w:val="TextBody"/>
        <w:bidi w:val="0"/>
        <w:spacing w:lineRule="auto" w:line="288" w:before="0" w:after="14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2663"/>
        <w:gridCol w:w="2343"/>
        <w:gridCol w:w="2356"/>
        <w:gridCol w:w="236"/>
        <w:gridCol w:w="782"/>
        <w:gridCol w:w="131"/>
        <w:gridCol w:w="131"/>
        <w:gridCol w:w="131"/>
        <w:gridCol w:w="131"/>
        <w:gridCol w:w="236"/>
        <w:gridCol w:w="872"/>
        <w:gridCol w:w="193"/>
      </w:tblGrid>
      <w:tr>
        <w:trPr/>
        <w:tc>
          <w:tcPr>
            <w:tcW w:w="2663"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7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cash flow information:</w:t>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2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w:t>
            </w:r>
          </w:p>
        </w:tc>
        <w:tc>
          <w:tcPr>
            <w:tcW w:w="2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27,231 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27,092 </w:t>
            </w:r>
          </w:p>
        </w:tc>
        <w:tc>
          <w:tcPr>
            <w:tcW w:w="19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new operating lease obligations</w:t>
            </w:r>
          </w:p>
        </w:tc>
        <w:tc>
          <w:tcPr>
            <w:tcW w:w="2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9,357 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10,326 </w:t>
            </w:r>
          </w:p>
        </w:tc>
        <w:tc>
          <w:tcPr>
            <w:tcW w:w="1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adjustment to right-of-use assets and lease liabilities from lease modifications</w:t>
            </w:r>
          </w:p>
        </w:tc>
        <w:tc>
          <w:tcPr>
            <w:tcW w:w="2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5,195 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6,270 </w:t>
            </w:r>
          </w:p>
        </w:tc>
        <w:tc>
          <w:tcPr>
            <w:tcW w:w="19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adjustment to right-of-use assets and lease liabilities from lease terminations and assignments</w:t>
            </w:r>
          </w:p>
        </w:tc>
        <w:tc>
          <w:tcPr>
            <w:tcW w:w="2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(43,136)</w:t>
            </w:r>
          </w:p>
        </w:tc>
        <w:tc>
          <w:tcPr>
            <w:tcW w:w="1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activity:</w:t>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in accounts payable</w:t>
            </w:r>
          </w:p>
        </w:tc>
        <w:tc>
          <w:tcPr>
            <w:tcW w:w="2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680 </w:t>
            </w:r>
          </w:p>
        </w:tc>
        <w:tc>
          <w:tcPr>
            <w:tcW w:w="1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1,100 </w:t>
            </w:r>
          </w:p>
        </w:tc>
        <w:tc>
          <w:tcPr>
            <w:tcW w:w="19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THE PENNANT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 and operational senior living units)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1. DESCRIPTION OF BUSINESS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Pennant Group, Inc. (herein referred to as “Pennant,” the “Company,” “it,” or “its”), is a holding company with no direct operating assets, employees or revenue. The Company, through its independent operating subsidiaries, provides healthcare services across the post-acute care continuum. As of September 30, 2023, the Company’s subsidiaries operated 103 home health, hospice and home care agencies and 51 senior living communities located in Arizona, California, Colorado, Idaho, Iowa, Montana, Nevada, Oklahoma, Oregon, Texas, Utah, Washington, Wisconsin and Wyoming.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Company’s subsidiaries, collectively referred to as the Service Center, provide accounting, payroll, human resources, information technology, legal, risk management, and other services to the operations through contractual relationships.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Company’s affiliated operations are operated by separate, independent subsidiaries that have their own management, employees and assets. References herein to the consolidated “Company” and “its” assets and activities are not meant to imply, nor should they be construed as meaning, that Pennant has direct operating assets, employees or revenue, or that any of the subsidiaries are operated by Pennant.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2. BASIS OF PRESENTATION AND SUMMARY OF SIGNIFICANT ACCOUNTING POLICIES</w:t>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Basis of Presentation - </w:t>
      </w:r>
      <w:r>
        <w:rPr>
          <w:rFonts w:ascii="Times New Roman;sans-serif" w:hAnsi="Times New Roman;sans-serif"/>
          <w:b w:val="false"/>
          <w:color w:val="000000"/>
          <w:sz w:val="20"/>
        </w:rPr>
        <w:t xml:space="preserve">The accompanying unaudited condensed consolidated financial statements of the Company (the “Interim Financial Statements”) reflect the Company’s financial position, results of operations and cash flows of the business. The Interim Financial Statements have been prepared in accordance with accounting principles generally accepted in the United States (“GAAP”) and pursuant to the regulations of the Securities and Exchange Commission (“SEC”). Management believes that the Interim Financial Statements reflect, in all material respects, all adjustments which are of a normal and recurring nature necessary to present fairly the Company’s financial position, results of operations, and cash flows for the periods presented in conformity with GAAP. The results reported in these Interim Financial Statements are not necessarily indicative of results that may be expected for the entire year.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Balance Sheet as of December 31, 2022 is derived from the Company’s annual audited Consolidated Financial Statements for the fiscal year ended December 31, 2022, which should be read in conjunction with these Interim Financial Statements. Certain information in the accompanying footnote disclosures normally included in annual financial statements was condensed or omitted for the interim periods presented in accordance with GAAP.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significant intercompany transactions and balances between the various legal entities comprising the Company have been eliminated in consolidation. The Company presents noncontrolling interests within the equity section of its Condensed Consolidated Balance Sheets and the amount of consolidated net income that is attributable to the Company and the noncontrolling interest in its Condensed Consolidated Statements of Income.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consists of various limited liability companies and corporations established to operate home health, hospice, home care, and senior living operations. The Interim Financial Statements include the accounts of all entities controlled by the Company through its ownership of a majority voting interest.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Estimates and Assumptions -</w:t>
      </w:r>
      <w:r>
        <w:rPr>
          <w:color w:val="000000"/>
        </w:rPr>
        <w:t xml:space="preserve"> </w:t>
      </w:r>
      <w:r>
        <w:rPr>
          <w:rFonts w:ascii="Times New Roman;sans-serif" w:hAnsi="Times New Roman;sans-serif"/>
          <w:b w:val="false"/>
          <w:color w:val="000000"/>
          <w:sz w:val="20"/>
        </w:rPr>
        <w:t>The preparation of the Interim Financial Statements in conformity with GAAP requires management to make certain estimates and assumptions that affect the reported amounts of assets and liabilities and disclosure of contingent assets and liabilities at the date of the Interim Financial Statements and the reported amounts of revenue and expenses during the reporting periods. The most significant estimates in the Interim Financial Statements relate to revenue, intangible assets and goodwill, right-of-use assets and lease liabilities for leases greater than 12 months, self-insurance reserves, and income taxes. Actual results could differ from those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CARES Act</w:t>
      </w:r>
      <w:r>
        <w:rPr>
          <w:rFonts w:ascii="Times New Roman;sans-serif" w:hAnsi="Times New Roman;sans-serif"/>
          <w:b w:val="false"/>
          <w:color w:val="000000"/>
          <w:sz w:val="20"/>
        </w:rPr>
        <w:t xml:space="preserve">: The Coronavirus Aid, Relief, and Economic Security Act (the “CARES Act”) was enacted on March 27, 2020 in the United States. The CARES Act allowed for deferred payment of the employer-paid portion of social security taxes through the end of 2020, with 50% due on December 31, 2021 and the remainder due on December 31, 2022. The Company deferred approximately $7,836 of the employer-paid portion of social security taxes, all of which was repaid by December 31, 2022. The CARES Act also expanded the Centers for Medicare &amp; Medicaid Services’ (“CMS”) ability to provide accelerated/advance payments intended to increase the cash flow of healthcare providers and suppliers impacted by COVID-19. During 2020, the Company applied for and received $27,997 in funds under the Accelerated and Advance Payment (“AAP”) Program, all of which was recouped as of June 23,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State relief funding. </w:t>
      </w:r>
      <w:r>
        <w:rPr>
          <w:rFonts w:ascii="Times New Roman;sans-serif" w:hAnsi="Times New Roman;sans-serif"/>
          <w:b w:val="false"/>
          <w:color w:val="000000"/>
          <w:sz w:val="20"/>
        </w:rPr>
        <w:t>The Company receives state relief funding through programs from various states, including healthcare relief funding under the American Rescue Plan Act (ARPA), and other state specific relief programs. The funding generally incorporates specific use requirements primarily for direct patient care including labor related expenses that are attributable to the COVID-19 pandemic or are associated with providing patient care.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funds are recognized as a reduction of cost of services expenses when related expenses are incurred. As of September 30, 2023 and December 31, 2022, the Company had $872 and $1,479 in unapplied state relief funds, respectively. The unapplied state relief funds received are recorded in other accrued liabilities. The Company recognized state relief funding totaling $923 and $3,005 for the three and nine months ended September 30, 2023, respectively, and $734 and $1,980 for the three and nine months ended September 30, 2022, respectively, which the Company recognized as a reduction of cost of services expense.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Except for rules and interpretive releases of the Securities and Exchange Commission (SEC) under authority of federal securities laws and a limited number of grandfathered standards, the FASB ASC is the sole source of authoritative GAAP literature recognized by the FASB and applicable to the Company. For any new pronouncements announced, the Company considers whether the new pronouncements could alter previous generally accepted accounting principles and determines whether any new or modified principles will have a material impact on the Company's reported financial position or operations in the near term. The applicability of any standard is subject to the formal review of the Company's financial management and certain standards are under consideration.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On August 23, 2023, the FASB issued ASU 2023-05 “</w:t>
      </w:r>
      <w:r>
        <w:rPr>
          <w:rFonts w:ascii="Times New Roman;sans-serif" w:hAnsi="Times New Roman;sans-serif"/>
          <w:b w:val="false"/>
          <w:i/>
          <w:color w:val="000000"/>
          <w:sz w:val="20"/>
          <w:shd w:fill="FFFFFF" w:val="clear"/>
        </w:rPr>
        <w:t xml:space="preserve">Business Combinations—Joint Venture Formations (Subtopic 805-60)” </w:t>
      </w:r>
      <w:r>
        <w:rPr>
          <w:rFonts w:ascii="Times New Roman;sans-serif" w:hAnsi="Times New Roman;sans-serif"/>
          <w:b w:val="false"/>
          <w:color w:val="000000"/>
          <w:sz w:val="20"/>
          <w:shd w:fill="FFFFFF" w:val="clear"/>
        </w:rPr>
        <w:t xml:space="preserve">(ASU 2023-05) under which an entity that qualifies as either a joint venture or a corporate joint venture, as defined in the ASC master glossary, is required to apply a new basis of accounting upon the formation of the joint venture. Specifically, ASU 2023-05 stipulates that a joint venture or a corporate joint venture must initially measure its assets and liabilities at fair value on the formation date. The amendments in ASU 2023-05 are effective for all joint ventures within the ASU’s scope that are formed on or after January 1, 2025. Early adoption is permitted. </w:t>
      </w:r>
      <w:r>
        <w:rPr>
          <w:rFonts w:ascii="Times New Roman;sans-serif" w:hAnsi="Times New Roman;sans-serif"/>
          <w:b w:val="false"/>
          <w:color w:val="000000"/>
          <w:sz w:val="20"/>
        </w:rPr>
        <w:t xml:space="preserve">The Company is evaluating this ASU and notes that any impact to financial statements would be dependent on the facts and circumstances surrounding any new joint venture formed after the date of adoption.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3. TRANSACTIONS WITH ENSIGN</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2019, The Ensign Group, Inc. (“Ensign”) completed the separation of Pennant (the “Spin-Off”). Pennant and Ensign continue to partner in the provision of services along the healthcare continuum.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incurred costs of $254 and $719 for the three and nine months ended September 30, 2023, and $231 and $1,332 for the three and nine months ended September 30, 2022, respectively, that related primarily to shared services at proximate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Expenses related to room and board charges at Ensign skilled nursing facilities for hospice patients were $1,217 and $3,171 for the three and nine months ended September 30, 2023, respectively, and $812 and $2,035 for the three and nine months ended September 30, 2022, respectively, and are included in cost of services.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independent operating subsidiaries leased 29 communities from subsidiaries of Ensign under a master lease arrangement as of both September 30, 2023 and September 30, 2022. See further discussion below at Note 8, Leases.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27, 2022, affiliates of the Company entered into certain operations transfer agreements (collectively, the “Transfer Agreements”) with affiliates of Ensign, providing for the transfer of the operations of five senior living communities (the “Transaction”). The Transfer Agreements required one of the transferors to place $6,500 in escrow to cover post-closing capital expenditures and operating losses related to one of the communities, and such escrow was funded by an initial payment by the transferor at closing followed by eight equal monthly installments. The Company recorded the amount in loss on asset dispositions and impairment, net during the three months ended June 2022. The Transaction closed in April 2022.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4. NET INCOME PER COMMON SHARE</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share is computed by dividing net income (loss) attributable to stockholders of the Company by the weighted average number of outstanding common shares for the period. The computation of diluted net income (loss) per share is similar to the computation of basic net income (loss) per share except that the denominator is increased to include the number of additional common shares that would have been outstanding if the dilutive potential common shares had been issued.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The following table sets forth the computation of basic and diluted net income (loss) per share for the periods presented: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766"/>
        <w:gridCol w:w="1463"/>
        <w:gridCol w:w="1471"/>
        <w:gridCol w:w="248"/>
        <w:gridCol w:w="726"/>
        <w:gridCol w:w="128"/>
        <w:gridCol w:w="128"/>
        <w:gridCol w:w="128"/>
        <w:gridCol w:w="128"/>
        <w:gridCol w:w="248"/>
        <w:gridCol w:w="726"/>
        <w:gridCol w:w="128"/>
        <w:gridCol w:w="109"/>
        <w:gridCol w:w="109"/>
        <w:gridCol w:w="109"/>
        <w:gridCol w:w="243"/>
        <w:gridCol w:w="710"/>
        <w:gridCol w:w="125"/>
        <w:gridCol w:w="125"/>
        <w:gridCol w:w="125"/>
        <w:gridCol w:w="125"/>
        <w:gridCol w:w="243"/>
        <w:gridCol w:w="710"/>
        <w:gridCol w:w="184"/>
      </w:tblGrid>
      <w:tr>
        <w:trPr/>
        <w:tc>
          <w:tcPr>
            <w:tcW w:w="176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4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0"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4700"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4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Pennant Group, Inc.</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for basic net income per share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Plus: assumed incremental shares from exercise of options and assumed conversion or vesting of restricted stock</w:t>
            </w:r>
            <w:r>
              <w:rPr>
                <w:rFonts w:ascii="Times New Roman;sans-serif" w:hAnsi="Times New Roman;sans-serif"/>
                <w:b w:val="false"/>
                <w:color w:val="000000"/>
                <w:sz w:val="13"/>
              </w:rPr>
              <w:t>(a)</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weighted average common shares outstanding for diluted income per share</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common share</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common share</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The diluted per share amounts do not reflect common equivalent shares outstanding of 2,718 and 2,278 for the three and nine months ended September 30, 2023, respectively, and 1,858 and 1,806 for the three and nine months ended September 30, 2022, respectively, because of their anti-dilutive effect.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5. REVENUE AND ACCOUNTS RECEIVABLE</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recognized when services are provided to the patients at the amount that reflects the consideration to which the Company expects to be entitled from patients and third-party payors, including Medicare, Medicaid, Commercial and managed care programs (Medicare Advantage and Managed Medicaid plans), in exchange for providing patient care. The healthcare services in home health and hospice patient contracts include routine services in exchange for a contractual agreed-upon amount or rate. Routine services are treated as a single performance obligation satisfied over time as services are rendered. As such, patient care services represent a bundle of services that are not capable of being distinct within the context of the contract. Additionally, there may be ancillary services which are not included in the rates for routine services, but instead are treated as separate performance obligations satisfied at a point in time, if and when those services are rendered.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recognized from healthcare services is adjusted for estimates of variable consideration to arrive at the transaction price. The Company determines the transaction price based on contractually agreed-upon amounts or rates, adjusted for estimates of variable consideration. The Company uses the expected value method in determining the variable component that should be used to arrive at the transaction price, using contractual agreements and historical reimbursement experience within each payor type. The amount of variable consideration which is included in the transaction price may be constrained, and is included in the net revenue only to the extent that it is probable that a significant reversal in the amount of the cumulative revenue recognized will not occur in a future period. If actual amounts of consideration ultimately received differ from the Company’s estimates, the Company adjusts these estimates, which would affect net service revenue in the period such variances become known.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Combined revenue from the Medicare and Medicaid programs accounted for 62.7% and 62.5% of the Company’s revenue for the three and nine months ended September 30, 2023, respectively, and 62.4% and 62.3% for the three and nine months ended September 30, 2022, respectively. The Company records revenue from these governmental and managed care programs as services are performed at their expected net realizable amounts under these programs. The Company’s revenue from governmental and managed care programs is subject to audit and retroactive adjustment by governmental and third-party agencies. Consistent with healthcare industry accounting practices, any changes to these governmental revenue estimates are recorded in the period the change or adjustment becomes known based on final settlement.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disaggregates revenue from contracts with its patients by reportable operating segments and payors. The Company has determined that disaggregating revenue into these categories achieves the disclosure objectives to depict how the nature, amount, timing and uncertainty of revenue and cash flows are affected by economic factors.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service specific revenue recognition policies are as follows: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Home Health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Medicare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service revenue is recognized in accordance with the Patient Driven Groupings Model (“PDGM”). Under PDGM, Medicare provides agencies with payments for each 30-day payment period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payment period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payment period; (f) changes in the base payments established by the Medicare program; (g) adjustments to the base payments for case mix and geographic wages; and (h) recoveries of overpayments.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adjusts Medicare revenue on completed episodes to reflect differences between estimated and actual payment amounts, an inability to obtain appropriate billing documentation and other reasons unrelated to credit risk. Therefore, the Company believes that its reported net service revenue and patient accounts receivable will be the net amounts to be realized from Medicare for services rendered.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revenue recognized on completed episodes and periods, the Company also recognizes a portion of revenue associated with episodes and periods in progress. Episodes in progress are 30-day payment periods that begin during the reporting period but were not completed as of the end of the period. As such, the Company estimates revenue and recognizes it on a daily basis. The primary factors underlying this estimate are the number of episodes in progress at the end of the reporting period, expected Medicare revenue per period of care or episode of care and the Company’s estimate of the average percentage complete based on the scheduled end of period and end of episode dates.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Non-Medicare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Episodic Based Revenue -</w:t>
      </w:r>
      <w:r>
        <w:rPr>
          <w:color w:val="000000"/>
        </w:rPr>
        <w:t xml:space="preserve"> </w:t>
      </w:r>
      <w:r>
        <w:rPr>
          <w:rFonts w:ascii="Times New Roman;sans-serif" w:hAnsi="Times New Roman;sans-serif"/>
          <w:b w:val="false"/>
          <w:color w:val="000000"/>
          <w:sz w:val="20"/>
        </w:rPr>
        <w:t>The Company recognizes revenue in a similar manner as it recognizes Medicare revenue for episodic-based rates that are paid by other insurance carriers, including carriers administrating Medicare Advantage programs. These rates can vary based upon the negotiated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Non-episodic Based Revenue -</w:t>
      </w:r>
      <w:r>
        <w:rPr>
          <w:color w:val="000000"/>
        </w:rPr>
        <w:t xml:space="preserve"> </w:t>
      </w:r>
      <w:r>
        <w:rPr>
          <w:rFonts w:ascii="Times New Roman;sans-serif" w:hAnsi="Times New Roman;sans-serif"/>
          <w:b w:val="false"/>
          <w:color w:val="000000"/>
          <w:sz w:val="20"/>
        </w:rPr>
        <w:t>Revenue is recognized on an accrual basis based upon the date of service at amounts equal to its established or estimated per visit rates, as applicable.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Hospice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recognized on an accrual basis based upon the date of service at amounts equal to the estimated payment rates. The estimated payment rates are calculated as daily rates for each of the levels of care the Company delivers. Revenue is adjusted for an inability to obtain appropriate billing documentation or authorizations acceptable to the payor and other reasons unrelated to credit risk. Additionally, as Medicare hospice revenue is subject to an inpatient cap and an overall payment cap, the Company monitors its provider numbers and estimates amounts due back to Medicare if a cap has been exceeded. The Company regularly evaluates and records these adjustments as a reduction to revenue and an increase to other accrued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Senior Living Revenue</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Company has elected the lessor practical expedient within ASC Topic 842,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and therefore recognizes, measures, presents, and discloses the revenue for services rendered under the Company’s senior living residency agreements based upon the predominant component, either the lease or non-lease component, of the contracts. The Company has determined that the services included under the Company’s senior living residency agreements each have the same timing and pattern of transfer. The Company recognizes revenue under ASC Topic 606,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for its senior residency agreements, for which it has determined that the non-lease components of such residency agreements are the predominant component of each such contract.</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senior living revenue consists of fees for basic housing and assisted living care. Accordingly, the Company records revenue when services are rendered on the date services are provided at amounts billable to individual residents. Residency agreements are generally for a term of 30 days, with resident fees billed monthly in advance. For residents under reimbursement arrangements with Medicaid, revenue is recorded based on contractually agreed-upon amounts or rates on a per resident, daily basis or as services are rendered.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 By Payor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by payor for the three months ended September 30, 2023 and 2022, is summarized in the following tables: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97"/>
        <w:gridCol w:w="436"/>
        <w:gridCol w:w="441"/>
        <w:gridCol w:w="109"/>
        <w:gridCol w:w="109"/>
        <w:gridCol w:w="109"/>
        <w:gridCol w:w="331"/>
        <w:gridCol w:w="1133"/>
        <w:gridCol w:w="170"/>
        <w:gridCol w:w="127"/>
        <w:gridCol w:w="127"/>
        <w:gridCol w:w="127"/>
        <w:gridCol w:w="273"/>
        <w:gridCol w:w="935"/>
        <w:gridCol w:w="140"/>
        <w:gridCol w:w="109"/>
        <w:gridCol w:w="109"/>
        <w:gridCol w:w="109"/>
        <w:gridCol w:w="337"/>
        <w:gridCol w:w="1153"/>
        <w:gridCol w:w="174"/>
        <w:gridCol w:w="109"/>
        <w:gridCol w:w="109"/>
        <w:gridCol w:w="109"/>
        <w:gridCol w:w="232"/>
        <w:gridCol w:w="912"/>
        <w:gridCol w:w="120"/>
        <w:gridCol w:w="109"/>
        <w:gridCol w:w="109"/>
        <w:gridCol w:w="109"/>
        <w:gridCol w:w="307"/>
        <w:gridCol w:w="309"/>
        <w:gridCol w:w="616"/>
      </w:tblGrid>
      <w:tr>
        <w:trPr/>
        <w:tc>
          <w:tcPr>
            <w:tcW w:w="49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Services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w:t>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67,925 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49,039 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87,818 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Private and other</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51,103 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50,371 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38,718 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140,192 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Private and other payors in the Company’s home health and hospice services segment includes revenue from all payors generated in the Company’s home care operations.</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97"/>
        <w:gridCol w:w="436"/>
        <w:gridCol w:w="441"/>
        <w:gridCol w:w="109"/>
        <w:gridCol w:w="109"/>
        <w:gridCol w:w="109"/>
        <w:gridCol w:w="331"/>
        <w:gridCol w:w="1133"/>
        <w:gridCol w:w="170"/>
        <w:gridCol w:w="127"/>
        <w:gridCol w:w="127"/>
        <w:gridCol w:w="127"/>
        <w:gridCol w:w="273"/>
        <w:gridCol w:w="935"/>
        <w:gridCol w:w="140"/>
        <w:gridCol w:w="109"/>
        <w:gridCol w:w="109"/>
        <w:gridCol w:w="109"/>
        <w:gridCol w:w="337"/>
        <w:gridCol w:w="1153"/>
        <w:gridCol w:w="174"/>
        <w:gridCol w:w="109"/>
        <w:gridCol w:w="109"/>
        <w:gridCol w:w="109"/>
        <w:gridCol w:w="232"/>
        <w:gridCol w:w="912"/>
        <w:gridCol w:w="120"/>
        <w:gridCol w:w="109"/>
        <w:gridCol w:w="109"/>
        <w:gridCol w:w="109"/>
        <w:gridCol w:w="307"/>
        <w:gridCol w:w="309"/>
        <w:gridCol w:w="616"/>
      </w:tblGrid>
      <w:tr>
        <w:trPr/>
        <w:tc>
          <w:tcPr>
            <w:tcW w:w="49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2022</w:t>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Services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w:t>
            </w:r>
          </w:p>
        </w:tc>
      </w:tr>
      <w:tr>
        <w:trPr/>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23,040 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35,367 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58,407 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73,750 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Private and other</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45,257 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40,522 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32,571 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118,350 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Private and other payors in the Company’s home health and hospice services segment includes revenue from all payors generated in the Company’s home care operations.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by payor for the nine months ended September 30, 2023 and 2022, is summarized in the following tables: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89"/>
        <w:gridCol w:w="429"/>
        <w:gridCol w:w="434"/>
        <w:gridCol w:w="109"/>
        <w:gridCol w:w="109"/>
        <w:gridCol w:w="109"/>
        <w:gridCol w:w="303"/>
        <w:gridCol w:w="1189"/>
        <w:gridCol w:w="156"/>
        <w:gridCol w:w="119"/>
        <w:gridCol w:w="119"/>
        <w:gridCol w:w="119"/>
        <w:gridCol w:w="253"/>
        <w:gridCol w:w="994"/>
        <w:gridCol w:w="130"/>
        <w:gridCol w:w="109"/>
        <w:gridCol w:w="109"/>
        <w:gridCol w:w="109"/>
        <w:gridCol w:w="308"/>
        <w:gridCol w:w="1209"/>
        <w:gridCol w:w="159"/>
        <w:gridCol w:w="109"/>
        <w:gridCol w:w="109"/>
        <w:gridCol w:w="109"/>
        <w:gridCol w:w="231"/>
        <w:gridCol w:w="908"/>
        <w:gridCol w:w="119"/>
        <w:gridCol w:w="109"/>
        <w:gridCol w:w="109"/>
        <w:gridCol w:w="109"/>
        <w:gridCol w:w="307"/>
        <w:gridCol w:w="309"/>
        <w:gridCol w:w="613"/>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Services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w:t>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121,523 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192,895 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135,993 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249,350 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Private and other</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147,351 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140,222 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111,364 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398,937 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Private and other payors in the Company’s home health and hospice services segment includes revenue from all payors generated in the Company’s home care operations.</w:t>
            </w:r>
          </w:p>
        </w:tc>
      </w:tr>
    </w:tbl>
    <w:p>
      <w:pPr>
        <w:pStyle w:val="TextBody"/>
        <w:bidi w:val="0"/>
        <w:spacing w:before="0" w:after="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493"/>
        <w:gridCol w:w="432"/>
        <w:gridCol w:w="437"/>
        <w:gridCol w:w="109"/>
        <w:gridCol w:w="109"/>
        <w:gridCol w:w="109"/>
        <w:gridCol w:w="305"/>
        <w:gridCol w:w="1197"/>
        <w:gridCol w:w="157"/>
        <w:gridCol w:w="120"/>
        <w:gridCol w:w="120"/>
        <w:gridCol w:w="120"/>
        <w:gridCol w:w="254"/>
        <w:gridCol w:w="997"/>
        <w:gridCol w:w="131"/>
        <w:gridCol w:w="109"/>
        <w:gridCol w:w="109"/>
        <w:gridCol w:w="109"/>
        <w:gridCol w:w="333"/>
        <w:gridCol w:w="1141"/>
        <w:gridCol w:w="172"/>
        <w:gridCol w:w="109"/>
        <w:gridCol w:w="109"/>
        <w:gridCol w:w="109"/>
        <w:gridCol w:w="231"/>
        <w:gridCol w:w="909"/>
        <w:gridCol w:w="120"/>
        <w:gridCol w:w="109"/>
        <w:gridCol w:w="109"/>
        <w:gridCol w:w="109"/>
        <w:gridCol w:w="307"/>
        <w:gridCol w:w="309"/>
        <w:gridCol w:w="612"/>
      </w:tblGrid>
      <w:tr>
        <w:trPr/>
        <w:tc>
          <w:tcPr>
            <w:tcW w:w="49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2022</w:t>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Services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w:t>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67,861 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103,322 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171,183 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6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75,250 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114,511 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217,263 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6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Private and other</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69,476 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133,894 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117,704 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96,978 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348,576 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Private and other payors in the Company’s home health and hospice services segment includes revenue from all payors generated in the Company’s home care operations.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Balance Sheet Impact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in the Company’s Condensed Consolidated Balance Sheets are contract assets, comprised of billed accounts receivable and unbilled receivables, which are the result of the timing of revenue recognition, billings and cash collections, as well as, contract liabilities, which primarily represent payments the Company receives in advance of services provided.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as of September 30, 2023 and December 31, 2022 is summarized in the following table: </w:t>
      </w:r>
    </w:p>
    <w:p>
      <w:pPr>
        <w:pStyle w:val="TextBody"/>
        <w:bidi w:val="0"/>
        <w:spacing w:before="0" w:after="0"/>
        <w:ind w:left="0" w:right="0" w:firstLine="720"/>
        <w:jc w:val="both"/>
        <w:rPr/>
      </w:pPr>
      <w:r>
        <w:rPr/>
      </w:r>
    </w:p>
    <w:tbl>
      <w:tblPr>
        <w:tblW w:w="7060" w:type="dxa"/>
        <w:jc w:val="left"/>
        <w:tblInd w:w="0" w:type="dxa"/>
        <w:tblLayout w:type="fixed"/>
        <w:tblCellMar>
          <w:top w:w="28" w:type="dxa"/>
          <w:left w:w="28" w:type="dxa"/>
          <w:bottom w:w="28" w:type="dxa"/>
          <w:right w:w="28" w:type="dxa"/>
        </w:tblCellMar>
      </w:tblPr>
      <w:tblGrid>
        <w:gridCol w:w="1156"/>
        <w:gridCol w:w="1013"/>
        <w:gridCol w:w="1025"/>
        <w:gridCol w:w="358"/>
        <w:gridCol w:w="1226"/>
        <w:gridCol w:w="185"/>
        <w:gridCol w:w="109"/>
        <w:gridCol w:w="109"/>
        <w:gridCol w:w="109"/>
        <w:gridCol w:w="344"/>
        <w:gridCol w:w="1175"/>
        <w:gridCol w:w="251"/>
      </w:tblGrid>
      <w:tr>
        <w:trPr/>
        <w:tc>
          <w:tcPr>
            <w:tcW w:w="115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Medicaid</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care</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and other</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gross</w:t>
            </w:r>
          </w:p>
        </w:tc>
        <w:tc>
          <w:tcPr>
            <w:tcW w:w="1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60,284 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doubtful accounts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59,353 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53,420 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Concentrations - Credit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significant accounts receivable balances, the collectability of which is dependent on the availability of funds from certain governmental programs, primarily Medicare and Medicaid. These receivables represent the only significant concentration of credit risk for the Company. The Company does not believe there are significant credit risks associated with these governmental programs. The Company believes that an appropriate allowance has been recorded for the possibility of these receivables proving uncollectible, and continually monitors and adjusts these allowances as necessary. The Company’s gross receivables from the Medicare and Medicaid programs accounted for approximately 77.0% and 77.8% of its total gross accounts receivable as of September 30, 2023 and December 31, 2022, respectively. Combined revenue from reimbursement under the Medicare and Medicaid programs accounted for 62.7% and 62.5% for the three and nine months ended September 30, 2023, respectively, and 62.4% and 62.3% of the Company’s revenue for the three and nine months ended September 30, 2022, respectively.</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Practical Expedients and Exemptions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the Company’s contracts have an original duration of one year or less, the Company uses the practical expedient applicable to its contracts and does not consider the time value of money. Further, because of the short duration of these contracts, the Company has not disclosed the transaction price for the remaining performance obligations as of the end of each reporting period or when the Company expects to recognize this revenue. In addition, the Company has applied the practical expedient provided by ASC 340, </w:t>
      </w:r>
      <w:r>
        <w:rPr>
          <w:rFonts w:ascii="Times New Roman;sans-serif" w:hAnsi="Times New Roman;sans-serif"/>
          <w:b w:val="false"/>
          <w:i/>
          <w:color w:val="000000"/>
          <w:sz w:val="20"/>
        </w:rPr>
        <w:t>Other Assets and Deferred Costs</w:t>
      </w:r>
      <w:r>
        <w:rPr>
          <w:rFonts w:ascii="Times New Roman;sans-serif" w:hAnsi="Times New Roman;sans-serif"/>
          <w:b w:val="false"/>
          <w:color w:val="000000"/>
          <w:sz w:val="20"/>
        </w:rPr>
        <w:t>, and all incremental customer contract acquisition costs are expensed as they are incurred because the amortization period would have been one year or less.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6. BUSINESS SEGMENTS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its operations into the following reportable operating segments: (1) home health and hospice services, which includes the Company’s home health, hospice and home care businesses; and (2) senior living services, which includes the operation of assisted living, independent living and memory care communities. The reporting segments are business units that offer different services and are managed separately to provide greater visibility into those operations. The Company’s Chief Executive Officer, who is the Company’s Chief Operating Decision Maker (“CODM”), reviews financial information at the operating segment level. The Company also reports an “all other” category that includes general and administrative expense from the Company’s Service Center.</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provided services through 103 affiliated home health, hospice and home care agencies, and 51 affiliated senior living operations. The Company evaluates performance and allocates capital resources to each segment based on an operating model that is designed to maximize the quality of care provided and profitability. The Company’s Service Center provides various services to all lines of business. The Company does not review assets by segment and therefore assets by segment are not disclosed below.</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CODM uses Segment Adjusted EBITDAR from Operations as the primary measure of profit and loss for the Company's reportable segments and to compare the performance of its operations with those of its competitors. Segment Adjusted EBITDAR from Operations is net income (loss)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 (3) acquisition related costs and credit allowances, (4) the costs associated with transitioning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operations, (5) unusual, non-recurring or redundant charges, and (6) net income attributable to noncontrolling interest.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certain financial information regarding the Company’s reportable segments, general and administrative expenses are not allocated to the reportable segments and are included in “All Other” for the three and nine months ended September 30, 2023 and 2022:</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996"/>
        <w:gridCol w:w="876"/>
        <w:gridCol w:w="878"/>
        <w:gridCol w:w="109"/>
        <w:gridCol w:w="109"/>
        <w:gridCol w:w="109"/>
        <w:gridCol w:w="427"/>
        <w:gridCol w:w="1673"/>
        <w:gridCol w:w="220"/>
        <w:gridCol w:w="109"/>
        <w:gridCol w:w="109"/>
        <w:gridCol w:w="109"/>
        <w:gridCol w:w="333"/>
        <w:gridCol w:w="1139"/>
        <w:gridCol w:w="172"/>
        <w:gridCol w:w="109"/>
        <w:gridCol w:w="109"/>
        <w:gridCol w:w="109"/>
        <w:gridCol w:w="211"/>
        <w:gridCol w:w="667"/>
        <w:gridCol w:w="109"/>
        <w:gridCol w:w="109"/>
        <w:gridCol w:w="109"/>
        <w:gridCol w:w="109"/>
        <w:gridCol w:w="211"/>
        <w:gridCol w:w="826"/>
        <w:gridCol w:w="159"/>
      </w:tblGrid>
      <w:tr>
        <w:trPr/>
        <w:tc>
          <w:tcPr>
            <w:tcW w:w="99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101,474 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140,192 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September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85,779 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70"/>
        <w:gridCol w:w="852"/>
        <w:gridCol w:w="855"/>
        <w:gridCol w:w="109"/>
        <w:gridCol w:w="109"/>
        <w:gridCol w:w="109"/>
        <w:gridCol w:w="418"/>
        <w:gridCol w:w="1638"/>
        <w:gridCol w:w="216"/>
        <w:gridCol w:w="109"/>
        <w:gridCol w:w="109"/>
        <w:gridCol w:w="109"/>
        <w:gridCol w:w="306"/>
        <w:gridCol w:w="1199"/>
        <w:gridCol w:w="157"/>
        <w:gridCol w:w="109"/>
        <w:gridCol w:w="109"/>
        <w:gridCol w:w="109"/>
        <w:gridCol w:w="211"/>
        <w:gridCol w:w="771"/>
        <w:gridCol w:w="109"/>
        <w:gridCol w:w="109"/>
        <w:gridCol w:w="109"/>
        <w:gridCol w:w="109"/>
        <w:gridCol w:w="211"/>
        <w:gridCol w:w="826"/>
        <w:gridCol w:w="158"/>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287,573 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Nine Months Ended September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251,598 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provides a reconciliation of Segment Adjusted EBITDAR from Operations to income from operations: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481"/>
        <w:gridCol w:w="1242"/>
        <w:gridCol w:w="1250"/>
        <w:gridCol w:w="260"/>
        <w:gridCol w:w="891"/>
        <w:gridCol w:w="134"/>
        <w:gridCol w:w="134"/>
        <w:gridCol w:w="134"/>
        <w:gridCol w:w="134"/>
        <w:gridCol w:w="260"/>
        <w:gridCol w:w="891"/>
        <w:gridCol w:w="134"/>
        <w:gridCol w:w="109"/>
        <w:gridCol w:w="109"/>
        <w:gridCol w:w="109"/>
        <w:gridCol w:w="251"/>
        <w:gridCol w:w="859"/>
        <w:gridCol w:w="129"/>
        <w:gridCol w:w="129"/>
        <w:gridCol w:w="129"/>
        <w:gridCol w:w="129"/>
        <w:gridCol w:w="251"/>
        <w:gridCol w:w="859"/>
        <w:gridCol w:w="197"/>
      </w:tblGrid>
      <w:tr>
        <w:trPr/>
        <w:tc>
          <w:tcPr>
            <w:tcW w:w="148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48,834 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Depreciation and amortization</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Rent—cost of services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Segment EBITDAR from Operations:</w:t>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Costs at start-up operations</w:t>
            </w:r>
            <w:r>
              <w:rPr>
                <w:rFonts w:ascii="Times New Roman;sans-serif" w:hAnsi="Times New Roman;sans-serif"/>
                <w:b w:val="false"/>
                <w:color w:val="000000"/>
                <w:sz w:val="13"/>
              </w:rPr>
              <w:t>(a)</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Share-based compensation expense and related taxes</w:t>
            </w:r>
            <w:r>
              <w:rPr>
                <w:rFonts w:ascii="Times New Roman;sans-serif" w:hAnsi="Times New Roman;sans-serif"/>
                <w:b w:val="false"/>
                <w:color w:val="000000"/>
                <w:sz w:val="13"/>
              </w:rPr>
              <w:t>(b)</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Acquisition related costs and credit allowances</w:t>
            </w:r>
            <w:r>
              <w:rPr>
                <w:rFonts w:ascii="Times New Roman;sans-serif" w:hAnsi="Times New Roman;sans-serif"/>
                <w:b w:val="false"/>
                <w:color w:val="000000"/>
                <w:sz w:val="13"/>
              </w:rPr>
              <w:t>(c)</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Costs associated with transitioning operations</w:t>
            </w:r>
            <w:r>
              <w:rPr>
                <w:rFonts w:ascii="Times New Roman;sans-serif" w:hAnsi="Times New Roman;sans-serif"/>
                <w:b w:val="false"/>
                <w:color w:val="000000"/>
                <w:sz w:val="13"/>
              </w:rPr>
              <w:t>(d)</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Unusual, non-recurring or redundant charges</w:t>
            </w:r>
            <w:r>
              <w:rPr>
                <w:rFonts w:ascii="Times New Roman;sans-serif" w:hAnsi="Times New Roman;sans-serif"/>
                <w:b w:val="false"/>
                <w:color w:val="000000"/>
                <w:sz w:val="13"/>
              </w:rPr>
              <w:t>(e)</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Net income attributable to noncontrolling interest</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Income from Operations</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7,061 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7,144 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17,602 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6,355 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results related to start-up operations. This amount excludes rent and depreciation and amortization expense related to such operations.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24"/>
        <w:gridCol w:w="2729"/>
        <w:gridCol w:w="38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4"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38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Non-capitalizable costs associated with acquisitions, credit allowances, and write offs for amounts in dispute with the prior owners of certain acquired operations.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During the nine months ended September 30, 2023, an affiliate of the Company placed its memory care units into transition and is actively seeking to sublease the units to an unrelated third party. The amount above represents the net operating impact attributable to the units in transition. The amounts reported exclude rent and depreciation and amortization expense related to such operations and include legal settlement costs associated with one of the entities transitioned to Ensign. </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During January 2022, affiliates of the Company entered into Transfer Agreements with affiliates of Ensign, providing for the transfer of the operations of certain senior living communities (the “Transaction”) from affiliates of the Company to affiliates of Ensign. The closing of the Transaction was completed in two phases with the transfer of two operations on March 1, 2022 and the remainder transferred on April 1, 2022. The amount above represents the net impact on revenue and cost of service attributable to all of the transferred entities. The amounts reported exclude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Represents unusual or non-recurring charges for legal services, implementation costs, integration costs, and consulting fees in general and administrative and cost of services expenses. The amounts reported for the nine months ended September 30, 2022 include certain costs identified as redundant or non-recurring incurred by the Company for services provided by Ensign under the Transition Services Agreement, and were included in general and administrative expense.</w:t>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7. ACQUISITIONS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focused on acquiring operations that are complementary to the Company’s current businesses, accretive to the Company’s business or otherwise advance the Company’s strategy. The results of all the Company’s independent operating subsidiaries are included in the Interim Financial Statements subsequent to the date of acquisition. Acquisitions are accounted for using the acquisition method of accounting.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2023 Acquisitions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 Company expanded its operations with the addition of three home health agencies, three hospice agencies, two home care agencies, and two senior living communities. In connection with the addition of the two senior living communities, the Company entered into a new long-term “triple-net” lease. A subsidiary of the Company entered into a separate operations transfer agreement with the prior operator of each acquired operation as part of each transaction.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fair value of assets for two home health agencies, three hospice agencies, and two home care agencies acquired were mostly concentrated in goodwill and intangible assets and as such, these transactions were classified as business combinations in accordance with ASC Topic 805,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 xml:space="preserve">(“ASC 805”). The purchase price for the business combinations was $11,662, which preliminarily consisted of of goodwill of $6,635, indefinite-lived intangible assets of $3,895 related to Medicare and Medicaid licenses, equipment and other assets of $1,027 related to accounts receivable, and other indefinite-lived intangible assets of $186, less assumed liabilities of $81. The Company anticipates that the total goodwill recognized will be fully deductible for tax purposes.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One home health agency acquired was a Medicare license and is considered an asset acquisition. The fair value of the home health license acquired was $210 and was recorded in indefinite-lived intangible assets.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acquisition costs that were expensed related to the business combinations during the nine months ended September 30,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2022 Acquisitions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2022, the Company expanded its operations with the addition of two home health and four hospice agencies as well as one senior living community. A subsidiary of the Company entered into a separate operations transfer agreement with the prior operator of each acquired operation as part of each transaction.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assets for home health acquisitions was mostly concentrated in goodwill and intangible assets and as such, these transactions were classified as business combinations in accordance with ASC 805. The purchase price for the business combinations was $9,680, which consisted of equipment and other assets of $188, goodwill of $4,925, indefinite-lived intangible assets of $4,714 related to Medicare and Medicaid licenses, and other intangible assets of $40, net of assumed liabilities of $187. The Company anticipates that the total goodwill recognized will be fully deductible for tax purposes. There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were no material acquisition costs that were expensed related to the business combinations during the nine months ended September 30, 2022.</w:t>
      </w:r>
    </w:p>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Subsequent Events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 2023, the Company closed on an acquisition of one hospice agency in California. On November 1, 2023, the Company closed on an acquisition of two hospice agencies, one in Texas and one in Oklahoma. The total purchase price of the three hospice agencies was $6,600. As of the date of this report, the preliminary allocation of the purchase price for the acquisitions acquired subsequent to September 30, 2023 were not completed as necessary valuation information was not yet available. As such, the determination whether these acquisitions should be classified as business combinations or asset acquisitions under ASC 805 will be determined upon completion of the allocation of the purchase price.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60" w:after="283"/>
        <w:jc w:val="left"/>
        <w:rPr>
          <w:rFonts w:ascii="Times New Roman;sans-serif" w:hAnsi="Times New Roman;sans-serif"/>
          <w:b/>
          <w:color w:val="000000"/>
          <w:sz w:val="20"/>
        </w:rPr>
      </w:pPr>
      <w:r>
        <w:rPr>
          <w:rFonts w:ascii="Times New Roman;sans-serif" w:hAnsi="Times New Roman;sans-serif"/>
          <w:b/>
          <w:color w:val="000000"/>
          <w:sz w:val="20"/>
        </w:rPr>
        <w:t>8. PROPERTY AND EQUIPMENT—NET</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 of the following:</w:t>
      </w:r>
    </w:p>
    <w:p>
      <w:pPr>
        <w:pStyle w:val="TextBody"/>
        <w:bidi w:val="0"/>
        <w:spacing w:before="0" w:after="0"/>
        <w:ind w:left="0" w:right="0" w:firstLine="720"/>
        <w:jc w:val="both"/>
        <w:rPr/>
      </w:pPr>
      <w:r>
        <w:rPr/>
      </w:r>
    </w:p>
    <w:tbl>
      <w:tblPr>
        <w:tblW w:w="6550" w:type="dxa"/>
        <w:jc w:val="left"/>
        <w:tblInd w:w="0" w:type="dxa"/>
        <w:tblLayout w:type="fixed"/>
        <w:tblCellMar>
          <w:top w:w="28" w:type="dxa"/>
          <w:left w:w="28" w:type="dxa"/>
          <w:bottom w:w="28" w:type="dxa"/>
          <w:right w:w="28" w:type="dxa"/>
        </w:tblCellMar>
      </w:tblPr>
      <w:tblGrid>
        <w:gridCol w:w="972"/>
        <w:gridCol w:w="852"/>
        <w:gridCol w:w="860"/>
        <w:gridCol w:w="358"/>
        <w:gridCol w:w="1226"/>
        <w:gridCol w:w="185"/>
        <w:gridCol w:w="109"/>
        <w:gridCol w:w="109"/>
        <w:gridCol w:w="109"/>
        <w:gridCol w:w="344"/>
        <w:gridCol w:w="1175"/>
        <w:gridCol w:w="251"/>
      </w:tblGrid>
      <w:tr>
        <w:trPr/>
        <w:tc>
          <w:tcPr>
            <w:tcW w:w="97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52,483 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(20,807)</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27,983 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26,621 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$1,321 and $3,807 for the three and nine months ended September 30, 2023, respectively, and $1,244 and $3,640 for the three and nine months ended September 30, 2022,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certain assets at fair value on a non-recurring basis, including long-lived assets, which are evaluated for impairment. Long-lived assets include assets such as property and equipment, operating lease assets and certain intangible assets. The inputs used to determine the fair value of long-lived assets in the impairment analysis are considered Level 3 measurements due to their subjective nature. Management has evaluated its long-lived assets and determined there was no impairment recorded during the three and nine months ended September 30, 2023 and 2022.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9. GOODWILL AND OTHER INDEFINITE-LIVED INTANGIBLE ASSETS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activity in goodwill by segment for the nine months ended September 30, 2023:</w:t>
      </w:r>
    </w:p>
    <w:p>
      <w:pPr>
        <w:pStyle w:val="TextBody"/>
        <w:bidi w:val="0"/>
        <w:spacing w:before="0" w:after="0"/>
        <w:ind w:left="0" w:right="0" w:firstLine="720"/>
        <w:jc w:val="both"/>
        <w:rPr/>
      </w:pPr>
      <w:r>
        <w:rPr/>
      </w:r>
    </w:p>
    <w:tbl>
      <w:tblPr>
        <w:tblW w:w="8564" w:type="dxa"/>
        <w:jc w:val="left"/>
        <w:tblInd w:w="0" w:type="dxa"/>
        <w:tblLayout w:type="fixed"/>
        <w:tblCellMar>
          <w:top w:w="28" w:type="dxa"/>
          <w:left w:w="28" w:type="dxa"/>
          <w:bottom w:w="28" w:type="dxa"/>
          <w:right w:w="28" w:type="dxa"/>
        </w:tblCellMar>
      </w:tblPr>
      <w:tblGrid>
        <w:gridCol w:w="630"/>
        <w:gridCol w:w="553"/>
        <w:gridCol w:w="557"/>
        <w:gridCol w:w="620"/>
        <w:gridCol w:w="2120"/>
        <w:gridCol w:w="320"/>
        <w:gridCol w:w="109"/>
        <w:gridCol w:w="109"/>
        <w:gridCol w:w="109"/>
        <w:gridCol w:w="456"/>
        <w:gridCol w:w="1333"/>
        <w:gridCol w:w="235"/>
        <w:gridCol w:w="109"/>
        <w:gridCol w:w="109"/>
        <w:gridCol w:w="109"/>
        <w:gridCol w:w="211"/>
        <w:gridCol w:w="721"/>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75,855 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2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82,490 </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indefinite-lived intangible assets consist of the following:</w:t>
      </w:r>
    </w:p>
    <w:p>
      <w:pPr>
        <w:pStyle w:val="TextBody"/>
        <w:bidi w:val="0"/>
        <w:spacing w:before="0" w:after="0"/>
        <w:ind w:left="0" w:right="0" w:firstLine="720"/>
        <w:jc w:val="both"/>
        <w:rPr/>
      </w:pPr>
      <w:r>
        <w:rPr/>
      </w:r>
    </w:p>
    <w:tbl>
      <w:tblPr>
        <w:tblW w:w="6611" w:type="dxa"/>
        <w:jc w:val="left"/>
        <w:tblInd w:w="0" w:type="dxa"/>
        <w:tblLayout w:type="fixed"/>
        <w:tblCellMar>
          <w:top w:w="28" w:type="dxa"/>
          <w:left w:w="28" w:type="dxa"/>
          <w:bottom w:w="28" w:type="dxa"/>
          <w:right w:w="28" w:type="dxa"/>
        </w:tblCellMar>
      </w:tblPr>
      <w:tblGrid>
        <w:gridCol w:w="993"/>
        <w:gridCol w:w="872"/>
        <w:gridCol w:w="880"/>
        <w:gridCol w:w="358"/>
        <w:gridCol w:w="1226"/>
        <w:gridCol w:w="185"/>
        <w:gridCol w:w="109"/>
        <w:gridCol w:w="109"/>
        <w:gridCol w:w="109"/>
        <w:gridCol w:w="344"/>
        <w:gridCol w:w="1175"/>
        <w:gridCol w:w="251"/>
      </w:tblGrid>
      <w:tr>
        <w:trPr/>
        <w:tc>
          <w:tcPr>
            <w:tcW w:w="9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 and Medicaid licenses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61,337 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57,232 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62,908 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58,617 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goodwill or intangible asset impairments were recorded during the three and nine months ended September 30, 2023 and 2022.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10. OTHER ACCRUED LIABILITIES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 consist of the following:</w:t>
      </w:r>
    </w:p>
    <w:p>
      <w:pPr>
        <w:pStyle w:val="TextBody"/>
        <w:bidi w:val="0"/>
        <w:spacing w:before="0" w:after="0"/>
        <w:ind w:left="0" w:right="0" w:firstLine="720"/>
        <w:jc w:val="both"/>
        <w:rPr/>
      </w:pPr>
      <w:r>
        <w:rPr/>
      </w:r>
    </w:p>
    <w:tbl>
      <w:tblPr>
        <w:tblW w:w="6656" w:type="dxa"/>
        <w:jc w:val="left"/>
        <w:tblInd w:w="0" w:type="dxa"/>
        <w:tblLayout w:type="fixed"/>
        <w:tblCellMar>
          <w:top w:w="28" w:type="dxa"/>
          <w:left w:w="28" w:type="dxa"/>
          <w:bottom w:w="28" w:type="dxa"/>
          <w:right w:w="28" w:type="dxa"/>
        </w:tblCellMar>
      </w:tblPr>
      <w:tblGrid>
        <w:gridCol w:w="1009"/>
        <w:gridCol w:w="887"/>
        <w:gridCol w:w="894"/>
        <w:gridCol w:w="358"/>
        <w:gridCol w:w="1226"/>
        <w:gridCol w:w="185"/>
        <w:gridCol w:w="109"/>
        <w:gridCol w:w="109"/>
        <w:gridCol w:w="109"/>
        <w:gridCol w:w="344"/>
        <w:gridCol w:w="1175"/>
        <w:gridCol w:w="251"/>
      </w:tblGrid>
      <w:tr>
        <w:trPr/>
        <w:tc>
          <w:tcPr>
            <w:tcW w:w="10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Refunds payable</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 deposits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taxes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state relief funds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self-insurance liabilities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15,577 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Refunds payable includes payables related to overpayments, duplicate payments and credit balances from various payor sources. Deferred revenue occurs when the Company receives payments in advance of services provided. Resident deposits include refundable deposits to residents.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11. DEBT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consists of the following:</w:t>
      </w:r>
    </w:p>
    <w:tbl>
      <w:tblPr>
        <w:tblW w:w="7211" w:type="dxa"/>
        <w:jc w:val="left"/>
        <w:tblInd w:w="0" w:type="dxa"/>
        <w:tblLayout w:type="fixed"/>
        <w:tblCellMar>
          <w:top w:w="28" w:type="dxa"/>
          <w:left w:w="28" w:type="dxa"/>
          <w:bottom w:w="28" w:type="dxa"/>
          <w:right w:w="28" w:type="dxa"/>
        </w:tblCellMar>
      </w:tblPr>
      <w:tblGrid>
        <w:gridCol w:w="1212"/>
        <w:gridCol w:w="1063"/>
        <w:gridCol w:w="1070"/>
        <w:gridCol w:w="358"/>
        <w:gridCol w:w="1226"/>
        <w:gridCol w:w="185"/>
        <w:gridCol w:w="109"/>
        <w:gridCol w:w="109"/>
        <w:gridCol w:w="109"/>
        <w:gridCol w:w="344"/>
        <w:gridCol w:w="1175"/>
        <w:gridCol w:w="251"/>
      </w:tblGrid>
      <w:tr>
        <w:trPr/>
        <w:tc>
          <w:tcPr>
            <w:tcW w:w="121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unamortized debt issuance costs</w:t>
            </w:r>
            <w:r>
              <w:rPr>
                <w:rFonts w:ascii="Times New Roman;sans-serif" w:hAnsi="Times New Roman;sans-serif"/>
                <w:b w:val="false"/>
                <w:color w:val="000000"/>
                <w:sz w:val="13"/>
              </w:rPr>
              <w:t>(a)</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53,783 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62,892 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Amortization expense for debt issuance costs was $130 and $391 for the three and nine months ended September 30, 2023, respectively, and $130 and $390 for the three and nine months ended September 30, 2022, respectively, and is recorded in interest expense, net on the Condensed Consolidated Statements of Income.</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23, 2021, Pennant entered into an amendment to its existing credit agreement (as amended, the “Credit Agreement”), which provides for an increased revolving credit facility with a syndicate of banks with a borrowing capacity of $150,000 (the “Revolving Credit Facility”). On June 12, 2023, Pennant entered into a second amendment to the Credit Agreement that modified the reference rate from LIBOR to Standard Overnight Financing Rate (“SOFR”). The interest rates applicable to loans under the Revolving Credit Facility are, at the Company’s election, either (i) Adjusted Term SOFR (as defined in the Credit Agreement) plus a margin ranging from 2.25% to 3.25% per annum or (ii) Base Rate plus a margin ranging from 1.25% to 2.25% per annum, in each case, based on the ratio of Consolidated Total Net Debt to Consolidated EBITDA (each, as defined in the Credit Agreement). In addition, Pennant pays a commitment fee on the undrawn portion of the commitments under the Revolving Credit Facility which ranges from 0.35% to 0.50% per annum, depending on the Consolidated Total Net Debt to Consolidated EBITDA ratio of the Company and its subsidiaries. The Company is not required to repay any loans under the Credit Agreement prior to maturity in 2026, other than to the extent the outstanding borrowings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exceed the aggregate commitments under the Credit Agreement. As of September 30, 2023, the Company’s weighted average interest rate on its outstanding debt was 8.17%. As of September 30, 2023, the Company had available borrowing on the Revolving Credit Facility of $90,814, which is net of outstanding letters of credit of $4,186.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fair value of the Revolving Credit Facility approximates carrying value, due to the short-term natur</w:t>
      </w:r>
      <w:r>
        <w:rPr>
          <w:rFonts w:ascii="Times New Roman;sans-serif" w:hAnsi="Times New Roman;sans-serif"/>
          <w:b w:val="false"/>
          <w:color w:val="000000"/>
          <w:sz w:val="20"/>
          <w:shd w:fill="FFFFFF" w:val="clear"/>
        </w:rPr>
        <w:t xml:space="preserve">e and variable interest rates. </w:t>
      </w:r>
      <w:r>
        <w:rPr>
          <w:rFonts w:ascii="Times New Roman;sans-serif" w:hAnsi="Times New Roman;sans-serif"/>
          <w:b w:val="false"/>
          <w:color w:val="000000"/>
          <w:sz w:val="20"/>
        </w:rPr>
        <w:t>The fair value of this debt is categorized within Level 2 of the fair value hierarchy based on the observable market borrowing rates.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is guaranteed, jointly and severally, by certain of the Company’s independent operating subsidiaries, and is secured by a pledge of stock of the Company's material independent operating subsidiaries as well as a first lien on substantially all of each material operating subsidiary's personal property. The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September 30, 2023, the Company was compliant with all such financial covenants.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12. OPTIONS AND AWARDS</w:t>
      </w:r>
    </w:p>
    <w:p>
      <w:pPr>
        <w:pStyle w:val="TextBody"/>
        <w:bidi w:val="0"/>
        <w:spacing w:lineRule="auto" w:line="288" w:before="0" w:after="0"/>
        <w:ind w:left="0" w:right="0" w:firstLine="720"/>
        <w:jc w:val="both"/>
        <w:rPr/>
      </w:pPr>
      <w:r>
        <w:rPr>
          <w:rFonts w:ascii="Times New Roman;sans-serif" w:hAnsi="Times New Roman;sans-serif"/>
          <w:b w:val="false"/>
          <w:color w:val="212529"/>
          <w:sz w:val="20"/>
        </w:rPr>
        <w:t xml:space="preserve">Outstanding options and restricted stock awards of the Company were granted under the 2019 Omnibus Incentive Plan (the </w:t>
      </w:r>
      <w:r>
        <w:rPr>
          <w:color w:val="000000"/>
        </w:rPr>
        <w:t>“</w:t>
      </w:r>
      <w:r>
        <w:rPr>
          <w:rFonts w:ascii="Times New Roman;sans-serif" w:hAnsi="Times New Roman;sans-serif"/>
          <w:b w:val="false"/>
          <w:color w:val="212529"/>
          <w:sz w:val="20"/>
        </w:rPr>
        <w:t>OIP</w:t>
      </w:r>
      <w:r>
        <w:rPr>
          <w:color w:val="000000"/>
        </w:rPr>
        <w:t>”</w:t>
      </w:r>
      <w:r>
        <w:rPr>
          <w:rFonts w:ascii="Times New Roman;sans-serif" w:hAnsi="Times New Roman;sans-serif"/>
          <w:b w:val="false"/>
          <w:color w:val="212529"/>
          <w:sz w:val="20"/>
        </w:rPr>
        <w:t xml:space="preserve">) and Long-Term Incentive Plan (the </w:t>
      </w:r>
      <w:r>
        <w:rPr>
          <w:color w:val="000000"/>
        </w:rPr>
        <w:t>“</w:t>
      </w:r>
      <w:r>
        <w:rPr>
          <w:rFonts w:ascii="Times New Roman;sans-serif" w:hAnsi="Times New Roman;sans-serif"/>
          <w:b w:val="false"/>
          <w:color w:val="212529"/>
          <w:sz w:val="20"/>
        </w:rPr>
        <w:t>LTIP</w:t>
      </w:r>
      <w:r>
        <w:rPr>
          <w:color w:val="000000"/>
        </w:rPr>
        <w:t>”</w:t>
      </w:r>
      <w:r>
        <w:rPr>
          <w:rFonts w:ascii="Times New Roman;sans-serif" w:hAnsi="Times New Roman;sans-serif"/>
          <w:b w:val="false"/>
          <w:color w:val="000000"/>
          <w:sz w:val="20"/>
        </w:rPr>
        <w:t>, and together with the OIP, the “Pennant Plans”</w:t>
      </w:r>
      <w:r>
        <w:rPr>
          <w:rFonts w:ascii="Times New Roman;sans-serif" w:hAnsi="Times New Roman;sans-serif"/>
          <w:b w:val="false"/>
          <w:color w:val="212529"/>
          <w:sz w:val="2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Pennant Plans, stock-based payment awards, including employee stock options, restricted stock awards (“RSA”), and restricted stock units (“RSU” and together with RSA, “Restricted Stock”) are issued based on estimated fair value. The following disclosures represent share-based compensation expense relating to employees of the Company’s subsidiaries and non-employee directors who have awards under the Pennant Plans.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 for all Plans for the three and nine months ended September 30, 2023 and 2022 was: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645"/>
        <w:gridCol w:w="1431"/>
        <w:gridCol w:w="1438"/>
        <w:gridCol w:w="252"/>
        <w:gridCol w:w="737"/>
        <w:gridCol w:w="130"/>
        <w:gridCol w:w="130"/>
        <w:gridCol w:w="130"/>
        <w:gridCol w:w="130"/>
        <w:gridCol w:w="252"/>
        <w:gridCol w:w="799"/>
        <w:gridCol w:w="130"/>
        <w:gridCol w:w="109"/>
        <w:gridCol w:w="109"/>
        <w:gridCol w:w="109"/>
        <w:gridCol w:w="250"/>
        <w:gridCol w:w="733"/>
        <w:gridCol w:w="129"/>
        <w:gridCol w:w="129"/>
        <w:gridCol w:w="129"/>
        <w:gridCol w:w="129"/>
        <w:gridCol w:w="250"/>
        <w:gridCol w:w="733"/>
        <w:gridCol w:w="192"/>
      </w:tblGrid>
      <w:tr>
        <w:trPr/>
        <w:tc>
          <w:tcPr>
            <w:tcW w:w="1645"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related to stock options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related to Restricted Stock</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related to Restricted Stock to non-employee directors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4,011 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future periods, the Company estimates it will recognize the following share-based compensation expense for unvested stock options and unvested Restricted Stock as of September 30, 2023: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477"/>
        <w:gridCol w:w="1235"/>
        <w:gridCol w:w="1241"/>
        <w:gridCol w:w="588"/>
        <w:gridCol w:w="2013"/>
        <w:gridCol w:w="308"/>
        <w:gridCol w:w="109"/>
        <w:gridCol w:w="109"/>
        <w:gridCol w:w="109"/>
        <w:gridCol w:w="882"/>
        <w:gridCol w:w="882"/>
        <w:gridCol w:w="1252"/>
      </w:tblGrid>
      <w:tr>
        <w:trPr/>
        <w:tc>
          <w:tcPr>
            <w:tcW w:w="147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Unrecognized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Average Recognition Period </w:t>
              <w:br/>
              <w:t>(in years)</w:t>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Stock Options</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12,492 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w:t>
            </w:r>
          </w:p>
        </w:tc>
        <w:tc>
          <w:tcPr>
            <w:tcW w:w="2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unrecognized share-based compensation expense</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15,065 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25, 2022 the Company modified certain outstanding RSUs granted to the former chief executive officer of the Company in connection with the Spin-off. All the RSUs had an original vesting date of October 1, 2022. The modification resulted in the forfeiture of 250 outstanding RSUs and accelerated the vesting on the remaining 943 RSUs from October 1, 2022 to July 31, 2022. The modification of the award resulted in a net reduction of share-based compensation expense related to the awards of $3,812 recorded in general and administrative expense in the third quarter of 2022.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Pennant Plans, options granted to employees of the subsidiaries of Pennant generally vest over five years at 20% per year on the anniversary of the grant date. Options expire ten years after the date of grant.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Black-Scholes option-pricing model to recognize the value of stock-based compensation expense for share-based payment awards under the Plans. Determining the appropriate fair-value model and calculating the fair value of stock-based awards at the grant date requires considerable judgment, including estimating stock price volatility and expected option life. The Company develops estimates based on historical data and market information, which can change significantly over time.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each option is estimated on the grant date using a Black-Scholes option-pricing model with the following weighted average assumptions for stock options granted as of September 30:</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79"/>
        <w:gridCol w:w="246"/>
        <w:gridCol w:w="247"/>
        <w:gridCol w:w="109"/>
        <w:gridCol w:w="109"/>
        <w:gridCol w:w="109"/>
        <w:gridCol w:w="341"/>
        <w:gridCol w:w="341"/>
        <w:gridCol w:w="343"/>
        <w:gridCol w:w="109"/>
        <w:gridCol w:w="109"/>
        <w:gridCol w:w="109"/>
        <w:gridCol w:w="283"/>
        <w:gridCol w:w="283"/>
        <w:gridCol w:w="708"/>
        <w:gridCol w:w="109"/>
        <w:gridCol w:w="109"/>
        <w:gridCol w:w="109"/>
        <w:gridCol w:w="351"/>
        <w:gridCol w:w="351"/>
        <w:gridCol w:w="352"/>
        <w:gridCol w:w="109"/>
        <w:gridCol w:w="109"/>
        <w:gridCol w:w="109"/>
        <w:gridCol w:w="335"/>
        <w:gridCol w:w="278"/>
        <w:gridCol w:w="693"/>
        <w:gridCol w:w="109"/>
        <w:gridCol w:w="109"/>
        <w:gridCol w:w="109"/>
        <w:gridCol w:w="240"/>
        <w:gridCol w:w="227"/>
        <w:gridCol w:w="566"/>
        <w:gridCol w:w="109"/>
        <w:gridCol w:w="109"/>
        <w:gridCol w:w="109"/>
        <w:gridCol w:w="425"/>
        <w:gridCol w:w="1031"/>
        <w:gridCol w:w="323"/>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Options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Risk-Free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Expected Life</w:t>
            </w:r>
            <w:r>
              <w:rPr>
                <w:rFonts w:ascii="Times New Roman;sans-serif" w:hAnsi="Times New Roman;sans-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Expected Volatility</w:t>
            </w:r>
            <w:r>
              <w:rPr>
                <w:rFonts w:ascii="Times New Roman;sans-serif" w:hAnsi="Times New Roman;sans-serif"/>
                <w:b/>
                <w:color w:val="000000"/>
                <w:sz w:val="13"/>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Dividend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Fair Value of Options</w:t>
            </w:r>
          </w:p>
        </w:tc>
      </w:tr>
      <w:tr>
        <w:trPr/>
        <w:tc>
          <w:tcPr>
            <w:tcW w:w="7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9"/>
        <w:gridCol w:w="2785"/>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Under the midpoint method, the expected option life is the midpoint between the contractual option life and the average vesting period for the options being granted. This resulted in an expected option life of 6.5 years for the options granted.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Because the Company’s equity shares have been traded for a relatively short period of time, expected volatility assumption was based on the volatility of related industry stocks.</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employee stock option activity during the nine months ended September 30, 2023:</w:t>
      </w:r>
    </w:p>
    <w:p>
      <w:pPr>
        <w:pStyle w:val="TextBody"/>
        <w:bidi w:val="0"/>
        <w:spacing w:before="0" w:after="0"/>
        <w:ind w:left="0" w:right="0" w:firstLine="720"/>
        <w:jc w:val="left"/>
        <w:rPr/>
      </w:pPr>
      <w:r>
        <w:rPr/>
      </w:r>
    </w:p>
    <w:tbl>
      <w:tblPr>
        <w:tblW w:w="7490" w:type="dxa"/>
        <w:jc w:val="left"/>
        <w:tblInd w:w="0" w:type="dxa"/>
        <w:tblLayout w:type="fixed"/>
        <w:tblCellMar>
          <w:top w:w="28" w:type="dxa"/>
          <w:left w:w="28" w:type="dxa"/>
          <w:bottom w:w="28" w:type="dxa"/>
          <w:right w:w="28" w:type="dxa"/>
        </w:tblCellMar>
      </w:tblPr>
      <w:tblGrid>
        <w:gridCol w:w="646"/>
        <w:gridCol w:w="568"/>
        <w:gridCol w:w="571"/>
        <w:gridCol w:w="360"/>
        <w:gridCol w:w="360"/>
        <w:gridCol w:w="361"/>
        <w:gridCol w:w="109"/>
        <w:gridCol w:w="109"/>
        <w:gridCol w:w="109"/>
        <w:gridCol w:w="260"/>
        <w:gridCol w:w="760"/>
        <w:gridCol w:w="134"/>
        <w:gridCol w:w="109"/>
        <w:gridCol w:w="109"/>
        <w:gridCol w:w="109"/>
        <w:gridCol w:w="429"/>
        <w:gridCol w:w="429"/>
        <w:gridCol w:w="431"/>
        <w:gridCol w:w="109"/>
        <w:gridCol w:w="109"/>
        <w:gridCol w:w="109"/>
        <w:gridCol w:w="258"/>
        <w:gridCol w:w="754"/>
        <w:gridCol w:w="188"/>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Number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Options</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Number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Options 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Weighted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Average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Exercise Price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of Options</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Vested</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7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2,930 </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Restricted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the status of Pennant’s non-vested Restricted Stock, and changes during the nine months ended September 30, 2023, is presented below: </w:t>
      </w:r>
    </w:p>
    <w:p>
      <w:pPr>
        <w:pStyle w:val="TextBody"/>
        <w:bidi w:val="0"/>
        <w:spacing w:before="0" w:after="0"/>
        <w:ind w:left="0" w:right="0" w:firstLine="720"/>
        <w:jc w:val="both"/>
        <w:rPr/>
      </w:pPr>
      <w:r>
        <w:rPr/>
      </w:r>
    </w:p>
    <w:tbl>
      <w:tblPr>
        <w:tblW w:w="7765" w:type="dxa"/>
        <w:jc w:val="left"/>
        <w:tblInd w:w="0" w:type="dxa"/>
        <w:tblLayout w:type="fixed"/>
        <w:tblCellMar>
          <w:top w:w="28" w:type="dxa"/>
          <w:left w:w="28" w:type="dxa"/>
          <w:bottom w:w="28" w:type="dxa"/>
          <w:right w:w="28" w:type="dxa"/>
        </w:tblCellMar>
      </w:tblPr>
      <w:tblGrid>
        <w:gridCol w:w="646"/>
        <w:gridCol w:w="568"/>
        <w:gridCol w:w="571"/>
        <w:gridCol w:w="774"/>
        <w:gridCol w:w="774"/>
        <w:gridCol w:w="776"/>
        <w:gridCol w:w="109"/>
        <w:gridCol w:w="109"/>
        <w:gridCol w:w="109"/>
        <w:gridCol w:w="716"/>
        <w:gridCol w:w="2091"/>
        <w:gridCol w:w="522"/>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Non-Vested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7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15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13. LEASES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independent operating subsidiaries lease 51 senior living communities and its administrative offices under non-cancelable operating leases, most of which have initial lease terms ranging from 15 to 25 years. Most of these leases contain renewal options, most involve rent increases and none contain purchase options. The lease term excludes lease renewals because the renewal rents are not at a bargain, there are no economic penalties for the Company to renew the lease, and it is not reasonably certain that the Company will exercise the extension options. The Company’s independent operating subsidiaries leased 29 communities from subsidiaries of Ensign (the “Ensign Leases”) under a master lease arrangement as of both September 30, 2023 and September 30, 2022. Each of the leases have an initial term of between 14 and 20 years from the lease commencement date. The total amount of rent expense included in rent - cost of services paid to subsidiaries of Ensign was $3,339 and $10,088 for the three and nine months ended September 30, 2023, respectively, and $3,760 and $10,250 for the three and nine months ended September 30, 2022, respectively. In addition to rent, each of the operating companies are required to pay the following: (1) all impositions and taxes levied on or with respect to the leased properties (other than taxes on the income of the lessor); (2) all utilities and other services necessary or appropriate for the leased properties and the business conducted on the leased properties; (3) all insurance required in connection with the leased properties and the business conducted on the leased properties; (4) all community maintenance and repair costs; and (5) all fees in connection with any licenses or authorizations necessary or appropriate for the leased properties and the business conducted on the leased properties.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Fourteen of the Company’s affiliated senior living communities, excluding the communities that are operated under the Ensign Leases (as defined herein), are operated under three separate master lease arrangements. Under these master leases, a breach at a single community could subject one or more of the other communities covered by the same master lease to the same default risk. Failure to comply with Medicare and Medicaid provider requirements is a default under several of the Company’s leases and master leases. With an indivisible lease, it is difficult to restructure the composition of the portfolio or economic terms of the master lease without the consent of the landlord.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further described in Note 3, on January 27, 2022, affiliates of the Company entered into Transfer Agreements with affiliates of Ensign, providing for the transfer of the operations of five senior living communities. The closing of the Transaction was completed in two phases with the transfer of two operations on March 1, 2022 and the remainder transferred on April 1, 2022. As a result of the lease terminations, the Company reduced both the right of use assets and the lease liabilities by $42,515. Four of the terminated leases were part of a master lease agreement. As a result of the transferred leases being removed from the master lease arrangement, the remaining lease components under the master lease arrangement were modified which resulted in a net increase to the lease liability and ROU asset balance of $6,522 for the nine months ended September 30, 2022.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July 7, 2023 the Company modified one of its master leases, which included nine locations, with an unrelated party to extend the term of the master lease from September 30, 2035 to March 31, 2038. As a result of the modification, the lease components under the master lease arrangement were modified which resulted in a net increase to the lease liability and ROU asset balance of $5,195 for the three and nine months ended September 30,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operating lease cost, are as follows:</w:t>
      </w:r>
    </w:p>
    <w:p>
      <w:pPr>
        <w:pStyle w:val="TextBody"/>
        <w:bidi w:val="0"/>
        <w:spacing w:before="0" w:after="0"/>
        <w:ind w:left="0" w:right="0" w:firstLine="720"/>
        <w:jc w:val="left"/>
        <w:rPr/>
      </w:pPr>
      <w:r>
        <w:rPr/>
      </w:r>
    </w:p>
    <w:tbl>
      <w:tblPr>
        <w:tblW w:w="9497" w:type="dxa"/>
        <w:jc w:val="left"/>
        <w:tblInd w:w="0" w:type="dxa"/>
        <w:tblLayout w:type="fixed"/>
        <w:tblCellMar>
          <w:top w:w="28" w:type="dxa"/>
          <w:left w:w="28" w:type="dxa"/>
          <w:bottom w:w="28" w:type="dxa"/>
          <w:right w:w="28" w:type="dxa"/>
        </w:tblCellMar>
      </w:tblPr>
      <w:tblGrid>
        <w:gridCol w:w="1092"/>
        <w:gridCol w:w="958"/>
        <w:gridCol w:w="964"/>
        <w:gridCol w:w="285"/>
        <w:gridCol w:w="976"/>
        <w:gridCol w:w="147"/>
        <w:gridCol w:w="147"/>
        <w:gridCol w:w="147"/>
        <w:gridCol w:w="147"/>
        <w:gridCol w:w="285"/>
        <w:gridCol w:w="834"/>
        <w:gridCol w:w="147"/>
        <w:gridCol w:w="109"/>
        <w:gridCol w:w="109"/>
        <w:gridCol w:w="109"/>
        <w:gridCol w:w="261"/>
        <w:gridCol w:w="894"/>
        <w:gridCol w:w="135"/>
        <w:gridCol w:w="135"/>
        <w:gridCol w:w="135"/>
        <w:gridCol w:w="135"/>
        <w:gridCol w:w="261"/>
        <w:gridCol w:w="894"/>
        <w:gridCol w:w="191"/>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 Costs:</w:t>
            </w:r>
          </w:p>
        </w:tc>
        <w:tc>
          <w:tcPr>
            <w:tcW w:w="1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Community Rent—cost of services</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Rent—cost of services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Rent—cost of services</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10,006 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28,520 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Variable lease cost </w:t>
            </w:r>
            <w:r>
              <w:rPr>
                <w:rFonts w:ascii="Times New Roman;sans-serif" w:hAnsi="Times New Roman;sans-serif"/>
                <w:b w:val="false"/>
                <w:color w:val="000000"/>
                <w:sz w:val="13"/>
              </w:rPr>
              <w:t>(a)</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Represents variable lease cost for operating leases, which costs include property taxes and insurance, common area maintenance, and consumer price index increases, incurred as part of the Company’s triple net lease, and which is included in cost of services for the three and nine months ended September 30, 2023 and 2022.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lease maturity analysis for all leases as of September 30, 2023, for the years ended December 31:</w:t>
      </w:r>
    </w:p>
    <w:p>
      <w:pPr>
        <w:pStyle w:val="TextBody"/>
        <w:bidi w:val="0"/>
        <w:spacing w:before="0" w:after="0"/>
        <w:ind w:left="0" w:right="0" w:firstLine="720"/>
        <w:jc w:val="both"/>
        <w:rPr/>
      </w:pPr>
      <w:r>
        <w:rPr/>
      </w:r>
    </w:p>
    <w:tbl>
      <w:tblPr>
        <w:tblW w:w="4296" w:type="dxa"/>
        <w:jc w:val="left"/>
        <w:tblInd w:w="0" w:type="dxa"/>
        <w:tblLayout w:type="fixed"/>
        <w:tblCellMar>
          <w:top w:w="28" w:type="dxa"/>
          <w:left w:w="28" w:type="dxa"/>
          <w:bottom w:w="28" w:type="dxa"/>
          <w:right w:w="28" w:type="dxa"/>
        </w:tblCellMar>
      </w:tblPr>
      <w:tblGrid>
        <w:gridCol w:w="1125"/>
        <w:gridCol w:w="984"/>
        <w:gridCol w:w="996"/>
        <w:gridCol w:w="211"/>
        <w:gridCol w:w="826"/>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3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total lease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are based on the net present value of the remaining lease payments over the remaining lease term. In determining the present value of lease payments, the Company used its incremental borrowing rate based on the information available at each lease’s commencement date to determine each lease's operating lease liability. As of September 30, 2023, the weighted average remaining lease term is 12.8 years and the weighted average discount rate is 8.1%.</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14.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income tax expense of $1,066 and $1,074 or 19.3% and 17.7% of earnings before income taxes for the three months ended September 30, 2023 and 2022, respectively. The increase in the effective tax rate is primarily due to the modification of certain outstanding RSUs granted in connection with the Spin-off and not having the impact of the Transaction in the current year.</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income tax expense of $3,894 and $241, or 29.3% and 6.3% of earnings before income taxes for the nine months ended September 30, 2023 and 2022, respectively. The increase in the effective tax rate is primarily due to the modification of certain outstanding RSUs granted in connection with the Spin-off and not having the impact of the Transaction in the current year.</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15. COMMITMENTS AND CONTINGENCIES</w:t>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Regulatory Matters - </w:t>
      </w:r>
      <w:r>
        <w:rPr>
          <w:rFonts w:ascii="Times New Roman;sans-serif" w:hAnsi="Times New Roman;sans-serif"/>
          <w:b w:val="false"/>
          <w:color w:val="000000"/>
          <w:sz w:val="20"/>
        </w:rPr>
        <w:t>The Company provides services in complex and highly regulated industries. The Company’s compliance with applicable U.S. federal, state and local laws and regulations governing these industries may be subject to governmental review and adverse findings may result in significant regulatory action, which could include sanctions, damages, fines, penalties (many of which may not be covered by insurance), and even exclusion from government programs. The Company is a party to various regulatory and other governmental audits and investigations in the ordinary course of business and cannot predict the ultimate outcome of any federal or state regulatory survey, audit or investigation. While governmental audits and investigations are the subject of administrative appeals, the appeals process, even if successful, may take several years to resolve and penalties subject to appeal may remain in place during such appeals, which may include suspension, termination, or revocation of participation in governmental programs for the payment of the services the Company provides. The Department of Justice, CMS, or other federal and state enforcement and regulatory agencies may conduct additional investigations related to the Company's businesses. The Company believes it is presently in compliance in all material respects with all applicable laws and regulations.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Cost-Containment Measures - </w:t>
      </w:r>
      <w:r>
        <w:rPr>
          <w:rFonts w:ascii="Times New Roman;sans-serif" w:hAnsi="Times New Roman;sans-serif"/>
          <w:b w:val="false"/>
          <w:color w:val="000000"/>
          <w:sz w:val="20"/>
        </w:rPr>
        <w:t>Government and third-party payors have instituted cost-containment measures designed to limit payments made to providers of healthcare services, may propose future cost-containment measures, and there can be no assurance that future measures designed to limit payments made to providers will not adversely affect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Indemnities - </w:t>
      </w:r>
      <w:r>
        <w:rPr>
          <w:rFonts w:ascii="Times New Roman;sans-serif" w:hAnsi="Times New Roman;sans-serif"/>
          <w:b w:val="false"/>
          <w:color w:val="000000"/>
          <w:sz w:val="20"/>
        </w:rPr>
        <w:t>From time to time, the Company enters into certain types of contracts that contingently require the Company to indemnify parties against third-party claims. These contracts primarily include (i) certain real estate leases, under which the Company may be required to indemnify property owners or prior operators for post-transfer environmental or other liabilities and other claims arising from the Company’s use of the applicable premises, (ii) operations transfer agreements, in which the Company agrees to indemnify past operators of agencies and communities the Company acquires against certain liabilities arising from the transfer of the operation and/or the operation thereof after the transfer, (iii) certain Ensign lending agreements, and (iv) certain agreements with management, directors and employees, under which the subsidiaries of the Company may be required to indemnify such persons for liabilities arising out of their employment relationships. The terms of such obligations vary by contract and, in most instances, a specific or maximum dollar amount is not explicitly stated therein. Generally, amounts under these contracts cannot be reasonably estimated until a specific claim is asserted. Consequently, because no claims have been asserted, no liabilities have been recorded for these obligations on the Company’s Condensed Consolidated Balance Sheets for any of the periods presented.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Litigation - </w:t>
      </w:r>
      <w:r>
        <w:rPr>
          <w:rFonts w:ascii="Times New Roman;sans-serif" w:hAnsi="Times New Roman;sans-serif"/>
          <w:b w:val="false"/>
          <w:color w:val="000000"/>
          <w:sz w:val="20"/>
        </w:rPr>
        <w:t xml:space="preserve">The Company’s businesses involve a significant risk of liability given the age and health of the patients and residents served by its independent operating subsidiaries. The Company, its operating companies, and others in the industry may be subject to a number of claims and lawsuits, including professional liability claims, alleging that services provided have resulted in personal injury, elder abuse, wrongful death or other related claims. Healthcare litigation (including class action litigation) is common and is filed based upon a wide variety of claims and theories, and the Company is routinely subjected to these claims in the ordinary course of business, including potential claims related to patient care and treatment, and professional negligence, as well as employment-related claims. Certain of the states where we conduct business, including California, recently adopted laws that increase the maximum amount of non-economic damages that may be awarded to a successful plaintiff in a claim for professional negligence or malpractice arising from care provided by our independent operating subsidiaries. These changes in applicable law may also increase the cost of obtaining and maintaining professional liability insurance to pay for the defense of, and any liability arising under, such claims. If there were a significant increase in the number of these claims or an increase in amounts owing should plaintiffs be successful in their prosecution of these claims, this could materially adversely affect the Company’s business, financial condition, results of operations and cash flows.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 the defense of these lawsuits may result in significant legal costs, regardless of the outcome, and may result in large settlement amounts or damage awards.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potential lawsuits and claims described above, the Company also is subject to potential lawsuits under the False Claims Act (the “FCA”) and comparable state laws alleging submission of fraudulent claims for services to any governmental healthcare program (such as Medicare) or commercial payor. A violation may provide the basis for exclusion from federally funded healthcare programs. Such exclusions could have a correlative negative impact on the Company’s financial performance. Some states, including California, Arizona and Texas, have enacted similar whistleblower and false claims laws and regulations. In addition, the Deficit Reduction Act of 2005 created incentives for states to enact anti-fraud legislation modeled on the FCA, for which 18 states have qualified, including California and Texas, where we conduct business. As such, the Company could face scrutiny, potential liability and legal expenses and costs based on claims under state false claims acts in markets in which it conducts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Fraud Enforcement and Recovery Act (“FERA”) and its associated rules, healthcare providers face significant penalties for the knowing retention of government overpayments, even if no false claim was involved. Providers have an obligation to proactively exercise “reasonable diligence” to identify overpayments and return those overpayments to CMS within 60 days of “identification” or the date any corresponding cost report is due, whichever is later. Retention of overpayments beyond this period may create liability under the FCA. In addition, FERA protects whistleblowers (including employees, contractors, and agents) from retaliation.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cannot predict or provide any assurance as to the possible outcome of any litigation. If any litigation were to proceed, and the Company and its operating companies are subjected to, alleged to be liable for, or agree to a settlement of, claims or obligations under federal Medicare statutes, the FCA, or similar state and federal statutes and related regulations, the Company’s business, financial condition and results of operations and cash flows could be materially and adversely affected. Among other things, any settlement or litigation could involve the payment of substantial sums to settle any alleged civil violations, and may also include the assumption of specific procedural and financial obligations by the Company or its independent operating subsidiaries going forward under a corporate integrity agreement and/or other arrangement with the government.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Medicare Revenue Recoupments - </w:t>
      </w:r>
      <w:r>
        <w:rPr>
          <w:rFonts w:ascii="Times New Roman;sans-serif" w:hAnsi="Times New Roman;sans-serif"/>
          <w:b w:val="false"/>
          <w:color w:val="000000"/>
          <w:sz w:val="20"/>
        </w:rPr>
        <w:t xml:space="preserve">The Company is subject to probe reviews relating to Medicare services, billings and potential overpayments by Unified Program Integrity Contractors (“UPIC”), Recovery Audit Contractors (“RAC”), Zone Program Integrity Contractors (“ZPIC”), Program Safeguard Contractors (“PSC”), Supplemental Medical Review Contractors (“SMRC”) and Medicaid Integrity Contributors (“MIC”) programs, each of the foregoing collectively referred to as “Reviews.”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nine of the Company’s independent operating subsidiaries had Reviews scheduled, on appeal or in dispute resolution process, both pre- and post-payment. If an operation fails an initial or subsequent Review, the operation could then be subject to extended Review, suspension of payment, or extrapolation of the identified error rate to all billing in the same time period. The Company, from time to time, receives record requests in Reviews which have resulted in claim denials on previously paid claims. The Company has appealed substantially all denials arising from these Reviews using the applicable appeals process. As of September 30, 2023, and through the filing of this Quarterly Report on Form 10-Q, the Company’s independent operating subsidiaries have responded to the Reviews that are currently ongoing, on appeal or in dispute resolution process. The Company cannot predict the ultimate outcome of any regulatory and other governmental Reviews. While such Reviews are the subject of administrative appeals, the appeals process, even if successful, may take several years to resolve. The costs to respond to and defend such Reviews may be significant and an adverse determination in such Reviews may subject the Company to sanctions, damages, extrapolation of damage findings, additional recoupments, fines, other penalties (some of which may not be covered by insurance), and termination from Medicare programs which may, either individually or in the aggregate, have a material adverse effect on the Company's business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June 2021 to May 2022, one hospice provider number was subject to a Medicare payment suspension imposed by a UPIC. The total amounts suspended was $5,105, which represents all Medicare payments due to the provider number during the suspension. As of September 30, 2023, the total amount due from the government payor impacted by the suspension was $1,915 and was recorded in long-term other assets.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2022, the Company received communication that the Medicare payment suspension, for the above-referenced hospice provider number, was terminated and the UPIC’s review was complete. The UPIC reviewed 107 patient records covering a 10-month period to determine whether, in its view, a Medicare overpayment was made. Based on the results of the review, the UPIC initially alleged sampled and extrapolated overpayments of $5,105, and withheld that amount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continued recoupment of Medicare payments. The Company is pursuing its appeal rights through the administrative appeals process, including contesting the methodology used by the UPIC to perform statistical extrapolation. To date the Company has been successful in appealing some of the previously denied claims. The Company received the refund of previously withheld amounts totaling $3,191 and $3,222 for the three and nine months ended September 30, 2023, respectively. The Company continues to work through the appeals process for the remaining denied claims of $1,915 and expects to be successful in those appeals. Based on the information currently available to the Company, the Company cannot predict the timing or the ultimate outcome of this review including refunds to be received. As of September 30, 2023, the Company has an accrued liability that is immaterial for this review which was recorded as an offset to revenue.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Insurance</w:t>
      </w:r>
      <w:r>
        <w:rPr>
          <w:color w:val="000000"/>
        </w:rPr>
        <w:t xml:space="preserve"> </w:t>
      </w:r>
      <w:r>
        <w:rPr>
          <w:rFonts w:ascii="Times New Roman;sans-serif" w:hAnsi="Times New Roman;sans-serif"/>
          <w:b w:val="false"/>
          <w:color w:val="000000"/>
          <w:sz w:val="20"/>
        </w:rPr>
        <w:t xml:space="preserve">- The Company retains risk for a substantial portion of potential claims for general and professional liability, workers’ compensation and automobile liability. Based on changes in law that increase the maximum damages that may be recovered for professional negligence or malpractice claims in states where we operate, including, California, the costs of maintaining some of these insurance policies may increase in the future. The Company recognizes obligations associated with these costs, up to specified deductible limits in the period in which a claim is incurred, including with respect to both reported claims and claims incurred but not reported. The general and professional liability insurance has a retention limit of $150 per claim with a $500 corridor as an additional out-of-pocket retention we must satisfy for claims within the policy year before the carrier will reimburse losses. The workers’ compensation insurance has a retention limit of $250 per claim, except for policies held in Texas, Washington and Wyoming which are subject to state insurance and possess their own limits.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self-insured for claims related to employee health, dental, and vision care. To protect itself against loss exposure, the Company has purchased individual stop-loss insurance coverage that insures individual health claims that exceed $350 for each covered person for fiscal year 2023 and fiscal year 2022.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16. COMMON STOCK REPURCHASE PROGRAM</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12, 2022, the Board of Directors of the Company approved a share repurchase program under which the Company may repurchase up to $1,000 of its common stock. Under the share repurchase program, the Company may repurchase shares from time to time through open market purchases, including through the use of trading plans intended to comply with Rule 10b5-1 under the Securities Exchange Act of 1934. The timing and total amount of stock repurchases will depend upon business, economic and market conditions, corporate and regulatory requirements, prevailing stock prices, and other considerations. The authorization expires on December 12, 2023, and may be suspended or discontinued at any time and does not obligate the Company to acquire any amount of common stock. No shares were repurchased during the three and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color w:val="000000"/>
          <w:sz w:val="20"/>
        </w:rPr>
        <w:t>Item 2.     </w:t>
      </w:r>
      <w:r>
        <w:rPr>
          <w:rFonts w:ascii="Times New Roman;sans-serif" w:hAnsi="Times New Roman;sans-serif"/>
          <w:b/>
          <w:i/>
          <w:color w:val="000000"/>
          <w:sz w:val="20"/>
        </w:rPr>
        <w:t>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in conjunction with the Interim Financial Statements and the related notes thereto contained in Part I, Item 1 of this Quarterly Report on Form 10-Q (this “Quarterly Report”). 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Securities and Exchange Commission (“SEC”), including our Annual Report on Form 10-K for the year ended December 31, 2022 (the “2022 Annual Report”), which discusses our business and related risks in greater detail, as well as subsequent reports we may file from time to time on Form 10-K, Form 10-Q and Form 8-K, for additional information. The section entitled “Risk Factors” filed within our 2022 Annual Report describes some of the important risk factors that may affect our business, financial condition, results of operations and/or liquidity. You should carefully consider those risks, in addition to the other information in this Quarterly Report and in our other filings with the SEC, before deciding to purchase, hold or sell our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Special Note About Forward-Looking Statements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This Quarterly Report contains “forward-looking statements” within the meaning of the safe harbor provisions of the U.S. Private Securities Litigation Reform Act of 1995, that are based on our management’s beliefs and assumptions and on information currently available to our management. Forward-looking statements include all statements that are not historical facts and can be identified by the use of forward-looking terminology such as the words “outlook,” “believes,” “expects,” “potential,” “continues,” “may,” “might,” “will,” “should,” “could,” “seeks,” “approximately,” “goals,” “future,” “projects,” “predicts,” “guidance,” “target,” “intends,” “plans,” “estimates,” “anticipates”, the negative version of these words or other comparable words. Forward-looking statements include, but are not limited to, statements related to our expectations regarding the performance of our business, our financial results, our liquidity and capital resources, the effects of competition and the effects of future legislation or regulations and other non-historical statements.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The risk factors discussed in this Quarterly Report and the 2022 Annual Report under the heading “Risk Factors,” could cause our results to differ materially from those expressed in forward-looking statements. Factors that could cause actual results to differ materially from those in the forward-looking statements include, but are not limited to:</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federal and state changes to, or delays receiving, reimbursement and other aspects of Medicaid and Medicare;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and compliance with, the laws and regulations affecting the U.S. healthcare industry;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proposed changes to payment models and reimbursement amounts within the Medicare and Medicaid fee schedules for future calendar years;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future cost containment measures undertaken by payors;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government reviews, audits and investigations of our business;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potential additional regulation affecting the transparency, ownership, operating standards, and staffing of businesses in our industry;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increased competition and increased cost of acquisition or retention for, or a shortage of, skilled personnel;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achievement and maintenance of competitive quality of care ratings and referrals from referral sources;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and compliance with, state and federal employment, fair housing, safety, licensing and other laws;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competition from other healthcare providers, state efforts to regulate or deregulate the healthcare services industry, or the construction or expansion of the number of home health, hospice or senior living operations;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actions of labor unions, including strikes, work stoppages, unfair labor practices claims, or related labor activity;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costs associated with litigation or any future litigation settlements;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leases of our affiliated senior living communities;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inability to complete future acquisitions at attractive prices or at all, and failure to successfully or efficiently new acquisitions into our existing operations and operating subsidiaries;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general economic conditions, including a housing downturn, which could affect seniors’ ability to afford resident fees, or inflation and increasing interest rates, which raise the costs of goods and borrowing capital, which may affect the delivery and affordability of our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security breaches and other cyber security incidents;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the performance of the financial and credit markets and uncertainties related to our ability to obtain financing or the terms of such financing; and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uncertainties related to the lingering effect of the COVID-19 pandemic, including new regulatory risks impacting our operations, potential litigation, and vaccination mandates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Forward-looking statements involve risks, uncertainties and assumptions. Actual results may differ materially from those expressed in these forward-looking statements. You should not place undue reliance on any forward-looking statements in this Quarterly Report. Although we may from time to time voluntarily update our prior forward-looking statements, we disclaim any commitment to do so except as required by applicable securities laws.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provider of high-quality healthcare services to patients of all ages, including the growing senior population, in the United States. We strive to be the provider of choice in the communities we serve through our innovative operating model. We operate in multiple lines of businesses including home health, hospice and senior living services across Arizona, California, Colorado, Idaho, Iowa, Montana, Nevada, Oklahoma, Oregon, Texas, Utah, Washington, Wisconsin and Wyoming. As of September 30, 2023, our home health and hospice business provided home health, hospice and home care services from 103 agencies operating across these 14 states, and our senior living business operated 51 senior living communities throughout six states.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affiliated home health and hospice agencies and senior living communities as of:</w:t>
      </w:r>
    </w:p>
    <w:p>
      <w:pPr>
        <w:pStyle w:val="TextBody"/>
        <w:bidi w:val="0"/>
        <w:spacing w:before="0" w:after="0"/>
        <w:ind w:left="0" w:right="0" w:firstLine="720"/>
        <w:jc w:val="left"/>
        <w:rPr/>
      </w:pPr>
      <w:r>
        <w:rPr/>
      </w:r>
    </w:p>
    <w:tbl>
      <w:tblPr>
        <w:tblW w:w="11236" w:type="dxa"/>
        <w:jc w:val="left"/>
        <w:tblInd w:w="0" w:type="dxa"/>
        <w:tblLayout w:type="fixed"/>
        <w:tblCellMar>
          <w:top w:w="28" w:type="dxa"/>
          <w:left w:w="28" w:type="dxa"/>
          <w:bottom w:w="28" w:type="dxa"/>
          <w:right w:w="28" w:type="dxa"/>
        </w:tblCellMar>
      </w:tblPr>
      <w:tblGrid>
        <w:gridCol w:w="704"/>
        <w:gridCol w:w="263"/>
        <w:gridCol w:w="264"/>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9"/>
        <w:gridCol w:w="307"/>
        <w:gridCol w:w="437"/>
      </w:tblGrid>
      <w:tr>
        <w:trPr/>
        <w:tc>
          <w:tcPr>
            <w:tcW w:w="70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 agencies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Senior living communities</w:t>
            </w:r>
            <w:r>
              <w:rPr>
                <w:rFonts w:ascii="Times New Roman;sans-serif" w:hAnsi="Times New Roman;sans-serif"/>
                <w:b w:val="false"/>
                <w:color w:val="000000"/>
                <w:sz w:val="13"/>
              </w:rPr>
              <w:t>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Senior living units</w:t>
            </w:r>
            <w:r>
              <w:rPr>
                <w:rFonts w:ascii="Times New Roman;sans-serif" w:hAnsi="Times New Roman;sans-serif"/>
                <w:b w:val="false"/>
                <w:color w:val="000000"/>
                <w:sz w:val="13"/>
              </w:rPr>
              <w:t>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number of home health, hospice, and senior living operations</w:t>
            </w:r>
            <w:r>
              <w:rPr>
                <w:rFonts w:ascii="Times New Roman;sans-serif" w:hAnsi="Times New Roman;sans-serif"/>
                <w:b w:val="false"/>
                <w:color w:val="000000"/>
                <w:sz w:val="13"/>
              </w:rPr>
              <w:t>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39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78"/>
        <w:gridCol w:w="1678"/>
        <w:gridCol w:w="23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See Footnote 3 Transactions with Ensign for discussion of the 2022 Transaction.</w:t>
            </w:r>
          </w:p>
        </w:tc>
      </w:tr>
    </w:tbl>
    <w:p>
      <w:pPr>
        <w:pStyle w:val="TextBody"/>
        <w:bidi w:val="0"/>
        <w:spacing w:before="0" w:after="0"/>
        <w:ind w:left="0" w:right="0" w:hanging="13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Recent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Acquisitions. </w:t>
      </w:r>
      <w:r>
        <w:rPr>
          <w:rFonts w:ascii="Times New Roman;sans-serif" w:hAnsi="Times New Roman;sans-serif"/>
          <w:b w:val="false"/>
          <w:color w:val="000000"/>
          <w:sz w:val="20"/>
        </w:rPr>
        <w:t>During the nine months ended September 30, 2023, we expanded our operations with the addition of three home health agencies, three hospice agencies, two home care agencies, as well as two senior living communities. A subsidiary of the Company entered into a separate operations transfer agreement with the prior operator of each acquired operation as part of each transaction.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Trends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experienced modest senior living occupancy improvement through the nine months ended September 30, 2023, partly as a result of improving COVID-19 case trends and renewed consideration of senior living communities as a home-based care setting. Though we have seen steady improvements in occupancy throughout 2022 and 2023, we cannot be sure when the occupancy levels in our senior living communities will return to pre-pandemic levels.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we acquire turnaround or start-up operations, we expect that our combined metrics may be impacted. We expect these metrics to vary from period to period based upon the maturity of the operations within our portfolio. We have generally experienced lower occupancy rates and higher costs at our senior living communities and lower census and higher costs at our home health and hospice agencies for recently acquired operations; as a result, we generally anticipate lower and/or fluctuating consolidated and segment margins during years of acquisition growth.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disclosed under the heading “Government Regulation” in the 2022 Annual Report a summary of regulations that we believe materially affect our business, financial condition or results of operations. Since the time of the filing of the 2022 Annual Report, the following regulations have been updated.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28, 2023, CMS issued the Hospice Payment Rate Update final rule (the “Hospice Payment Final Rule”) for fiscal year 2024. The Hospice Payment Final Rule’s hospice payment update percentage is 3.1%, which is an estimated increase of $780 million in payments from fiscal year 2023. The payment update percentage of 3.1% is based on a 3.3% market basket percentage increase, which is reduced by a 0.2% productivity adjustment. The Hospice Payment Final Rule makes permanent the Hospice Quality Reporting program (“HQRP”) data submission threshold policy adopted in the 2016 Hospice Payment Rule Update final rule, which is that hospices must submit at least 90 percent of required data within 30 days of the relevant reporting event. Hospices that fail to meet quality reporting requirements will receive a 4% reduction to the annual hospice payment update percentage increase for that year, which would more than negate the payment update percentage for fiscal year 2024 contained in the Hospice Payment Final Rule for hospices that fail to submit required quality reporting data to CMS.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On November 1, 2023, CMS finalized rules regarding the administration of a Hospice Special Focus Program (HSFP) beginning in CY 2024. Under this final rule, CMS established the data sources for identifying hospices for inclusion in the HSFP, defined the scoring system, and set the criteria for selection into the HSFP. Based on public comments, CMS is finalizing the HSFP without any modifications of the proposed rule with respect to the hospice care index (HCI) score, standardization of HCI scores, and addressing how missing scores will be handled in the HSFP algorithm. Specifically, for missing scores, CMS will replace a hospice’s missing score with a zero after standardization, which is equivalent to replacing a non-reporting hospice’s missing data with the average value for that score or measure. This final rule mandates hospices in the HSFP to be surveyed at least semiannually over 18 months. This final rule also outlines conditions for successful completion and exit from the HSFP, as well as termination from the Medicaid program for those hospices that cannot meet substantial compliance for surveys conducted during the HSFP. Additionally, the final rule implements an informal resolution process for disputes between CMS and hospices related to condition-level deficiencies, similar to the process for home health agencies.</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2023, CMS issued the CY 2024 Home Health Prospective Payment System Final Rule (“Home Health Payment Final Rule”). The Home Health Payment Final Rule finalizes an estimated 0.8% aggregate increase to all home health agencies in CY 2024. This increase reflects the effects of the 3.0 percent home health payment update percentage ($525 million increase), an estimated 2.6 percent decrease that reflects the net effects of CMS’s finalized prospective permanent behavior assumption adjustment across all payments (half of the full proposed adjustment), ($455 million decrease), and an estimated 0.4 percent increase that reflects the effects of an update to the fixed-dollar loss ratio (FDL) used in determining outlier payments ($70 million increase). CMS also finalized recalibrated case-mix weights and low utilization payment adjustment thresholds using 2022 data. Overall, the Home Health Payment Final Rule estimates that Medicare payments to all home health agencies will increase in the aggregate by $140.0 million based on its contents.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7, 2023, California enacted SB 253 and SB 261, which require new climate disclosures from companies doing business in California. SB 253 requires companies with annual revenues of $1 billion or more to disclose their greenhouse gas emissions. SB 261 requires companies with annual revenues of $500 million or more to disclose their climate-related risks and the measures they use to reduce and adapt to those risks. These reports are first due from companies in 2026. Additional details regarding the application and requirements of these laws will be included in future regulations.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Segments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two reportable segments: (1) home health and hospice services, which includes our home health, home care and hospice businesses; and (2) senior living services, which includes the operation of assisted living, independent living and memory care communities. Our Chief Executive Officer, who is our Chief Operating Decision Maker (“CODM”), reviews financial information at the operating segment level. We also report an “all other” category that includes general and administrative expense from our Service Center.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Common Stock Repurchase Program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12, 2022, the Board of Directors of the Company approved a share repurchase program under which the Company may repurchase up to $1.0 million of its common stock. Under the share repurchase program, the Company may repurchase shares from time to time through open market purchases, including through the use of trading plans intended to comply with Rule 10b5-1 under the Securities Exchange Act of 1934, as amended. The timing and total amount of stock repurchases will depend upon business, economic and market conditions, corporate and regulatory requirements, prevailing stock prices, and other considerations. The authorization expires on December 12, 2023, and may be suspended or discontinued at any time and does not obligate the Company to acquire any amount of common stock. No shares were repurchased during the three and nine months ended September 30, 2023.</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Key Performance Indicators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manage the fiscal aspects of our business by monitoring key performance indicators that affect our financial performance. These indicators and their definitions include the following: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Home Health and Hospice Services</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Total home health admissions</w:t>
      </w:r>
      <w:r>
        <w:rPr>
          <w:rFonts w:ascii="Times New Roman;sans-serif" w:hAnsi="Times New Roman;sans-serif"/>
          <w:b w:val="false"/>
          <w:color w:val="000000"/>
          <w:sz w:val="20"/>
        </w:rPr>
        <w:t>. Total admissions of home health patients, including new acquisitions, new admissions and readmissions.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Total Medicare home health admissions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Total admissions of home health patients, who are receiving care under Medicare reimbursement programs, including new acquisitions, new admissions and readmissions.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Average Medicare revenue per completed 60-day home health episode</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average amount of revenue for each completed 60-day home health episode generated from patients who are receiving care under Medicare reimbursement programs.</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Total hospice admissions</w:t>
      </w:r>
      <w:r>
        <w:rPr>
          <w:rFonts w:ascii="Times New Roman;sans-serif" w:hAnsi="Times New Roman;sans-serif"/>
          <w:b w:val="false"/>
          <w:color w:val="000000"/>
          <w:sz w:val="20"/>
        </w:rPr>
        <w:t>. Total admissions of hospice patients, including new acquisitions, new admissions and recertifications.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Average hospice daily census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The average number of patients who are receiving hospice care during any measurement period divided by the number of days during such measurement period. </w:t>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Hospice Medicare revenue per day</w:t>
      </w:r>
      <w:r>
        <w:rPr>
          <w:rFonts w:ascii="Times New Roman;sans-serif" w:hAnsi="Times New Roman;sans-serif"/>
          <w:b w:val="false"/>
          <w:color w:val="000000"/>
          <w:sz w:val="20"/>
        </w:rPr>
        <w:t>. The average daily Medicare revenue recorded during any measurement period for services provided to hospice patients.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overall home health and hospice statistics for the periods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14"/>
        <w:gridCol w:w="1285"/>
        <w:gridCol w:w="1290"/>
        <w:gridCol w:w="280"/>
        <w:gridCol w:w="818"/>
        <w:gridCol w:w="144"/>
        <w:gridCol w:w="144"/>
        <w:gridCol w:w="144"/>
        <w:gridCol w:w="144"/>
        <w:gridCol w:w="280"/>
        <w:gridCol w:w="818"/>
        <w:gridCol w:w="144"/>
        <w:gridCol w:w="109"/>
        <w:gridCol w:w="109"/>
        <w:gridCol w:w="109"/>
        <w:gridCol w:w="269"/>
        <w:gridCol w:w="788"/>
        <w:gridCol w:w="138"/>
        <w:gridCol w:w="138"/>
        <w:gridCol w:w="138"/>
        <w:gridCol w:w="138"/>
        <w:gridCol w:w="269"/>
        <w:gridCol w:w="788"/>
        <w:gridCol w:w="207"/>
      </w:tblGrid>
      <w:tr>
        <w:trPr/>
        <w:tc>
          <w:tcPr>
            <w:tcW w:w="1514"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services:</w:t>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home health admissions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Medicare home health admissions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Medicare revenue per 60-day completed episode</w:t>
            </w:r>
            <w:r>
              <w:rPr>
                <w:rFonts w:ascii="Times New Roman;sans-serif" w:hAnsi="Times New Roman;sans-serif"/>
                <w:b w:val="false"/>
                <w:color w:val="000000"/>
                <w:sz w:val="13"/>
              </w:rPr>
              <w:t>(a)</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services:</w:t>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hospice admissions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hospice daily census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Medicare revenue per day</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04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43"/>
        <w:gridCol w:w="2743"/>
        <w:gridCol w:w="3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3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The year-to-date average Medicare revenue per 60-day completed episode includes post period claim adjustments for prior quarters. </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Senior Living Services</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Occupancy</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ratio of actual number of days our units are occupied during any measurement period to the number of days units are available for occupancy during such measurement period.</w:t>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Average monthly revenue per occupied unit</w:t>
      </w:r>
      <w:r>
        <w:rPr>
          <w:rFonts w:ascii="Times New Roman;sans-serif" w:hAnsi="Times New Roman;sans-serif"/>
          <w:b w:val="false"/>
          <w:color w:val="000000"/>
          <w:sz w:val="20"/>
        </w:rPr>
        <w:t>. The room and board revenue for senior living services during any measurement period divided by actual occupied senior living units for such measurement period divided by the number of months for such measurement period.</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senior living statistics for the periods indicated:</w:t>
      </w:r>
    </w:p>
    <w:p>
      <w:pPr>
        <w:pStyle w:val="TextBody"/>
        <w:bidi w:val="0"/>
        <w:spacing w:before="0" w:after="0"/>
        <w:ind w:left="0" w:right="0" w:firstLine="720"/>
        <w:jc w:val="left"/>
        <w:rPr/>
      </w:pPr>
      <w:r>
        <w:rPr/>
      </w:r>
    </w:p>
    <w:tbl>
      <w:tblPr>
        <w:tblW w:w="10177" w:type="dxa"/>
        <w:jc w:val="left"/>
        <w:tblInd w:w="0" w:type="dxa"/>
        <w:tblLayout w:type="fixed"/>
        <w:tblCellMar>
          <w:top w:w="28" w:type="dxa"/>
          <w:left w:w="28" w:type="dxa"/>
          <w:bottom w:w="28" w:type="dxa"/>
          <w:right w:w="28" w:type="dxa"/>
        </w:tblCellMar>
      </w:tblPr>
      <w:tblGrid>
        <w:gridCol w:w="1336"/>
        <w:gridCol w:w="1175"/>
        <w:gridCol w:w="1179"/>
        <w:gridCol w:w="261"/>
        <w:gridCol w:w="762"/>
        <w:gridCol w:w="335"/>
        <w:gridCol w:w="134"/>
        <w:gridCol w:w="134"/>
        <w:gridCol w:w="134"/>
        <w:gridCol w:w="261"/>
        <w:gridCol w:w="762"/>
        <w:gridCol w:w="335"/>
        <w:gridCol w:w="109"/>
        <w:gridCol w:w="109"/>
        <w:gridCol w:w="109"/>
        <w:gridCol w:w="250"/>
        <w:gridCol w:w="730"/>
        <w:gridCol w:w="321"/>
        <w:gridCol w:w="129"/>
        <w:gridCol w:w="129"/>
        <w:gridCol w:w="129"/>
        <w:gridCol w:w="250"/>
        <w:gridCol w:w="730"/>
        <w:gridCol w:w="374"/>
      </w:tblGrid>
      <w:tr>
        <w:trPr/>
        <w:tc>
          <w:tcPr>
            <w:tcW w:w="133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monthly revenue per occupied unit</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Revenue 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Home Health and Hospice Services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Home Health.</w:t>
      </w:r>
      <w:r>
        <w:rPr>
          <w:color w:val="000000"/>
        </w:rPr>
        <w:t xml:space="preserve"> </w:t>
      </w:r>
      <w:r>
        <w:rPr>
          <w:rFonts w:ascii="Times New Roman;sans-serif" w:hAnsi="Times New Roman;sans-serif"/>
          <w:b w:val="false"/>
          <w:color w:val="000000"/>
          <w:sz w:val="20"/>
        </w:rPr>
        <w:t xml:space="preserve">We derive the majority of our home health revenue from Medicare and managed care. The Medicare payment is adjusted for differences between estimated and actual payment amounts, an inability to obtain appropriate billing documentation or authorizations acceptable to the payor and other reasons unrelated to credit risk. Net service revenue is recognized in accordance with PDGM methodology. Under PDGM, Medicare provides agencies with payments for each 30-day period of care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period of care is adjusted to reflect the beneficiary’s health condition and needs, a special outlier provision exists to ensure appropriate payment for those beneficiaries that have the most expensive care needs. The PDGM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period of care; (f) changes in the base payments established by the Medicare program; (g) adjustments to the base payments for case mix and geographic wages; and (h) recoveries of overpayments. For further detail regarding PDGM see the </w:t>
      </w:r>
      <w:r>
        <w:rPr>
          <w:rFonts w:ascii="Times New Roman;sans-serif" w:hAnsi="Times New Roman;sans-serif"/>
          <w:b w:val="false"/>
          <w:i/>
          <w:color w:val="000000"/>
          <w:sz w:val="20"/>
        </w:rPr>
        <w:t>Government Regulation</w:t>
      </w:r>
      <w:r>
        <w:rPr>
          <w:color w:val="000000"/>
        </w:rPr>
        <w:t xml:space="preserve"> </w:t>
      </w:r>
      <w:r>
        <w:rPr>
          <w:rFonts w:ascii="Times New Roman;sans-serif" w:hAnsi="Times New Roman;sans-serif"/>
          <w:b w:val="false"/>
          <w:color w:val="000000"/>
          <w:sz w:val="20"/>
        </w:rPr>
        <w:t>section of our 2022 Annual Report.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Hospice.</w:t>
      </w:r>
      <w:r>
        <w:rPr>
          <w:color w:val="000000"/>
        </w:rPr>
        <w:t xml:space="preserve"> </w:t>
      </w:r>
      <w:r>
        <w:rPr>
          <w:rFonts w:ascii="Times New Roman;sans-serif" w:hAnsi="Times New Roman;sans-serif"/>
          <w:b w:val="false"/>
          <w:color w:val="000000"/>
          <w:sz w:val="20"/>
        </w:rPr>
        <w:t>We derive the majority of our hospice business revenue from Medicare reimbursement. The estimated payment rates are calculated as daily rates for each of the levels of care we deliver. Rates are set based on specific levels of care, are adjusted by a wage index to reflect healthcare labor costs across the country and are established annually through federal legislation. The following are the four levels of care provided under the hospice benefit:</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 xml:space="preserve">Routine Home Care (“RHC”). </w:t>
      </w:r>
      <w:r>
        <w:rPr>
          <w:rFonts w:ascii="Times New Roman;sans-serif" w:hAnsi="Times New Roman;sans-serif"/>
          <w:b w:val="false"/>
          <w:color w:val="000000"/>
          <w:sz w:val="20"/>
        </w:rPr>
        <w:t>Care that is not classified under any of the other levels of care, such as the work of nurses, social workers or home health aides.</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 xml:space="preserve">General Inpatient Care. </w:t>
      </w:r>
      <w:r>
        <w:rPr>
          <w:rFonts w:ascii="Times New Roman;sans-serif" w:hAnsi="Times New Roman;sans-serif"/>
          <w:b w:val="false"/>
          <w:color w:val="000000"/>
          <w:sz w:val="20"/>
        </w:rPr>
        <w:t>Pain control or acute or chronic symptom management that cannot be managed in a setting other than an inpatient Medicare-certified facility, such as a hospital, skilled nursing facility or hospice inpatient facility.</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 xml:space="preserve">Continuous Home Care. </w:t>
      </w:r>
      <w:r>
        <w:rPr>
          <w:rFonts w:ascii="Times New Roman;sans-serif" w:hAnsi="Times New Roman;sans-serif"/>
          <w:b w:val="false"/>
          <w:color w:val="000000"/>
          <w:sz w:val="20"/>
        </w:rPr>
        <w:t>Care for patients experiencing a medical crisis that requires nursing services to achieve palliation and symptom control, if the agency provides a minimum of eight hours of care within a 24-hour period.</w:t>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Inpatient Respite Care.</w:t>
      </w:r>
      <w:r>
        <w:rPr>
          <w:color w:val="000000"/>
        </w:rPr>
        <w:t xml:space="preserve"> </w:t>
      </w:r>
      <w:r>
        <w:rPr>
          <w:rFonts w:ascii="Times New Roman;sans-serif" w:hAnsi="Times New Roman;sans-serif"/>
          <w:b w:val="false"/>
          <w:color w:val="000000"/>
          <w:sz w:val="20"/>
        </w:rPr>
        <w:t>Short-term, inpatient care to give temporary relief to the caregiver who regularly provides care to the patient.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CMS has established a two-tiered payment system for RHC. Hospices are reimbursed at a higher rate for RHC services provided from days of service one through 60 and a lower rate for all subsequent days of service. CMS also provides for a Service Intensity Add-On, which increases payments for certain RHC services provided by registered nurses and social workers to hospice patients during the final seven days of life.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Medicare reimbursement is adjusted for an inability to obtain appropriate billing documentation or authorizations acceptable to the payor and other reasons unrelated to credit risk. Additionally, as Medicare hospice revenue is subject to an inpatient cap limit and an overall payment cap, we monitor our provider numbers and estimate amounts due back to Medicare to the extent that the cap has been exceeded.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Senior Living Services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As of September 30, 2023, we provided assisted living, independent living and memory care services in 51 communities. Within our senior living operations, we generate revenue primarily from private pay sources, with a portion earned from Medicaid or other state-specific programs.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Primary Components of Expense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Cost of Services (excluding rent, general and administrative expense and depreciation and amortization)</w:t>
      </w:r>
      <w:r>
        <w:rPr>
          <w:rFonts w:ascii="Times New Roman;sans-serif" w:hAnsi="Times New Roman;sans-serif"/>
          <w:b w:val="false"/>
          <w:color w:val="000000"/>
          <w:sz w:val="20"/>
        </w:rPr>
        <w:t xml:space="preserve">. Our cost of services represents the costs of operating our independent operating subsidiaries, which primarily consists of payroll and related benefits, supplies, purchased services, and ancillary expenses such as the cost of pharmacy and therapy services provided to patients. Cost of services also includes the cost of general and professional liability insurance and other general cost of services specifically attributable to our operations.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i/>
          <w:color w:val="000000"/>
          <w:sz w:val="20"/>
        </w:rPr>
        <w:t>Rent—Cost of Services</w:t>
      </w:r>
      <w:r>
        <w:rPr>
          <w:rFonts w:ascii="Times New Roman;sans-serif" w:hAnsi="Times New Roman;sans-serif"/>
          <w:b w:val="false"/>
          <w:color w:val="000000"/>
          <w:sz w:val="20"/>
        </w:rPr>
        <w:t xml:space="preserve">. Rent—cost of services consists solely of base minimum rent amounts payable under lease agreements to our landlords. Our subsidiaries lease and operate but do not own the underlying real estate at our operations, and these amounts do not include taxes, insurance, impounds, capital reserves or other charges payable under the applicable lease agreements.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General and Administrative Expense</w:t>
      </w:r>
      <w:r>
        <w:rPr>
          <w:rFonts w:ascii="Times New Roman;sans-serif" w:hAnsi="Times New Roman;sans-serif"/>
          <w:b w:val="false"/>
          <w:color w:val="000000"/>
          <w:sz w:val="20"/>
        </w:rPr>
        <w:t>. General and administrative expense consists primarily of payroll and related benefits and travel expenses for our Service Center personnel, including training and other operational support. General and administrative expense also includes professional fees (including accounting and legal fees), costs relating to information systems, stock-based compensation and rent for our Service Center offices.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i/>
          <w:color w:val="000000"/>
          <w:sz w:val="20"/>
        </w:rPr>
        <w:t>Depreciation and Amortization</w:t>
      </w:r>
      <w:r>
        <w:rPr>
          <w:rFonts w:ascii="Times New Roman;sans-serif" w:hAnsi="Times New Roman;sans-serif"/>
          <w:b w:val="false"/>
          <w:color w:val="000000"/>
          <w:sz w:val="20"/>
        </w:rPr>
        <w:t>. Property and equipment are recorded at their original historical cost. Depreciation is computed using the straight-line method over the estimated useful lives of the depreciable assets (ranging from one to 40 years). Leasehold improvements are amortized on a straight-line basis over the shorter of their estimated useful lives or the remaining lease term.</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discussion and analysis of our financial condition and results of operations are based on Interim Financial Statements, which have been prepared in accordance with U.S. generally accepted accounting principles (“GAAP”). The preparation of the Interim Financial Statements and related disclosures requires us to make judgments, estimates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20"/>
        </w:rPr>
        <w:t xml:space="preserve">assumptions that affect the reported amounts of assets and liabilities and disclosure of contingent assets and liabilities at the date of the financial statements and the reported amounts of revenue and expenses during the reporting period. On an ongoing basis we review our judgments and estimates, including but not limited to those related to self-insurance reserves, revenue, leases, intangible assets, goodwill, and income taxes. We base our estimates and judgments upon our historical experience, knowledge of current conditions and our belief of what could occur in the future considering available information, including assumptions that we believe to be reasonable under the circumstances. By their nature, these estimates and judgments are subject to an inherent degree of uncertainty, and actual results could differ materially from the amounts reported. While we believe that our estimates, assumptions, and judgments are reasonable, they are based on information available when the estimate was made. Refer to Note 2, </w:t>
      </w:r>
      <w:r>
        <w:rPr>
          <w:rFonts w:ascii="Times New Roman;sans-serif" w:hAnsi="Times New Roman;sans-serif"/>
          <w:b w:val="false"/>
          <w:i/>
          <w:color w:val="000000"/>
          <w:sz w:val="20"/>
        </w:rPr>
        <w:t>Basis of Presentation and Summary of Significant Accounting Policies</w:t>
      </w:r>
      <w:r>
        <w:rPr>
          <w:rFonts w:ascii="Times New Roman;sans-serif" w:hAnsi="Times New Roman;sans-serif"/>
          <w:b w:val="false"/>
          <w:color w:val="000000"/>
          <w:sz w:val="20"/>
        </w:rPr>
        <w:t>, within the 2022 Annual Report for further information on our critical accounting estimates and policies, which are as follows:</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i/>
          <w:color w:val="000000"/>
          <w:sz w:val="20"/>
        </w:rPr>
        <w:t>Self-insurance reserves</w:t>
      </w:r>
      <w:r>
        <w:rPr>
          <w:color w:val="000000"/>
        </w:rPr>
        <w:t xml:space="preserve"> </w:t>
      </w:r>
      <w:r>
        <w:rPr>
          <w:rFonts w:ascii="Times New Roman;sans-serif" w:hAnsi="Times New Roman;sans-serif"/>
          <w:b w:val="false"/>
          <w:color w:val="000000"/>
          <w:sz w:val="20"/>
        </w:rPr>
        <w:t>- The valuation methods and assumptions used in estimating costs up to retention amounts to settle open claims of insureds and an estimate of the cost of insured claims up to retention amounts that have been incurred but not reported;</w:t>
      </w:r>
    </w:p>
    <w:p>
      <w:pPr>
        <w:pStyle w:val="TextBody"/>
        <w:bidi w:val="0"/>
        <w:spacing w:lineRule="auto" w:line="288" w:before="0" w:after="120"/>
        <w:ind w:left="0" w:right="0" w:hanging="360"/>
        <w:jc w:val="left"/>
        <w:rPr/>
      </w:pPr>
      <w:r>
        <w:rPr>
          <w:color w:val="000000"/>
        </w:rPr>
        <w:t>•</w:t>
      </w:r>
      <w:r>
        <w:rPr>
          <w:rFonts w:ascii="Times New Roman;sans-serif" w:hAnsi="Times New Roman;sans-serif"/>
          <w:b/>
          <w:i/>
          <w:color w:val="000000"/>
          <w:sz w:val="20"/>
        </w:rPr>
        <w:t>Revenue recognition</w:t>
      </w:r>
      <w:r>
        <w:rPr>
          <w:color w:val="000000"/>
        </w:rPr>
        <w:t xml:space="preserve"> </w:t>
      </w:r>
      <w:r>
        <w:rPr>
          <w:rFonts w:ascii="Times New Roman;sans-serif" w:hAnsi="Times New Roman;sans-serif"/>
          <w:b w:val="false"/>
          <w:color w:val="000000"/>
          <w:sz w:val="20"/>
        </w:rPr>
        <w:t>- The estimate of variable considerations to arrive at the transaction price, including methods and assumptions used to determine settlements with Medicare and Medicaid payors or retroactive adjustments due to audits and reviews;</w:t>
      </w:r>
    </w:p>
    <w:p>
      <w:pPr>
        <w:pStyle w:val="TextBody"/>
        <w:bidi w:val="0"/>
        <w:spacing w:lineRule="auto" w:line="288" w:before="0" w:after="120"/>
        <w:ind w:left="0" w:right="0" w:hanging="360"/>
        <w:jc w:val="left"/>
        <w:rPr/>
      </w:pPr>
      <w:r>
        <w:rPr>
          <w:color w:val="000000"/>
        </w:rPr>
        <w:t>•</w:t>
      </w:r>
      <w:r>
        <w:rPr>
          <w:rFonts w:ascii="Times New Roman;sans-serif" w:hAnsi="Times New Roman;sans-serif"/>
          <w:b/>
          <w:i/>
          <w:color w:val="000000"/>
          <w:sz w:val="20"/>
        </w:rPr>
        <w:t>Leases</w:t>
      </w:r>
      <w:r>
        <w:rPr>
          <w:color w:val="000000"/>
        </w:rPr>
        <w:t xml:space="preserve"> </w:t>
      </w:r>
      <w:r>
        <w:rPr>
          <w:rFonts w:ascii="Times New Roman;sans-serif" w:hAnsi="Times New Roman;sans-serif"/>
          <w:b w:val="false"/>
          <w:color w:val="000000"/>
          <w:sz w:val="20"/>
        </w:rPr>
        <w:t>- We use our estimated incremental borrowing rate based on the information available at lease commencement date in determining the present value of future lease payments;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i/>
          <w:color w:val="000000"/>
          <w:sz w:val="20"/>
        </w:rPr>
        <w:t>Acquisition accountin</w:t>
      </w:r>
      <w:r>
        <w:rPr>
          <w:rFonts w:ascii="Times New Roman;sans-serif" w:hAnsi="Times New Roman;sans-serif"/>
          <w:b/>
          <w:color w:val="000000"/>
          <w:sz w:val="20"/>
        </w:rPr>
        <w:t>g</w:t>
      </w:r>
      <w:r>
        <w:rPr>
          <w:color w:val="000000"/>
        </w:rPr>
        <w:t xml:space="preserve"> </w:t>
      </w:r>
      <w:r>
        <w:rPr>
          <w:rFonts w:ascii="Times New Roman;sans-serif" w:hAnsi="Times New Roman;sans-serif"/>
          <w:b w:val="false"/>
          <w:color w:val="000000"/>
          <w:sz w:val="20"/>
        </w:rPr>
        <w:t>- The assumptions used to allocate the purchase price paid for assets acquired and liabilities assumed in connection with our acquisitions;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i/>
          <w:color w:val="000000"/>
          <w:sz w:val="20"/>
        </w:rPr>
        <w:t>Income taxes</w:t>
      </w:r>
      <w:r>
        <w:rPr>
          <w:color w:val="000000"/>
        </w:rPr>
        <w:t xml:space="preserve"> </w:t>
      </w:r>
      <w:r>
        <w:rPr>
          <w:rFonts w:ascii="Times New Roman;sans-serif" w:hAnsi="Times New Roman;sans-serif"/>
          <w:b w:val="false"/>
          <w:color w:val="000000"/>
          <w:sz w:val="20"/>
        </w:rPr>
        <w:t>- The estimation of valuation allowance or the need for and magnitude of liabilities for uncertain tax position.</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Recent Accounting Pronouncements</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shd w:fill="FFFFFF" w:val="clear"/>
        </w:rPr>
        <w:t xml:space="preserve">Information concerning recently issued accounting pronouncements, if applicable, are included in Note 2, </w:t>
      </w:r>
      <w:r>
        <w:rPr>
          <w:rFonts w:ascii="Times New Roman;sans-serif" w:hAnsi="Times New Roman;sans-serif"/>
          <w:b w:val="false"/>
          <w:i/>
          <w:color w:val="000000"/>
          <w:sz w:val="20"/>
          <w:shd w:fill="FFFFFF" w:val="clear"/>
        </w:rPr>
        <w:t>Basis of Presentation and Summary of Significant Accounting Policies</w:t>
      </w:r>
      <w:r>
        <w:rPr>
          <w:color w:val="000000"/>
          <w:shd w:fill="FFFFFF" w:val="clear"/>
        </w:rPr>
        <w:t xml:space="preserve"> </w:t>
      </w:r>
      <w:r>
        <w:rPr>
          <w:rFonts w:ascii="Times New Roman;sans-serif" w:hAnsi="Times New Roman;sans-serif"/>
          <w:b w:val="false"/>
          <w:color w:val="000000"/>
          <w:sz w:val="20"/>
        </w:rPr>
        <w:t>in the Interim Financial Statements</w:t>
      </w:r>
      <w:r>
        <w:rPr>
          <w:rFonts w:ascii="Times New Roman;sans-serif" w:hAnsi="Times New Roman;sans-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details of our revenue, expenses and earnings as a percentage of total revenue for the periods indicated:</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416"/>
        <w:gridCol w:w="1160"/>
        <w:gridCol w:w="1138"/>
        <w:gridCol w:w="352"/>
        <w:gridCol w:w="264"/>
        <w:gridCol w:w="545"/>
        <w:gridCol w:w="218"/>
        <w:gridCol w:w="218"/>
        <w:gridCol w:w="218"/>
        <w:gridCol w:w="352"/>
        <w:gridCol w:w="264"/>
        <w:gridCol w:w="545"/>
        <w:gridCol w:w="109"/>
        <w:gridCol w:w="109"/>
        <w:gridCol w:w="109"/>
        <w:gridCol w:w="352"/>
        <w:gridCol w:w="264"/>
        <w:gridCol w:w="526"/>
        <w:gridCol w:w="211"/>
        <w:gridCol w:w="211"/>
        <w:gridCol w:w="211"/>
        <w:gridCol w:w="352"/>
        <w:gridCol w:w="264"/>
        <w:gridCol w:w="526"/>
        <w:gridCol w:w="109"/>
        <w:gridCol w:w="162"/>
      </w:tblGrid>
      <w:tr>
        <w:trPr/>
        <w:tc>
          <w:tcPr>
            <w:tcW w:w="141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271" w:type="dxa"/>
            <w:gridSpan w:val="2"/>
            <w:tcBorders/>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1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1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1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Rent—cost of services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asset dispositions and impairment,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1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1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5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5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5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Pennant</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our consolidated GAAP Financial measures for the three and nine months ended September 30, 2023 and 2022: </w:t>
      </w:r>
    </w:p>
    <w:tbl>
      <w:tblPr>
        <w:tblW w:w="10205" w:type="dxa"/>
        <w:jc w:val="center"/>
        <w:tblInd w:w="0" w:type="dxa"/>
        <w:tblLayout w:type="fixed"/>
        <w:tblCellMar>
          <w:top w:w="28" w:type="dxa"/>
          <w:left w:w="28" w:type="dxa"/>
          <w:bottom w:w="28" w:type="dxa"/>
          <w:right w:w="28" w:type="dxa"/>
        </w:tblCellMar>
      </w:tblPr>
      <w:tblGrid>
        <w:gridCol w:w="1220"/>
        <w:gridCol w:w="1072"/>
        <w:gridCol w:w="1075"/>
        <w:gridCol w:w="247"/>
        <w:gridCol w:w="969"/>
        <w:gridCol w:w="127"/>
        <w:gridCol w:w="127"/>
        <w:gridCol w:w="127"/>
        <w:gridCol w:w="127"/>
        <w:gridCol w:w="247"/>
        <w:gridCol w:w="969"/>
        <w:gridCol w:w="127"/>
        <w:gridCol w:w="109"/>
        <w:gridCol w:w="109"/>
        <w:gridCol w:w="109"/>
        <w:gridCol w:w="238"/>
        <w:gridCol w:w="934"/>
        <w:gridCol w:w="122"/>
        <w:gridCol w:w="122"/>
        <w:gridCol w:w="122"/>
        <w:gridCol w:w="122"/>
        <w:gridCol w:w="238"/>
        <w:gridCol w:w="934"/>
        <w:gridCol w:w="122"/>
        <w:gridCol w:w="109"/>
        <w:gridCol w:w="109"/>
        <w:gridCol w:w="109"/>
        <w:gridCol w:w="163"/>
      </w:tblGrid>
      <w:tr>
        <w:trPr/>
        <w:tc>
          <w:tcPr>
            <w:tcW w:w="12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490" w:type="dxa"/>
            <w:gridSpan w:val="4"/>
            <w:tcBorders/>
          </w:tcPr>
          <w:p>
            <w:pPr>
              <w:pStyle w:val="TableContents"/>
              <w:bidi w:val="0"/>
              <w:spacing w:before="0" w:after="283"/>
              <w:jc w:val="left"/>
              <w:rPr>
                <w:sz w:val="4"/>
                <w:szCs w:val="4"/>
              </w:rPr>
            </w:pPr>
            <w:r>
              <w:rPr>
                <w:sz w:val="4"/>
                <w:szCs w:val="4"/>
              </w:rPr>
            </w:r>
          </w:p>
        </w:tc>
      </w:tr>
      <w:tr>
        <w:trPr/>
        <w:tc>
          <w:tcPr>
            <w:tcW w:w="3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490" w:type="dxa"/>
            <w:gridSpan w:val="4"/>
            <w:tcBorders/>
          </w:tcPr>
          <w:p>
            <w:pPr>
              <w:pStyle w:val="TableContents"/>
              <w:bidi w:val="0"/>
              <w:spacing w:before="0" w:after="283"/>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GAAP Financial Measures:</w:t>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140,192 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398,937 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133,131 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111,206 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342,221 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certain financial information regarding our reportable segments. General and administrative expenses are not allocated to the reportable segments and are included in “All Other”:</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018"/>
        <w:gridCol w:w="863"/>
        <w:gridCol w:w="869"/>
        <w:gridCol w:w="109"/>
        <w:gridCol w:w="109"/>
        <w:gridCol w:w="109"/>
        <w:gridCol w:w="427"/>
        <w:gridCol w:w="1673"/>
        <w:gridCol w:w="220"/>
        <w:gridCol w:w="109"/>
        <w:gridCol w:w="109"/>
        <w:gridCol w:w="109"/>
        <w:gridCol w:w="333"/>
        <w:gridCol w:w="1139"/>
        <w:gridCol w:w="172"/>
        <w:gridCol w:w="109"/>
        <w:gridCol w:w="109"/>
        <w:gridCol w:w="109"/>
        <w:gridCol w:w="211"/>
        <w:gridCol w:w="667"/>
        <w:gridCol w:w="109"/>
        <w:gridCol w:w="109"/>
        <w:gridCol w:w="109"/>
        <w:gridCol w:w="109"/>
        <w:gridCol w:w="211"/>
        <w:gridCol w:w="826"/>
        <w:gridCol w:w="159"/>
      </w:tblGrid>
      <w:tr>
        <w:trPr/>
        <w:tc>
          <w:tcPr>
            <w:tcW w:w="101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GAAP Financial Measures: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101,474 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85,779 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93"/>
        <w:gridCol w:w="840"/>
        <w:gridCol w:w="845"/>
        <w:gridCol w:w="109"/>
        <w:gridCol w:w="109"/>
        <w:gridCol w:w="109"/>
        <w:gridCol w:w="418"/>
        <w:gridCol w:w="1637"/>
        <w:gridCol w:w="216"/>
        <w:gridCol w:w="109"/>
        <w:gridCol w:w="109"/>
        <w:gridCol w:w="109"/>
        <w:gridCol w:w="306"/>
        <w:gridCol w:w="1199"/>
        <w:gridCol w:w="157"/>
        <w:gridCol w:w="109"/>
        <w:gridCol w:w="109"/>
        <w:gridCol w:w="109"/>
        <w:gridCol w:w="211"/>
        <w:gridCol w:w="771"/>
        <w:gridCol w:w="109"/>
        <w:gridCol w:w="109"/>
        <w:gridCol w:w="109"/>
        <w:gridCol w:w="109"/>
        <w:gridCol w:w="211"/>
        <w:gridCol w:w="826"/>
        <w:gridCol w:w="158"/>
      </w:tblGrid>
      <w:tr>
        <w:trPr/>
        <w:tc>
          <w:tcPr>
            <w:tcW w:w="99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GAAP Financial Measures: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287,573 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Nine Months Ended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251,598 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table below provides a reconciliation of Segment Adjusted EBITDAR from Operations to Condensed Consolidated Income from operations: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478"/>
        <w:gridCol w:w="1244"/>
        <w:gridCol w:w="1251"/>
        <w:gridCol w:w="260"/>
        <w:gridCol w:w="891"/>
        <w:gridCol w:w="134"/>
        <w:gridCol w:w="134"/>
        <w:gridCol w:w="134"/>
        <w:gridCol w:w="134"/>
        <w:gridCol w:w="260"/>
        <w:gridCol w:w="891"/>
        <w:gridCol w:w="134"/>
        <w:gridCol w:w="109"/>
        <w:gridCol w:w="109"/>
        <w:gridCol w:w="109"/>
        <w:gridCol w:w="251"/>
        <w:gridCol w:w="859"/>
        <w:gridCol w:w="129"/>
        <w:gridCol w:w="129"/>
        <w:gridCol w:w="129"/>
        <w:gridCol w:w="129"/>
        <w:gridCol w:w="251"/>
        <w:gridCol w:w="859"/>
        <w:gridCol w:w="197"/>
      </w:tblGrid>
      <w:tr>
        <w:trPr/>
        <w:tc>
          <w:tcPr>
            <w:tcW w:w="14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Segment Adjusted EBITDAR from Operations</w:t>
            </w:r>
            <w:r>
              <w:rPr>
                <w:rFonts w:ascii="Times New Roman;sans-serif" w:hAnsi="Times New Roman;sans-serif"/>
                <w:b w:val="false"/>
                <w:color w:val="000000"/>
                <w:sz w:val="13"/>
              </w:rPr>
              <w:t>(a)</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Depreciation and amortization</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Rent—cost of services</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Segment EBITDAR from Operations:</w:t>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Costs at start-up operations</w:t>
            </w:r>
            <w:r>
              <w:rPr>
                <w:rFonts w:ascii="Times New Roman;sans-serif" w:hAnsi="Times New Roman;sans-serif"/>
                <w:b w:val="false"/>
                <w:color w:val="000000"/>
                <w:sz w:val="13"/>
              </w:rPr>
              <w:t>(b)</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Share-based compensation expense</w:t>
            </w:r>
            <w:r>
              <w:rPr>
                <w:rFonts w:ascii="Times New Roman;sans-serif" w:hAnsi="Times New Roman;sans-serif"/>
                <w:b w:val="false"/>
                <w:color w:val="000000"/>
                <w:sz w:val="13"/>
              </w:rPr>
              <w:t>(c)</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Acquisition related costs and credit allowances</w:t>
            </w:r>
            <w:r>
              <w:rPr>
                <w:rFonts w:ascii="Times New Roman;sans-serif" w:hAnsi="Times New Roman;sans-serif"/>
                <w:b w:val="false"/>
                <w:color w:val="000000"/>
                <w:sz w:val="13"/>
              </w:rPr>
              <w:t>(d)</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3973"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3973"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Costs associated with transitioning operations</w:t>
            </w:r>
            <w:r>
              <w:rPr>
                <w:rFonts w:ascii="Times New Roman;sans-serif" w:hAnsi="Times New Roman;sans-serif"/>
                <w:b w:val="false"/>
                <w:color w:val="000000"/>
                <w:sz w:val="13"/>
              </w:rPr>
              <w:t>(e)</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Unusual, non-recurring or redundant charges</w:t>
            </w:r>
            <w:r>
              <w:rPr>
                <w:rFonts w:ascii="Times New Roman;sans-serif" w:hAnsi="Times New Roman;sans-serif"/>
                <w:b w:val="false"/>
                <w:color w:val="000000"/>
                <w:sz w:val="13"/>
              </w:rPr>
              <w:t>(f)</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Net income attributable to noncontrolling interest</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Income from Operations</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7,061 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7,144 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17,602 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6,355 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02"/>
        <w:gridCol w:w="2743"/>
        <w:gridCol w:w="3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3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Segment Adjusted EBITDAR from Operations is net income (loss)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 (3) acquisition related costs and credit allowances, (4) the costs associated with transitioning operations, (5) unusual, non-recurring or redundant charges, and (6) net income attributable to noncontrolling interest.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Non-capitalizable costs associated with acquisitions, credit allowances, and write offs for amounts in dispute with the prior owners of certain acquired operations.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During the nine months ended September 30, 2023, an affiliate of the Company placed its memory care units into transition and is actively seeking to sublease the units to an unrelated third party. The amount above represents the net operating impact attributable to the units in transition. The amounts reported exclude rent and depreciation and amortization expense related to such operations and include legal settlement costs associated with one of the entities transitioned to Ensign. </w:t>
              <w:br/>
              <w:br/>
              <w:t>During January 2022, affiliates of the Company entered into Transfer Agreements with affiliates of Ensign, providing for the transfer of the operations of certain senior living communities (the “Transaction”) from affiliates of the Company to affiliates of Ensign. The closing of the Transaction was completed in two phases with the transfer of two operations on March 1, 2022 and the remainder transferred on April 1, 2022. The amount above represents the net impact on revenue and cost of service attributable to all of the transferred entities. The amounts reported exclude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unusual or non-recurring charges for legal services, implementation costs, integration costs, and consulting fees in general and administrative and cost of services expenses. The amounts reported for the nine months ended September 30, 2022 include certain costs identified as redundant or non-recurring incurred by the Company for services provided by Ensign under the Transition Services Agreement, and were included in general and administrative expense.</w:t>
            </w:r>
          </w:p>
        </w:tc>
      </w:tr>
    </w:tbl>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and Valuation Measures: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380"/>
        <w:gridCol w:w="1213"/>
        <w:gridCol w:w="1217"/>
        <w:gridCol w:w="280"/>
        <w:gridCol w:w="959"/>
        <w:gridCol w:w="144"/>
        <w:gridCol w:w="144"/>
        <w:gridCol w:w="144"/>
        <w:gridCol w:w="144"/>
        <w:gridCol w:w="280"/>
        <w:gridCol w:w="819"/>
        <w:gridCol w:w="144"/>
        <w:gridCol w:w="109"/>
        <w:gridCol w:w="109"/>
        <w:gridCol w:w="109"/>
        <w:gridCol w:w="257"/>
        <w:gridCol w:w="882"/>
        <w:gridCol w:w="133"/>
        <w:gridCol w:w="133"/>
        <w:gridCol w:w="133"/>
        <w:gridCol w:w="133"/>
        <w:gridCol w:w="257"/>
        <w:gridCol w:w="882"/>
        <w:gridCol w:w="200"/>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Non-GAAP Financial Measures:</w:t>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Metrics</w:t>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EBITDA</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Adjusted EBITDA</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Metric</w:t>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Adjusted EBITDAR</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192" w:type="dxa"/>
        <w:jc w:val="left"/>
        <w:tblInd w:w="0" w:type="dxa"/>
        <w:tblLayout w:type="fixed"/>
        <w:tblCellMar>
          <w:top w:w="28" w:type="dxa"/>
          <w:left w:w="28" w:type="dxa"/>
          <w:bottom w:w="28" w:type="dxa"/>
          <w:right w:w="28" w:type="dxa"/>
        </w:tblCellMar>
      </w:tblPr>
      <w:tblGrid>
        <w:gridCol w:w="1342"/>
        <w:gridCol w:w="1178"/>
        <w:gridCol w:w="1185"/>
        <w:gridCol w:w="273"/>
        <w:gridCol w:w="934"/>
        <w:gridCol w:w="141"/>
        <w:gridCol w:w="141"/>
        <w:gridCol w:w="141"/>
        <w:gridCol w:w="141"/>
        <w:gridCol w:w="273"/>
        <w:gridCol w:w="934"/>
        <w:gridCol w:w="141"/>
        <w:gridCol w:w="109"/>
        <w:gridCol w:w="109"/>
        <w:gridCol w:w="109"/>
        <w:gridCol w:w="261"/>
        <w:gridCol w:w="894"/>
        <w:gridCol w:w="135"/>
        <w:gridCol w:w="135"/>
        <w:gridCol w:w="135"/>
        <w:gridCol w:w="135"/>
        <w:gridCol w:w="261"/>
        <w:gridCol w:w="894"/>
        <w:gridCol w:w="191"/>
      </w:tblGrid>
      <w:tr>
        <w:trPr/>
        <w:tc>
          <w:tcPr>
            <w:tcW w:w="134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Segment Non-GAAP Measures:</w:t>
            </w:r>
            <w:r>
              <w:rPr>
                <w:rFonts w:ascii="Times New Roman;sans-serif" w:hAnsi="Times New Roman;sans-serif"/>
                <w:b/>
                <w:color w:val="000000"/>
                <w:sz w:val="13"/>
              </w:rPr>
              <w:t>(a)</w:t>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 from Operations</w:t>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 services</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living services</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2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07"/>
        <w:gridCol w:w="2507"/>
        <w:gridCol w:w="35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35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General and administrative expenses are not allocated to any segment for purposes of determining segment profit or loss. </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reconcile Consolidated Net Income to the consolidated Non-GAAP financial measures, Consolidated EBITDA and Consolidated Adjusted EBITDA, and to the Non-GAAP valuation measure, Consolidated Adjusted EBITDAR, for the periods presented:</w:t>
      </w:r>
    </w:p>
    <w:tbl>
      <w:tblPr>
        <w:tblW w:w="10205" w:type="dxa"/>
        <w:jc w:val="left"/>
        <w:tblInd w:w="0" w:type="dxa"/>
        <w:tblLayout w:type="fixed"/>
        <w:tblCellMar>
          <w:top w:w="28" w:type="dxa"/>
          <w:left w:w="28" w:type="dxa"/>
          <w:bottom w:w="28" w:type="dxa"/>
          <w:right w:w="28" w:type="dxa"/>
        </w:tblCellMar>
      </w:tblPr>
      <w:tblGrid>
        <w:gridCol w:w="1366"/>
        <w:gridCol w:w="1168"/>
        <w:gridCol w:w="1175"/>
        <w:gridCol w:w="264"/>
        <w:gridCol w:w="904"/>
        <w:gridCol w:w="136"/>
        <w:gridCol w:w="136"/>
        <w:gridCol w:w="136"/>
        <w:gridCol w:w="136"/>
        <w:gridCol w:w="264"/>
        <w:gridCol w:w="772"/>
        <w:gridCol w:w="136"/>
        <w:gridCol w:w="109"/>
        <w:gridCol w:w="109"/>
        <w:gridCol w:w="109"/>
        <w:gridCol w:w="256"/>
        <w:gridCol w:w="877"/>
        <w:gridCol w:w="131"/>
        <w:gridCol w:w="131"/>
        <w:gridCol w:w="131"/>
        <w:gridCol w:w="131"/>
        <w:gridCol w:w="256"/>
        <w:gridCol w:w="749"/>
        <w:gridCol w:w="131"/>
        <w:gridCol w:w="109"/>
        <w:gridCol w:w="109"/>
        <w:gridCol w:w="109"/>
        <w:gridCol w:w="165"/>
      </w:tblGrid>
      <w:tr>
        <w:trPr/>
        <w:tc>
          <w:tcPr>
            <w:tcW w:w="1366"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492" w:type="dxa"/>
            <w:gridSpan w:val="4"/>
            <w:tcBorders/>
          </w:tcPr>
          <w:p>
            <w:pPr>
              <w:pStyle w:val="TableContents"/>
              <w:bidi w:val="0"/>
              <w:spacing w:before="0" w:after="283"/>
              <w:jc w:val="left"/>
              <w:rPr>
                <w:sz w:val="4"/>
                <w:szCs w:val="4"/>
              </w:rPr>
            </w:pPr>
            <w:r>
              <w:rPr>
                <w:sz w:val="4"/>
                <w:szCs w:val="4"/>
              </w:rPr>
            </w:r>
          </w:p>
        </w:tc>
      </w:tr>
      <w:tr>
        <w:trPr/>
        <w:tc>
          <w:tcPr>
            <w:tcW w:w="3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income</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Provision for income taxes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EBITDA</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Consolidated EBITDA</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Add: Costs at start-up operations</w:t>
            </w:r>
            <w:r>
              <w:rPr>
                <w:rFonts w:ascii="Times New Roman;sans-serif" w:hAnsi="Times New Roman;sans-serif"/>
                <w:b w:val="false"/>
                <w:color w:val="000000"/>
                <w:sz w:val="13"/>
              </w:rPr>
              <w:t>(a)</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Share-based compensation expense</w:t>
            </w:r>
            <w:r>
              <w:rPr>
                <w:rFonts w:ascii="Times New Roman;sans-serif" w:hAnsi="Times New Roman;sans-serif"/>
                <w:b w:val="false"/>
                <w:color w:val="000000"/>
                <w:sz w:val="13"/>
              </w:rPr>
              <w:t>(b)</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Acquisition related costs and credit allowances</w:t>
            </w:r>
            <w:r>
              <w:rPr>
                <w:rFonts w:ascii="Times New Roman;sans-serif" w:hAnsi="Times New Roman;sans-serif"/>
                <w:b w:val="false"/>
                <w:color w:val="000000"/>
                <w:sz w:val="13"/>
              </w:rPr>
              <w:t>(c)</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Costs associated with transitioning operations</w:t>
            </w:r>
            <w:r>
              <w:rPr>
                <w:rFonts w:ascii="Times New Roman;sans-serif" w:hAnsi="Times New Roman;sans-serif"/>
                <w:b w:val="false"/>
                <w:color w:val="000000"/>
                <w:sz w:val="13"/>
              </w:rPr>
              <w:t>(d)</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Unusual, non-recurring or redundant charges</w:t>
            </w:r>
            <w:r>
              <w:rPr>
                <w:rFonts w:ascii="Times New Roman;sans-serif" w:hAnsi="Times New Roman;sans-serif"/>
                <w:b w:val="false"/>
                <w:color w:val="000000"/>
                <w:sz w:val="13"/>
              </w:rPr>
              <w:t>(e)</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related to items (a) and (d) above</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Adjusted EBITDA</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Rent—cost of services</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related to items (a) and (d) above</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rent—cost of services</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Adjusted EBITDAR</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20,647 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57,262 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90"/>
        <w:gridCol w:w="2709"/>
        <w:gridCol w:w="38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38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Non-capitalizable costs associated with acquisitions, credit allowances, and write offs for amounts in dispute with the prior owners of certain acquired operations.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During the nine months ended September 30, 2023, an affiliate of the Company placed its memory care units into transition and is actively seeking to sublease the units to an unrelated third party. The amount above represents the net operating impact attributable to the units in transition. The amounts reported exclude rent and depreciation and amortization expense related to such operations and include legal settlement costs associated with one of the entities transitioned to Ensign. </w:t>
              <w:br/>
              <w:br/>
              <w:t>During January 2022, affiliates of the Company entered into Transfer Agreements with affiliates of Ensign, providing for the transfer of the operations of certain senior living communities (the “Transaction”) from affiliates of the Company to affiliates of Ensign. The closing of the Transaction was completed in two phases with the transfer of two operations on March 1, 2022 and the remainder transferred on April 1, 2022. The amount above represents the net impact on revenue and cost of service attributable to all of the transferred entities. The amounts reported exclude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Represents unusual or non-recurring charges for legal services, implementation costs, integration costs, and consulting fees in general and administrative and cost of services expenses. The amounts reported for the nine months ended September 30, 2022 include certain costs identified as redundant or non-recurring incurred by the Company for services provided by Ensign under the Transition Services Agreement, and were included in general and administrative expense.</w:t>
            </w:r>
          </w:p>
        </w:tc>
      </w:tr>
    </w:tbl>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reconciles Segment Adjusted EBITDAR from Operations to Segment Adjusted EBITDA from Operations for the periods presented:</w:t>
      </w:r>
    </w:p>
    <w:p>
      <w:pPr>
        <w:pStyle w:val="TextBody"/>
        <w:bidi w:val="0"/>
        <w:spacing w:before="0" w:after="0"/>
        <w:ind w:left="0" w:right="0" w:firstLine="720"/>
        <w:jc w:val="both"/>
        <w:rPr/>
      </w:pPr>
      <w:r>
        <w:rPr/>
      </w:r>
    </w:p>
    <w:tbl>
      <w:tblPr>
        <w:tblW w:w="9405" w:type="dxa"/>
        <w:jc w:val="left"/>
        <w:tblInd w:w="0" w:type="dxa"/>
        <w:tblLayout w:type="fixed"/>
        <w:tblCellMar>
          <w:top w:w="28" w:type="dxa"/>
          <w:left w:w="28" w:type="dxa"/>
          <w:bottom w:w="28" w:type="dxa"/>
          <w:right w:w="28" w:type="dxa"/>
        </w:tblCellMar>
      </w:tblPr>
      <w:tblGrid>
        <w:gridCol w:w="1563"/>
        <w:gridCol w:w="1374"/>
        <w:gridCol w:w="138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Rent—cost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related to start-up and transitioning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tbl>
      <w:tblPr>
        <w:tblW w:w="9510" w:type="dxa"/>
        <w:jc w:val="left"/>
        <w:tblInd w:w="0" w:type="dxa"/>
        <w:tblLayout w:type="fixed"/>
        <w:tblCellMar>
          <w:top w:w="28" w:type="dxa"/>
          <w:left w:w="28" w:type="dxa"/>
          <w:bottom w:w="28" w:type="dxa"/>
          <w:right w:w="28" w:type="dxa"/>
        </w:tblCellMar>
      </w:tblPr>
      <w:tblGrid>
        <w:gridCol w:w="1563"/>
        <w:gridCol w:w="1374"/>
        <w:gridCol w:w="138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Rent—cost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related to start-up and transitioning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following discussion includes references to certain performance and valuation measures, which are non-GAAP financial measures, including Consolidated EBITDA, Consolidated Adjusted EBITDA, Segment Adjusted EBITDA from Operations, and Consolidated Adjusted EBITDAR (collectively, “Non-GAAP Financial Measures”).</w:t>
      </w:r>
      <w:r>
        <w:rPr>
          <w:color w:val="000000"/>
        </w:rPr>
        <w:t> </w:t>
      </w:r>
      <w:r>
        <w:rPr>
          <w:rFonts w:ascii="Times New Roman;sans-serif" w:hAnsi="Times New Roman;sans-serif"/>
          <w:b w:val="false"/>
          <w:color w:val="000000"/>
          <w:sz w:val="20"/>
        </w:rPr>
        <w:t>Non-GAAP Financial Measures are used in addition to, and in conjunction with, results presented in accordance with GAAP and should not be relied upon to the exclusion of GAAP financial measures. Non-GAAP Financial Measures reflect an additional way of viewing aspects of our operations and company that, when viewed with our GAAP results and the accompanying reconciliations to corresponding GAAP financial measures, we believe can provide a more comprehensive understanding of factors and trends affecting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these Non-GAAP Financial Measures are useful to investors and other external users of our financial statements regarding our results of operations because: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they are widely used by investors and analysts in our industry as a supplemental measure to evaluate the overall performance of companies in our industry without regard to items such as interest expense, rent expense and depreciation and amortization, which can vary substantially from company to company depending on the book value of assets, the method by which assets were acquired, and differences in capital structures;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they help investors evaluate and compare the results of our operations from period to period by removing the impact of our asset base and capital structure from our operating results;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Consolidated Adjusted EBITDAR is used by investors and analysts in our industry to value the companies in our industry without regard to capital structures.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use Non-GAAP Financial Measures:</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as measurements of our operating performance to assist us in comparing our operating performance on a consistent basis from period to period;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to allocate resources to enhance the financial performance of our business;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to assess the value of a potential acquisition;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to assess the value of a transformed operation’s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to evaluate the effectiveness of our operational strategies;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to compare our operating performance to that of our competitors.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typically use Non-GAAP Financial Measures to compare the operating performance of each operation from period to period. We find that Non-GAAP Financial Measures are useful for this purpose because they do not include such costs as interest expense, income taxes, depreciation and amortization expense, which may vary from period-to-period depending upon various factors, including the method used to finance operations, the date of acquisition of a community or business, and the tax law of the state in which a business unit operates.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establish compensation programs and bonuses for our leaders that are partially based upon the achievement of Consolidated Adjusted EBITDAR targets.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have no standardized meaning defined by GAAP. Therefore, our Non-GAAP Financial Measures have limitations as analytical tools, and they should not be considered in isolation, or as a substitute for analysis of our results as reported in accordance with GAAP. Some of these limitations are: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they do not reflect our current or future cash requirements for capital expenditures or contractual commitments;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they do not reflect changes in, or cash requirements for, our working capital needs;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they do not reflect the net interest expense, or the cash requirements necessary to service interest or principal payments, on our debt;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 the case of Consolidated Adjusted EBITDAR, it does not reflect rent expenses, which are normal and recurring operating expenses that are necessary to operate our leased operations;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they do not reflect any income tax payments we may be required to make;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although depreciation and amortization are non-cash charges, the assets being depreciated and amortized will often have to be replaced in the future, and do not reflect any cash requirements for such replacements;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companies in our industry may calculate the same Non-GAAP Financial Measures differently than we do, which may limit their usefulness as comparative measures.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compensate for these limitations by using Non-GAAP Financial Measures only to supplement net income on a basis prepared in accordance with GAAP in order to provide a more complete understanding of the factors and trends affecting our business. Our use of Non-GAAP Financial Measures should not be construed as an inference that our future results will be unaffected by unusual or unexpected items.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strongly encourage investors to review the Interim Financial Statements, included in this Quarterly Report in their entirety and to not rely on any single financial measure. Because these Non-GAAP Financial Measures are not standardized, it may not be possible to compare these financial measures with other companies’ non-GAAP financial measures having the same or similar names. These Non-GAAP Financial Measures should not be considered a substitute for, nor superior to, financial results and measures determined or calculated in accordance with GAAP. We strongly urge you to review the reconciliation of Consolidated Net Income to the Non-GAAP Financial Measures in the table presented above, along with the Interim Financial Statements and related notes included elsewhere in this Quarterly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Non-GAAP Financial Measures are useful to investors as key operating performance measures and valuation measures: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i/>
          <w:color w:val="000000"/>
          <w:sz w:val="20"/>
        </w:rPr>
        <w:t>Performance Measures: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Consolidated EBITDA</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Consolidated EBITDA is useful to investors in evaluating our operating performance because it helps investors evaluate and compare the results of our operations from period to period by removing the impact of our asset base (depreciation and amortization expense) from our operating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Consolidated EBITDA as net income, before (a) interest expense (b) provision for income taxes and (c) depreciation and amortization.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Consolidated Adjusted EBITDA</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adjust Consolidated EBITDA when evaluating our performance because we believe that the exclusion of the additional items described below provides useful supplemental information to investors regarding our ongoing operating performance. We believe that the presentation of Consolidated Adjusted EBITDA, when considered with Consolidated EBITDA and GAAP Consolidated Net Income is beneficial to an investor’s complete understanding of our operating performance.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Consolidated Adjusted EBITDA by adjusting Consolidated EBITDA to exclude the effects of non-core business items, which for the reported periods includes, to the extent applicable: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costs at start-up operations;</w:t>
      </w:r>
    </w:p>
    <w:p>
      <w:pPr>
        <w:pStyle w:val="TextBody"/>
        <w:bidi w:val="0"/>
        <w:spacing w:lineRule="auto" w:line="288" w:before="0" w:after="120"/>
        <w:jc w:val="left"/>
        <w:rPr/>
      </w:pPr>
      <w:r>
        <w:rPr>
          <w:color w:val="000000"/>
        </w:rPr>
        <w:t>•</w:t>
      </w:r>
      <w:r>
        <w:rPr>
          <w:rFonts w:ascii="Times New Roman;sans-serif" w:hAnsi="Times New Roman;sans-serif"/>
          <w:b w:val="false"/>
          <w:color w:val="000000"/>
          <w:sz w:val="20"/>
        </w:rPr>
        <w:t>share-based compensation expense;</w:t>
      </w:r>
    </w:p>
    <w:p>
      <w:pPr>
        <w:pStyle w:val="TextBody"/>
        <w:bidi w:val="0"/>
        <w:spacing w:lineRule="auto" w:line="288" w:before="0" w:after="120"/>
        <w:jc w:val="left"/>
        <w:rPr/>
      </w:pPr>
      <w:r>
        <w:rPr>
          <w:color w:val="000000"/>
        </w:rPr>
        <w:t>•</w:t>
      </w:r>
      <w:r>
        <w:rPr>
          <w:rFonts w:ascii="Times New Roman;sans-serif" w:hAnsi="Times New Roman;sans-serif"/>
          <w:b w:val="false"/>
          <w:color w:val="000000"/>
          <w:sz w:val="20"/>
        </w:rPr>
        <w:t>acquisition related costs and credit allowances;</w:t>
      </w:r>
      <w:r>
        <w:rPr>
          <w:color w:val="000000"/>
          <w:shd w:fill="FFFFFF" w:val="clear"/>
        </w:rPr>
        <w:t xml:space="preserve"> </w:t>
      </w:r>
    </w:p>
    <w:p>
      <w:pPr>
        <w:pStyle w:val="TextBody"/>
        <w:bidi w:val="0"/>
        <w:spacing w:lineRule="auto" w:line="288" w:before="0" w:after="120"/>
        <w:ind w:left="0" w:right="0" w:hanging="360"/>
        <w:jc w:val="left"/>
        <w:rPr/>
      </w:pPr>
      <w:r>
        <w:rPr>
          <w:color w:val="000000"/>
          <w:shd w:fill="FFFFFF" w:val="clear"/>
        </w:rPr>
        <w:t>•</w:t>
      </w:r>
      <w:r>
        <w:rPr>
          <w:rFonts w:ascii="Times New Roman;sans-serif" w:hAnsi="Times New Roman;sans-serif"/>
          <w:b w:val="false"/>
          <w:color w:val="000000"/>
          <w:sz w:val="20"/>
        </w:rPr>
        <w:t xml:space="preserve">costs associated with transitioning operations; </w:t>
      </w:r>
      <w:r>
        <w:rPr>
          <w:rFonts w:ascii="Times New Roman;sans-serif" w:hAnsi="Times New Roman;sans-serif"/>
          <w:b w:val="false"/>
          <w:color w:val="000000"/>
          <w:sz w:val="20"/>
          <w:shd w:fill="FFFFFF" w:val="clear"/>
        </w:rPr>
        <w:t>and</w:t>
      </w:r>
    </w:p>
    <w:p>
      <w:pPr>
        <w:pStyle w:val="TextBody"/>
        <w:bidi w:val="0"/>
        <w:spacing w:lineRule="auto" w:line="288" w:before="0" w:after="120"/>
        <w:ind w:left="0" w:right="0" w:hanging="360"/>
        <w:jc w:val="left"/>
        <w:rPr/>
      </w:pPr>
      <w:r>
        <w:rPr>
          <w:color w:val="000000"/>
          <w:shd w:fill="FFFFFF" w:val="clear"/>
        </w:rPr>
        <w:t>•</w:t>
      </w:r>
      <w:r>
        <w:rPr>
          <w:rFonts w:ascii="Times New Roman;sans-serif" w:hAnsi="Times New Roman;sans-serif"/>
          <w:b w:val="false"/>
          <w:color w:val="000000"/>
          <w:sz w:val="20"/>
          <w:shd w:fill="FFFFFF" w:val="clear"/>
        </w:rPr>
        <w:t>unusual, non-recurring, or redundant charges.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Adjusted EBITDA from Operations</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calculate Segment Adjusted EBITDA from Operations by adjusting Segment Adjusted EBITDAR from Operations to include rent-cost of services. We believe that the inclusion of rent-cost of services provides useful supplemental information to investors regarding our ongoing operating performance for each segment.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i/>
          <w:color w:val="000000"/>
          <w:sz w:val="20"/>
        </w:rPr>
        <w:t>Valuation Measure</w:t>
      </w:r>
      <w:r>
        <w:rPr>
          <w:rFonts w:ascii="Times New Roman;sans-serif" w:hAnsi="Times New Roman;sans-serif"/>
          <w:b/>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Consolidated Adjusted EBITDAR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use Consolidated Adjusted EBITDAR as one measure in determining the value of prospective acquisitions. It is also a measure commonly used by us, research analysts and investors to compare the enterprise value of different companies in the healthcare industry, without regard to differences in capital structures. Additionally, we believe the use of Consolidated Adjusted EBITDAR allows us, research analysts and investors to compare operational results of companies with operating and finance leases. A significant portion of finance lease expenditures are recorded in interest, whereas operating lease expenditures are recorded in rent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measure is not displayed as a performance measure as it excludes rent expense, which is a normal and recurring operating expense and, as such, does not reflect our cash requirements for leasing commitments. Our presentation of Consolidated Adjusted EBITDAR should not be construed as a financial performance measure.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adjustments made and previously described in the computation of Consolidated Adjusted EBITDA are also made when computing Consolidated Adjusted EBITDAR. We calculate Consolidated Adjusted EBITDAR by excluding rent-cost of services and rent related to start up operations from Consolidated Adjusted EBITDA.</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Three Months Ended September 30, 2023 Compared to the Three Months Ended September 30, 2022 </w:t>
      </w:r>
    </w:p>
    <w:p>
      <w:pPr>
        <w:pStyle w:val="TextBody"/>
        <w:bidi w:val="0"/>
        <w:spacing w:lineRule="auto" w:line="288" w:before="0" w:after="0"/>
        <w:jc w:val="left"/>
        <w:rPr/>
      </w:pPr>
      <w:r>
        <w:rPr>
          <w:rFonts w:ascii="Times New Roman;sans-serif" w:hAnsi="Times New Roman;sans-serif"/>
          <w:b/>
          <w:i/>
          <w:color w:val="000000"/>
          <w:sz w:val="20"/>
        </w:rPr>
        <w:t>Revenue</w:t>
      </w:r>
      <w:r>
        <w:rPr>
          <w:color w:val="000000"/>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43"/>
        <w:gridCol w:w="916"/>
        <w:gridCol w:w="920"/>
        <w:gridCol w:w="264"/>
        <w:gridCol w:w="1037"/>
        <w:gridCol w:w="136"/>
        <w:gridCol w:w="109"/>
        <w:gridCol w:w="109"/>
        <w:gridCol w:w="109"/>
        <w:gridCol w:w="400"/>
        <w:gridCol w:w="374"/>
        <w:gridCol w:w="934"/>
        <w:gridCol w:w="109"/>
        <w:gridCol w:w="109"/>
        <w:gridCol w:w="109"/>
        <w:gridCol w:w="264"/>
        <w:gridCol w:w="1037"/>
        <w:gridCol w:w="136"/>
        <w:gridCol w:w="109"/>
        <w:gridCol w:w="109"/>
        <w:gridCol w:w="109"/>
        <w:gridCol w:w="378"/>
        <w:gridCol w:w="354"/>
        <w:gridCol w:w="1031"/>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Percentage</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 services</w:t>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44,921 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9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0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Home care and other</w:t>
            </w:r>
            <w:r>
              <w:rPr>
                <w:rFonts w:ascii="Times New Roman;sans-serif" w:hAnsi="Times New Roman;sans-serif"/>
                <w:b w:val="false"/>
                <w:color w:val="000000"/>
                <w:sz w:val="13"/>
              </w:rPr>
              <w:t>(a)</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home health and hospice services</w:t>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101,474 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85,779 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living services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140,192 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118,350 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861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29"/>
        <w:gridCol w:w="2329"/>
        <w:gridCol w:w="32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32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Home care and other revenue is included with home health revenue in other disclosures in this Quarterly Report.</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total revenue increased $21.8 million, or 18.5% during the three months ended September 30, 2023. We experienced growth of $15.7 million from increased operational performance in our Home Health and Hospice segment from increased admissions and rates when compared to the three months ended September 30, 2022. The growth in our Senior Living segment resulted in an increase in revenue of $6.1 million driven primarily by the combination of increased occupancy and improved average rate per occupied room. </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Home Health and Hospice Services</w:t>
      </w:r>
    </w:p>
    <w:tbl>
      <w:tblPr>
        <w:tblW w:w="10205" w:type="dxa"/>
        <w:jc w:val="left"/>
        <w:tblInd w:w="0" w:type="dxa"/>
        <w:tblLayout w:type="fixed"/>
        <w:tblCellMar>
          <w:top w:w="28" w:type="dxa"/>
          <w:left w:w="28" w:type="dxa"/>
          <w:bottom w:w="28" w:type="dxa"/>
          <w:right w:w="28" w:type="dxa"/>
        </w:tblCellMar>
      </w:tblPr>
      <w:tblGrid>
        <w:gridCol w:w="1598"/>
        <w:gridCol w:w="1372"/>
        <w:gridCol w:w="1380"/>
        <w:gridCol w:w="253"/>
        <w:gridCol w:w="997"/>
        <w:gridCol w:w="131"/>
        <w:gridCol w:w="131"/>
        <w:gridCol w:w="131"/>
        <w:gridCol w:w="131"/>
        <w:gridCol w:w="253"/>
        <w:gridCol w:w="871"/>
        <w:gridCol w:w="131"/>
        <w:gridCol w:w="109"/>
        <w:gridCol w:w="109"/>
        <w:gridCol w:w="109"/>
        <w:gridCol w:w="211"/>
        <w:gridCol w:w="721"/>
        <w:gridCol w:w="109"/>
        <w:gridCol w:w="109"/>
        <w:gridCol w:w="109"/>
        <w:gridCol w:w="109"/>
        <w:gridCol w:w="255"/>
        <w:gridCol w:w="256"/>
        <w:gridCol w:w="620"/>
      </w:tblGrid>
      <w:tr>
        <w:trPr/>
        <w:tc>
          <w:tcPr>
            <w:tcW w:w="159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 revenue</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services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44,921 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services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care and other</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home health and hospice revenue</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101,474 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85,779 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services:</w:t>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home health admissions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Medicare home health admissions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Medicare revenue per 60-day completed episode</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services:</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hospice admissions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hospice census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Medicare revenue per day</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home health and hospice agencies at period end</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Home health and hospice revenue increased $15.7 million, or 18.3%. Revenue grew due to an increase in certain key performance indicators including, an increase of 6.7% in total home health admissions, an increase in total hospice admissions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1.7%, an increase in average daily hospice census of 17.7%, and an increase of 4.0% in hospice Medicare revenue per day, during the three months ended September 30, 2023 compared to the prior year quarter. Growth was also driven by the addition of nine home health and hospice operations between September 30, 2022 and September 30, 2023, resulting in an increase of $3.8 million or 4.4%.</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Senior Living Services</w:t>
      </w:r>
    </w:p>
    <w:tbl>
      <w:tblPr>
        <w:tblW w:w="9682" w:type="dxa"/>
        <w:jc w:val="left"/>
        <w:tblInd w:w="0" w:type="dxa"/>
        <w:tblLayout w:type="fixed"/>
        <w:tblCellMar>
          <w:top w:w="28" w:type="dxa"/>
          <w:left w:w="28" w:type="dxa"/>
          <w:bottom w:w="28" w:type="dxa"/>
          <w:right w:w="28" w:type="dxa"/>
        </w:tblCellMar>
      </w:tblPr>
      <w:tblGrid>
        <w:gridCol w:w="1334"/>
        <w:gridCol w:w="1174"/>
        <w:gridCol w:w="1181"/>
        <w:gridCol w:w="240"/>
        <w:gridCol w:w="823"/>
        <w:gridCol w:w="309"/>
        <w:gridCol w:w="124"/>
        <w:gridCol w:w="124"/>
        <w:gridCol w:w="124"/>
        <w:gridCol w:w="240"/>
        <w:gridCol w:w="823"/>
        <w:gridCol w:w="309"/>
        <w:gridCol w:w="109"/>
        <w:gridCol w:w="109"/>
        <w:gridCol w:w="109"/>
        <w:gridCol w:w="211"/>
        <w:gridCol w:w="616"/>
        <w:gridCol w:w="271"/>
        <w:gridCol w:w="109"/>
        <w:gridCol w:w="109"/>
        <w:gridCol w:w="109"/>
        <w:gridCol w:w="255"/>
        <w:gridCol w:w="256"/>
        <w:gridCol w:w="614"/>
      </w:tblGrid>
      <w:tr>
        <w:trPr/>
        <w:tc>
          <w:tcPr>
            <w:tcW w:w="133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(in thousands)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38,718 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32,571 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communities at period end</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monthly revenue per occupied unit</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Senior living revenue increased $6.1 million, or 18.9%, for the three months ended September 30, 2023 compared to the prior year quarter. Revenue grew primarily due to a 12.1% increase in average monthly revenue per occupied unit and an increase of 240 basis points in occupancy between September 30, 2022</w:t>
      </w:r>
      <w:r>
        <w:rPr>
          <w:color w:val="000000"/>
          <w:shd w:fill="FFFFFF" w:val="clear"/>
        </w:rPr>
        <w:t xml:space="preserve"> </w:t>
      </w:r>
      <w:r>
        <w:rPr>
          <w:rFonts w:ascii="Times New Roman;sans-serif" w:hAnsi="Times New Roman;sans-serif"/>
          <w:b w:val="false"/>
          <w:color w:val="000000"/>
          <w:sz w:val="20"/>
          <w:shd w:fill="FFFFFF" w:val="clear"/>
        </w:rPr>
        <w:t xml:space="preserve">and September 30, 2023. </w:t>
      </w:r>
      <w:r>
        <w:rPr>
          <w:rFonts w:ascii="Times New Roman;sans-serif" w:hAnsi="Times New Roman;sans-serif"/>
          <w:b w:val="false"/>
          <w:color w:val="000000"/>
          <w:sz w:val="20"/>
        </w:rPr>
        <w:t xml:space="preserve">Growth was also driven by the addition of two senior living communities between September 30, 2022 and September 30, 2023, resulting in an increase of $0.6 million or 1.8% overall.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Cost of Services</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total cost of services by each of our reportable segments for the periods indicated: </w:t>
      </w:r>
    </w:p>
    <w:p>
      <w:pPr>
        <w:pStyle w:val="TextBody"/>
        <w:bidi w:val="0"/>
        <w:spacing w:before="0" w:after="0"/>
        <w:ind w:left="0" w:right="0" w:firstLine="720"/>
        <w:jc w:val="left"/>
        <w:rPr/>
      </w:pPr>
      <w:r>
        <w:rPr/>
      </w:r>
    </w:p>
    <w:tbl>
      <w:tblPr>
        <w:tblW w:w="8172" w:type="dxa"/>
        <w:jc w:val="left"/>
        <w:tblInd w:w="0" w:type="dxa"/>
        <w:tblLayout w:type="fixed"/>
        <w:tblCellMar>
          <w:top w:w="28" w:type="dxa"/>
          <w:left w:w="28" w:type="dxa"/>
          <w:bottom w:w="28" w:type="dxa"/>
          <w:right w:w="28" w:type="dxa"/>
        </w:tblCellMar>
      </w:tblPr>
      <w:tblGrid>
        <w:gridCol w:w="810"/>
        <w:gridCol w:w="710"/>
        <w:gridCol w:w="715"/>
        <w:gridCol w:w="261"/>
        <w:gridCol w:w="1025"/>
        <w:gridCol w:w="135"/>
        <w:gridCol w:w="135"/>
        <w:gridCol w:w="135"/>
        <w:gridCol w:w="135"/>
        <w:gridCol w:w="261"/>
        <w:gridCol w:w="895"/>
        <w:gridCol w:w="135"/>
        <w:gridCol w:w="109"/>
        <w:gridCol w:w="109"/>
        <w:gridCol w:w="109"/>
        <w:gridCol w:w="211"/>
        <w:gridCol w:w="721"/>
        <w:gridCol w:w="109"/>
        <w:gridCol w:w="109"/>
        <w:gridCol w:w="109"/>
        <w:gridCol w:w="109"/>
        <w:gridCol w:w="255"/>
        <w:gridCol w:w="256"/>
        <w:gridCol w:w="614"/>
      </w:tblGrid>
      <w:tr>
        <w:trP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84,795 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71,112 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Living</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services</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112,384 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94,680 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consolidated cost of services increased $17.7 million, or 18.7%, for the three months ended September 30, 2023 when compared to the three months ended September 30, 2022. Cost of services as a percentage of revenue increased by 20 basis points from 80.0% to 80.2% for the three months ended September 30, 2023 when compared to the three months ended September 30, 2022.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Home Health and Hospice Services</w:t>
      </w:r>
    </w:p>
    <w:p>
      <w:pPr>
        <w:pStyle w:val="TextBody"/>
        <w:bidi w:val="0"/>
        <w:spacing w:before="0" w:after="0"/>
        <w:jc w:val="both"/>
        <w:rPr/>
      </w:pPr>
      <w:r>
        <w:rPr/>
      </w:r>
    </w:p>
    <w:tbl>
      <w:tblPr>
        <w:tblW w:w="9668" w:type="dxa"/>
        <w:jc w:val="left"/>
        <w:tblInd w:w="0" w:type="dxa"/>
        <w:tblLayout w:type="fixed"/>
        <w:tblCellMar>
          <w:top w:w="28" w:type="dxa"/>
          <w:left w:w="28" w:type="dxa"/>
          <w:bottom w:w="28" w:type="dxa"/>
          <w:right w:w="28" w:type="dxa"/>
        </w:tblCellMar>
      </w:tblPr>
      <w:tblGrid>
        <w:gridCol w:w="1293"/>
        <w:gridCol w:w="1136"/>
        <w:gridCol w:w="1141"/>
        <w:gridCol w:w="240"/>
        <w:gridCol w:w="823"/>
        <w:gridCol w:w="309"/>
        <w:gridCol w:w="124"/>
        <w:gridCol w:w="124"/>
        <w:gridCol w:w="124"/>
        <w:gridCol w:w="240"/>
        <w:gridCol w:w="823"/>
        <w:gridCol w:w="309"/>
        <w:gridCol w:w="109"/>
        <w:gridCol w:w="109"/>
        <w:gridCol w:w="109"/>
        <w:gridCol w:w="211"/>
        <w:gridCol w:w="721"/>
        <w:gridCol w:w="271"/>
        <w:gridCol w:w="109"/>
        <w:gridCol w:w="109"/>
        <w:gridCol w:w="109"/>
        <w:gridCol w:w="255"/>
        <w:gridCol w:w="256"/>
        <w:gridCol w:w="614"/>
      </w:tblGrid>
      <w:tr>
        <w:trPr/>
        <w:tc>
          <w:tcPr>
            <w:tcW w:w="129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 </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84,795 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71,112 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as a percentage of revenue</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services related to our Home Health and Hospice Services segment increased $13.7 million, or 19.2%, primarily due to increased volume of services provided. Cost of services as a percentage of revenue for the three months ended September 30, 2023 increased 70 basis points for the three months ended September 30, 2023 when compared to the three months ended September 30, 2022, primarily due to increased wages, benefits and other staffing costs.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Senior Living Services </w:t>
      </w:r>
    </w:p>
    <w:p>
      <w:pPr>
        <w:pStyle w:val="TextBody"/>
        <w:bidi w:val="0"/>
        <w:spacing w:before="0" w:after="0"/>
        <w:jc w:val="both"/>
        <w:rPr/>
      </w:pPr>
      <w:r>
        <w:rPr/>
      </w:r>
    </w:p>
    <w:tbl>
      <w:tblPr>
        <w:tblW w:w="9563" w:type="dxa"/>
        <w:jc w:val="left"/>
        <w:tblInd w:w="0" w:type="dxa"/>
        <w:tblLayout w:type="fixed"/>
        <w:tblCellMar>
          <w:top w:w="28" w:type="dxa"/>
          <w:left w:w="28" w:type="dxa"/>
          <w:bottom w:w="28" w:type="dxa"/>
          <w:right w:w="28" w:type="dxa"/>
        </w:tblCellMar>
      </w:tblPr>
      <w:tblGrid>
        <w:gridCol w:w="1293"/>
        <w:gridCol w:w="1136"/>
        <w:gridCol w:w="1141"/>
        <w:gridCol w:w="240"/>
        <w:gridCol w:w="823"/>
        <w:gridCol w:w="309"/>
        <w:gridCol w:w="124"/>
        <w:gridCol w:w="124"/>
        <w:gridCol w:w="124"/>
        <w:gridCol w:w="240"/>
        <w:gridCol w:w="823"/>
        <w:gridCol w:w="309"/>
        <w:gridCol w:w="109"/>
        <w:gridCol w:w="109"/>
        <w:gridCol w:w="109"/>
        <w:gridCol w:w="211"/>
        <w:gridCol w:w="616"/>
        <w:gridCol w:w="271"/>
        <w:gridCol w:w="109"/>
        <w:gridCol w:w="109"/>
        <w:gridCol w:w="109"/>
        <w:gridCol w:w="255"/>
        <w:gridCol w:w="256"/>
        <w:gridCol w:w="614"/>
      </w:tblGrid>
      <w:tr>
        <w:trPr/>
        <w:tc>
          <w:tcPr>
            <w:tcW w:w="129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 </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27,589 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23,568 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as a percentage of revenue</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Cost of services related to our Senior Living Services segment increased $4.0 million, or 17.1%, primarily due to increased wages and benefits. As a percentage of revenue, costs of service decreased by 110 basis points for the three months ended September 30, 2023 when compared to the three months ended September 30, 2022.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Rent—Cost of Services</w:t>
      </w:r>
      <w:r>
        <w:rPr>
          <w:rFonts w:ascii="Times New Roman;sans-serif" w:hAnsi="Times New Roman;sans-serif"/>
          <w:b w:val="false"/>
          <w:color w:val="000000"/>
          <w:sz w:val="20"/>
        </w:rPr>
        <w:t>. Rent expense increased 6.5% from $9.4 million to $10.0 million in the three months ended September 30, 2023 when compared to the three months ended September 30, 2022, primarily as a result of the newly acquired senior living communities. Rent as a percentage of total revenue decreased 80 basis points from 7.9% to 7.1% for the three months ended September 30, 2023 compared to the three months ended September 30, 2022.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General and Administrative Expense. </w:t>
      </w:r>
      <w:r>
        <w:rPr>
          <w:rFonts w:ascii="Times New Roman;sans-serif" w:hAnsi="Times New Roman;sans-serif"/>
          <w:b w:val="false"/>
          <w:color w:val="000000"/>
          <w:sz w:val="20"/>
        </w:rPr>
        <w:t xml:space="preserve">Our general and administrative expense increased $3.5 million or 60.2% from $5.9 million to $9.4 million for the three months ended September 30, 2023 when compared to the three months ended September 30, 2022. General and administrative expense as a percentage of revenue increased 170 basis points from 5.0% to 6.7%. The primary driver of the increase in general and administrative expense was the increase in share-based compensation of $3.7 million due primarily to the modification of certain outstanding RSUs during the three months ended September 30, 2022 that resulted in a reduction of expense in that quarter. For further detail see Note 12, </w:t>
      </w:r>
      <w:r>
        <w:rPr>
          <w:rFonts w:ascii="Times New Roman;sans-serif" w:hAnsi="Times New Roman;sans-serif"/>
          <w:b w:val="false"/>
          <w:i/>
          <w:color w:val="000000"/>
          <w:sz w:val="20"/>
        </w:rPr>
        <w:t xml:space="preserve">Options and Awards </w:t>
      </w:r>
      <w:r>
        <w:rPr>
          <w:rFonts w:ascii="Times New Roman;sans-serif" w:hAnsi="Times New Roman;sans-serif"/>
          <w:b w:val="false"/>
          <w:color w:val="000000"/>
          <w:sz w:val="20"/>
        </w:rPr>
        <w:t>to the Interim Financial Statements included elsewhere in this Quarterly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Depreciation and Amortization.</w:t>
      </w:r>
      <w:r>
        <w:rPr>
          <w:color w:val="000000"/>
        </w:rPr>
        <w:t xml:space="preserve"> </w:t>
      </w:r>
      <w:r>
        <w:rPr>
          <w:rFonts w:ascii="Times New Roman;sans-serif" w:hAnsi="Times New Roman;sans-serif"/>
          <w:b w:val="false"/>
          <w:color w:val="000000"/>
          <w:sz w:val="20"/>
        </w:rPr>
        <w:t xml:space="preserve">Depreciation and amortization expense was essentially flat as a percentage of total revenue. The impact of increased capital expenditures on depreciation was offset by the prior year impairment of assets that were transferred to Ensign during the current year.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Provision for Income Taxes</w:t>
      </w:r>
      <w:r>
        <w:rPr>
          <w:rFonts w:ascii="Times New Roman;sans-serif" w:hAnsi="Times New Roman;sans-serif"/>
          <w:b w:val="false"/>
          <w:color w:val="000000"/>
          <w:sz w:val="20"/>
        </w:rPr>
        <w:t>. We recorded income tax expense of $1.1 million and $1.1 million or 19.3% and 17.7% of earnings before income taxes for the three months ended September 30, 2023 and 2022, respectively. The increase in the effective tax rate is primarily due to not having the impact of the Ensign Transaction in the current year.</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Nine Months Ended September 30, 2023 Compared to the Nine Months Ended September 30, 2022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Revenue</w:t>
      </w:r>
      <w:r>
        <w:rPr>
          <w:color w:val="000000"/>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43"/>
        <w:gridCol w:w="916"/>
        <w:gridCol w:w="920"/>
        <w:gridCol w:w="264"/>
        <w:gridCol w:w="1037"/>
        <w:gridCol w:w="136"/>
        <w:gridCol w:w="109"/>
        <w:gridCol w:w="109"/>
        <w:gridCol w:w="109"/>
        <w:gridCol w:w="400"/>
        <w:gridCol w:w="374"/>
        <w:gridCol w:w="934"/>
        <w:gridCol w:w="109"/>
        <w:gridCol w:w="109"/>
        <w:gridCol w:w="109"/>
        <w:gridCol w:w="264"/>
        <w:gridCol w:w="1037"/>
        <w:gridCol w:w="136"/>
        <w:gridCol w:w="109"/>
        <w:gridCol w:w="109"/>
        <w:gridCol w:w="109"/>
        <w:gridCol w:w="378"/>
        <w:gridCol w:w="354"/>
        <w:gridCol w:w="1031"/>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Percentage</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 services</w:t>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117,962 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140,222 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9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117,704 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Home care and other</w:t>
            </w:r>
            <w:r>
              <w:rPr>
                <w:rFonts w:ascii="Times New Roman;sans-serif" w:hAnsi="Times New Roman;sans-serif"/>
                <w:b w:val="false"/>
                <w:color w:val="000000"/>
                <w:sz w:val="13"/>
              </w:rPr>
              <w:t>(a)</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home health and hospice services</w:t>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287,573 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251,598 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living services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111,364 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96,978 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398,937 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348,576 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861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29"/>
        <w:gridCol w:w="2329"/>
        <w:gridCol w:w="32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32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Home care and other revenue is included with home health revenue in other disclosures in this Quarterly Report.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total revenue increased $50.4 million, or 14.4%, during the nine months ended September 30, 2023. The increase in revenue was driven by increases in key metrics for home health and hospice and senior living, including hospice admissions, hospice revenue per day, hospice average daily census, senior living occupancy, and senior living revenue per occupied room.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Home Health and Hospice Services</w:t>
      </w:r>
    </w:p>
    <w:tbl>
      <w:tblPr>
        <w:tblW w:w="10205" w:type="dxa"/>
        <w:jc w:val="left"/>
        <w:tblInd w:w="0" w:type="dxa"/>
        <w:tblLayout w:type="fixed"/>
        <w:tblCellMar>
          <w:top w:w="28" w:type="dxa"/>
          <w:left w:w="28" w:type="dxa"/>
          <w:bottom w:w="28" w:type="dxa"/>
          <w:right w:w="28" w:type="dxa"/>
        </w:tblCellMar>
      </w:tblPr>
      <w:tblGrid>
        <w:gridCol w:w="1625"/>
        <w:gridCol w:w="1400"/>
        <w:gridCol w:w="1408"/>
        <w:gridCol w:w="237"/>
        <w:gridCol w:w="932"/>
        <w:gridCol w:w="122"/>
        <w:gridCol w:w="122"/>
        <w:gridCol w:w="122"/>
        <w:gridCol w:w="122"/>
        <w:gridCol w:w="237"/>
        <w:gridCol w:w="932"/>
        <w:gridCol w:w="122"/>
        <w:gridCol w:w="109"/>
        <w:gridCol w:w="109"/>
        <w:gridCol w:w="109"/>
        <w:gridCol w:w="211"/>
        <w:gridCol w:w="721"/>
        <w:gridCol w:w="109"/>
        <w:gridCol w:w="109"/>
        <w:gridCol w:w="109"/>
        <w:gridCol w:w="109"/>
        <w:gridCol w:w="255"/>
        <w:gridCol w:w="256"/>
        <w:gridCol w:w="618"/>
      </w:tblGrid>
      <w:tr>
        <w:trPr/>
        <w:tc>
          <w:tcPr>
            <w:tcW w:w="162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 revenue</w:t>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services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129,112 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117,962 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services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117,704 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care and other</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home health and hospice revenue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287,573 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251,598 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services:</w:t>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home health admissions</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Medicare home health admissions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Medicare revenue per 60-day completed episode</w:t>
            </w:r>
            <w:r>
              <w:rPr>
                <w:rFonts w:ascii="Times New Roman;sans-serif" w:hAnsi="Times New Roman;sans-serif"/>
                <w:b w:val="false"/>
                <w:color w:val="000000"/>
                <w:sz w:val="13"/>
              </w:rPr>
              <w:t>(a)</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services:</w:t>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hospice admissions</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census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Medicare revenue per day</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home health and hospice agencies at period end</w:t>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year-to-date average for Medicare revenue per 60-day completed episode includes post period claim adjustments for prior periods.</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Home health and hospice revenue increased $36.0 million, or 14.3% during the nine months ended September 30, 2023. Segment revenue grew primarily due an increase in hospice average daily census of 12.1%, an increase of 5.9% in home health admissions, inclusive of an increase in total Medicare home health admissions of 3.5%, and an increase of 4.1% in hospice admissions. The addition of nine home health and hospice operations between September 30, 2022 and September 30, 2023, added revenue of $5.7 million or 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Living Services</w:t>
      </w:r>
    </w:p>
    <w:p>
      <w:pPr>
        <w:pStyle w:val="TextBody"/>
        <w:bidi w:val="0"/>
        <w:spacing w:before="0" w:after="0"/>
        <w:jc w:val="left"/>
        <w:rPr/>
      </w:pPr>
      <w:r>
        <w:rPr/>
      </w:r>
    </w:p>
    <w:tbl>
      <w:tblPr>
        <w:tblW w:w="9669" w:type="dxa"/>
        <w:jc w:val="left"/>
        <w:tblInd w:w="0" w:type="dxa"/>
        <w:tblLayout w:type="fixed"/>
        <w:tblCellMar>
          <w:top w:w="28" w:type="dxa"/>
          <w:left w:w="28" w:type="dxa"/>
          <w:bottom w:w="28" w:type="dxa"/>
          <w:right w:w="28" w:type="dxa"/>
        </w:tblCellMar>
      </w:tblPr>
      <w:tblGrid>
        <w:gridCol w:w="1334"/>
        <w:gridCol w:w="1174"/>
        <w:gridCol w:w="1181"/>
        <w:gridCol w:w="223"/>
        <w:gridCol w:w="873"/>
        <w:gridCol w:w="286"/>
        <w:gridCol w:w="115"/>
        <w:gridCol w:w="115"/>
        <w:gridCol w:w="115"/>
        <w:gridCol w:w="223"/>
        <w:gridCol w:w="762"/>
        <w:gridCol w:w="286"/>
        <w:gridCol w:w="109"/>
        <w:gridCol w:w="109"/>
        <w:gridCol w:w="109"/>
        <w:gridCol w:w="211"/>
        <w:gridCol w:w="721"/>
        <w:gridCol w:w="271"/>
        <w:gridCol w:w="109"/>
        <w:gridCol w:w="109"/>
        <w:gridCol w:w="109"/>
        <w:gridCol w:w="255"/>
        <w:gridCol w:w="256"/>
        <w:gridCol w:w="614"/>
      </w:tblGrid>
      <w:tr>
        <w:trPr/>
        <w:tc>
          <w:tcPr>
            <w:tcW w:w="133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(in thousands)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111,364 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96,978 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communities at period end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monthly revenue per occupied unit</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Senior living revenue increased $14.4 million, or 14.8%, for the nine months ended September 30, 2023 compared to the same period in the prior year primarily due to an increase of 13.3% in average monthly revenue per occupied unit and an increase of 330 basis points in the occupancy rate between September 30, 2022 and September 30, 2023. The acquisition of two senior living communities between September 30, 2022 and September 30, 2023, added $1.1 million or 1.2% in revenue.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pPr>
      <w:r>
        <w:rPr>
          <w:rFonts w:ascii="Times New Roman;sans-serif" w:hAnsi="Times New Roman;sans-serif"/>
          <w:b/>
          <w:i/>
          <w:color w:val="000000"/>
          <w:sz w:val="20"/>
        </w:rPr>
        <w:t>Cost of Services</w:t>
      </w:r>
      <w:r>
        <w:rPr>
          <w:color w:val="000000"/>
        </w:rPr>
        <w:t xml:space="preserve"> </w:t>
      </w:r>
    </w:p>
    <w:tbl>
      <w:tblPr>
        <w:tblW w:w="8049" w:type="dxa"/>
        <w:jc w:val="left"/>
        <w:tblInd w:w="0" w:type="dxa"/>
        <w:tblLayout w:type="fixed"/>
        <w:tblCellMar>
          <w:top w:w="28" w:type="dxa"/>
          <w:left w:w="28" w:type="dxa"/>
          <w:bottom w:w="28" w:type="dxa"/>
          <w:right w:w="28" w:type="dxa"/>
        </w:tblCellMar>
      </w:tblPr>
      <w:tblGrid>
        <w:gridCol w:w="810"/>
        <w:gridCol w:w="710"/>
        <w:gridCol w:w="715"/>
        <w:gridCol w:w="241"/>
        <w:gridCol w:w="946"/>
        <w:gridCol w:w="124"/>
        <w:gridCol w:w="124"/>
        <w:gridCol w:w="124"/>
        <w:gridCol w:w="124"/>
        <w:gridCol w:w="241"/>
        <w:gridCol w:w="946"/>
        <w:gridCol w:w="124"/>
        <w:gridCol w:w="109"/>
        <w:gridCol w:w="109"/>
        <w:gridCol w:w="109"/>
        <w:gridCol w:w="211"/>
        <w:gridCol w:w="721"/>
        <w:gridCol w:w="109"/>
        <w:gridCol w:w="109"/>
        <w:gridCol w:w="109"/>
        <w:gridCol w:w="109"/>
        <w:gridCol w:w="255"/>
        <w:gridCol w:w="256"/>
        <w:gridCol w:w="614"/>
      </w:tblGrid>
      <w:tr>
        <w:trP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242,280 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208,345 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Living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services</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321,162 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277,658 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cost of services increased $43.5 million, or 15.7%, during the nine months ended September 30, 2023. Cost of services as a percentage of revenue for the nine months ended September 30, 2023 increased by 80 basis points to 80.5% from 79.7% compared to the nine months ended September 30,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Home Health and Hospice Services</w:t>
      </w:r>
    </w:p>
    <w:tbl>
      <w:tblPr>
        <w:tblW w:w="9550" w:type="dxa"/>
        <w:jc w:val="left"/>
        <w:tblInd w:w="0" w:type="dxa"/>
        <w:tblLayout w:type="fixed"/>
        <w:tblCellMar>
          <w:top w:w="28" w:type="dxa"/>
          <w:left w:w="28" w:type="dxa"/>
          <w:bottom w:w="28" w:type="dxa"/>
          <w:right w:w="28" w:type="dxa"/>
        </w:tblCellMar>
      </w:tblPr>
      <w:tblGrid>
        <w:gridCol w:w="1290"/>
        <w:gridCol w:w="1136"/>
        <w:gridCol w:w="1143"/>
        <w:gridCol w:w="215"/>
        <w:gridCol w:w="842"/>
        <w:gridCol w:w="276"/>
        <w:gridCol w:w="111"/>
        <w:gridCol w:w="111"/>
        <w:gridCol w:w="111"/>
        <w:gridCol w:w="215"/>
        <w:gridCol w:w="842"/>
        <w:gridCol w:w="276"/>
        <w:gridCol w:w="109"/>
        <w:gridCol w:w="109"/>
        <w:gridCol w:w="109"/>
        <w:gridCol w:w="211"/>
        <w:gridCol w:w="721"/>
        <w:gridCol w:w="271"/>
        <w:gridCol w:w="109"/>
        <w:gridCol w:w="109"/>
        <w:gridCol w:w="109"/>
        <w:gridCol w:w="255"/>
        <w:gridCol w:w="256"/>
        <w:gridCol w:w="614"/>
      </w:tblGrid>
      <w:tr>
        <w:trPr/>
        <w:tc>
          <w:tcPr>
            <w:tcW w:w="1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 (in thousands)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242,280 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208,345 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as a percentage of revenue</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services related to our Home Health and Hospice services segment increased $33.9 million, or 16.3%, primarily due to the increased volume of services from the growth in admissions and average daily census. Cost of services as a percentage of revenue for the nine months ended September 30, 2023 increased by 140 basis points compared to the nine months ended September 30, 2022 primarily due to increased wages and benefits.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Senior Living Services </w:t>
      </w:r>
    </w:p>
    <w:tbl>
      <w:tblPr>
        <w:tblW w:w="9441" w:type="dxa"/>
        <w:jc w:val="left"/>
        <w:tblInd w:w="0" w:type="dxa"/>
        <w:tblLayout w:type="fixed"/>
        <w:tblCellMar>
          <w:top w:w="28" w:type="dxa"/>
          <w:left w:w="28" w:type="dxa"/>
          <w:bottom w:w="28" w:type="dxa"/>
          <w:right w:w="28" w:type="dxa"/>
        </w:tblCellMar>
      </w:tblPr>
      <w:tblGrid>
        <w:gridCol w:w="1290"/>
        <w:gridCol w:w="1136"/>
        <w:gridCol w:w="1143"/>
        <w:gridCol w:w="231"/>
        <w:gridCol w:w="791"/>
        <w:gridCol w:w="297"/>
        <w:gridCol w:w="119"/>
        <w:gridCol w:w="119"/>
        <w:gridCol w:w="119"/>
        <w:gridCol w:w="231"/>
        <w:gridCol w:w="791"/>
        <w:gridCol w:w="297"/>
        <w:gridCol w:w="109"/>
        <w:gridCol w:w="109"/>
        <w:gridCol w:w="109"/>
        <w:gridCol w:w="211"/>
        <w:gridCol w:w="616"/>
        <w:gridCol w:w="271"/>
        <w:gridCol w:w="109"/>
        <w:gridCol w:w="109"/>
        <w:gridCol w:w="109"/>
        <w:gridCol w:w="255"/>
        <w:gridCol w:w="256"/>
        <w:gridCol w:w="614"/>
      </w:tblGrid>
      <w:tr>
        <w:trPr/>
        <w:tc>
          <w:tcPr>
            <w:tcW w:w="1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 (in thousands)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78,882 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69,313 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as a percentage of revenue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services related to our Senior Living services segment increased $9.6 million, or 13.8%, during the nine months ended September 30, 2023 in response to higher occupancy and wage rate increases. As a percentage of revenue, costs of service decreased by 70 basis points during the nine months ended September 30, 2023 when compared to the nine months ended September 30, 2022.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Rent—Cost of Services</w:t>
      </w:r>
      <w:r>
        <w:rPr>
          <w:rFonts w:ascii="Times New Roman;sans-serif" w:hAnsi="Times New Roman;sans-serif"/>
          <w:b w:val="false"/>
          <w:color w:val="000000"/>
          <w:sz w:val="20"/>
        </w:rPr>
        <w:t>. Rent increased 3.2% from $28.5 million to $29.4 million during the nine months ended September 30, 2023 compared to the same period in the prior year, primarily as a result of the newly acquired senior living communities. As a percentage of revenue, rent</w:t>
      </w:r>
      <w:r>
        <w:rPr>
          <w:color w:val="000000"/>
        </w:rPr>
        <w:t>—</w:t>
      </w:r>
      <w:r>
        <w:rPr>
          <w:rFonts w:ascii="Times New Roman;sans-serif" w:hAnsi="Times New Roman;sans-serif"/>
          <w:b w:val="false"/>
          <w:color w:val="000000"/>
          <w:sz w:val="20"/>
        </w:rPr>
        <w:t>cost of services decreased 80 basis points when compared to the nine months ended September 30, 2022 due to improved senior living performance.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General and Administrative Expense. </w:t>
      </w:r>
      <w:r>
        <w:rPr>
          <w:rFonts w:ascii="Times New Roman;sans-serif" w:hAnsi="Times New Roman;sans-serif"/>
          <w:b w:val="false"/>
          <w:color w:val="000000"/>
          <w:sz w:val="20"/>
        </w:rPr>
        <w:t xml:space="preserve">Our general and administrative expense increased $1.3 million, or 4.9%, from $25.7 million to $26.9 million for the nine months ended September 30, 2023 when compared to the nine months ended September 30, 2022. The increase in general and administrative expense was due to an increase of $1.4 million in share-based compensation, for the nine months ended September 30, 2023 when compared to the nine months ended September 30, 2022.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Depreciation and Amortization.</w:t>
      </w:r>
      <w:r>
        <w:rPr>
          <w:color w:val="000000"/>
        </w:rPr>
        <w:t xml:space="preserve"> </w:t>
      </w:r>
      <w:r>
        <w:rPr>
          <w:rFonts w:ascii="Times New Roman;sans-serif" w:hAnsi="Times New Roman;sans-serif"/>
          <w:b w:val="false"/>
          <w:color w:val="000000"/>
          <w:sz w:val="20"/>
        </w:rPr>
        <w:t xml:space="preserve">Depreciation and amortization expense was essentially flat as a percentage of total revenue.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Loss on asset dispositions and impairment, net. </w:t>
      </w:r>
      <w:r>
        <w:rPr>
          <w:rFonts w:ascii="Times New Roman;sans-serif" w:hAnsi="Times New Roman;sans-serif"/>
          <w:b w:val="false"/>
          <w:color w:val="000000"/>
          <w:sz w:val="20"/>
        </w:rPr>
        <w:t xml:space="preserve">Loss on asset dispositions and impairment, net decreased $6.7 million for the nine months ended September 30, 2023 when compared to the nine months ended September 30, 2022 due to senior living communities transferred to Ensign in 2022.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Provision for Income Taxes</w:t>
      </w:r>
      <w:r>
        <w:rPr>
          <w:rFonts w:ascii="Times New Roman;sans-serif" w:hAnsi="Times New Roman;sans-serif"/>
          <w:b w:val="false"/>
          <w:color w:val="000000"/>
          <w:sz w:val="20"/>
        </w:rPr>
        <w:t>. We recorded income tax expense of $3.9 million and $0.2 million, or 29.3% and 6.3% of earnings before income taxes, for the nine months ended September 30, 2023 and 2022, respectively. The increase in the effective tax rate is primarily due to not having the impact of the Ensign Transaction in the current year.</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are net cash provided by operating activities and borrowings under our revolving credit facility.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Revolving Credit Facility</w:t>
      </w:r>
      <w:r>
        <w:rPr>
          <w:color w:val="000000"/>
        </w:rPr>
        <w: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23, 2021, Pennant entered into an amendment to its existing credit agreement (as amended, the “Credit Agreement”), which provides for an increased revolving credit facility with a syndicate of banks with a borrowing capacity of $150.0 million (the “Revolving Credit Facility”). The Revolving Credit Facility is not subject to interim amortization and the Company will not be required to repay any loans under the Revolving Credit Facility prior to maturity in 2026. On June 12, 2023, Pennant entered into a second amendment to the Credit Agreement that modified the reference rate from LIBOR to Standard Overnight Financing Rate (“SOFR”). The Company is permitted to prepay all or any portion of the loans under the Revolving Credit Facility prior to maturity without premium or penalty, subject to reimbursement of any SOFR breakage costs of the lenders.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September 30, 2023, the Company was compliant with all such financial covenants.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252525"/>
          <w:sz w:val="20"/>
        </w:rPr>
        <w:t>As of</w:t>
      </w:r>
      <w:r>
        <w:rPr>
          <w:color w:val="000000"/>
        </w:rPr>
        <w:t xml:space="preserve"> </w:t>
      </w:r>
      <w:r>
        <w:rPr>
          <w:rFonts w:ascii="Times New Roman;sans-serif" w:hAnsi="Times New Roman;sans-serif"/>
          <w:b w:val="false"/>
          <w:color w:val="000000"/>
          <w:sz w:val="20"/>
        </w:rPr>
        <w:t>September 30, 2023, we had $3.4 million of cash and $90.8 million of available borrowing capacity on our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existing cash, cash generated through operations, and access to available borrowing capacity under our existing Credit Agreement, will be sufficient to provide adequate liquidity for the next twelve months for our operating activities and for opportunities of acquisition growth.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selected data from our Condensed Consolidated Statement of Cash Flows for the periods presented: </w:t>
      </w:r>
    </w:p>
    <w:tbl>
      <w:tblPr>
        <w:tblW w:w="7255" w:type="dxa"/>
        <w:jc w:val="left"/>
        <w:tblInd w:w="0" w:type="dxa"/>
        <w:tblLayout w:type="fixed"/>
        <w:tblCellMar>
          <w:top w:w="28" w:type="dxa"/>
          <w:left w:w="28" w:type="dxa"/>
          <w:bottom w:w="28" w:type="dxa"/>
          <w:right w:w="28" w:type="dxa"/>
        </w:tblCellMar>
      </w:tblPr>
      <w:tblGrid>
        <w:gridCol w:w="1525"/>
        <w:gridCol w:w="1343"/>
        <w:gridCol w:w="1346"/>
        <w:gridCol w:w="261"/>
        <w:gridCol w:w="894"/>
        <w:gridCol w:w="135"/>
        <w:gridCol w:w="135"/>
        <w:gridCol w:w="135"/>
        <w:gridCol w:w="135"/>
        <w:gridCol w:w="261"/>
        <w:gridCol w:w="894"/>
        <w:gridCol w:w="191"/>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increase (decrease) in cash </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beginning of period</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end of period</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Nine Months Ended September 30, 2023 Compared to the Nine Months Ended September 30, 2022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cash flow from operating activities for the nine months ended September 30, 2023 increased by $14.9 million when compared to the nine months ended September 30, 2022. The primary driver of this difference was a $5.9 million increase in Net income, and a $4.9 million net increase in cash flows from the change in operating assets and liabilities, partially offset by a decrease of $4.2 million in non-cash expenses.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cash used in investing activities for the nine months ended September 30, 2023 decreased by $2.6 million compared to the nine months ended September 30, 2022, primarily driven by a $2.1 million increase in business acquisitions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other assets offset by a $4.7 million decrease in purchases of property and equipment during the nine months ended September 30, 2023 compared to the nine months ended September 30, 2022.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cash used in financing activities increased by approximately $14.0 million for the nine months ended September 30, 2023 compared to the nine months ended September 30, 2022. The increase was primarily due to a net reduction in the balance on our line of credit during the nine months ended September 30, 2023 compared to the nine months ended September 30, 2022.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Contractual Obligations, Commitments and Contingencies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continue to make draws and payments on our Revolving Credit Facility, as described in Note 11, </w:t>
      </w:r>
      <w:r>
        <w:rPr>
          <w:rFonts w:ascii="Times New Roman;sans-serif" w:hAnsi="Times New Roman;sans-serif"/>
          <w:b w:val="false"/>
          <w:i/>
          <w:color w:val="000000"/>
          <w:sz w:val="20"/>
        </w:rPr>
        <w:t>Debt</w:t>
      </w:r>
      <w:r>
        <w:rPr>
          <w:rFonts w:ascii="Times New Roman;sans-serif" w:hAnsi="Times New Roman;sans-serif"/>
          <w:b w:val="false"/>
          <w:color w:val="000000"/>
          <w:sz w:val="20"/>
        </w:rPr>
        <w:t xml:space="preserve">, to the Interim Financial Statements in Part I of this Quarterly Report. Additionally, we have right-of-use assets obtained in exchange for new operating lease obligations, as described in the supplemental disclosures of cash flow information in the Condensed Consolidated Statement of Cash Flows and in Note 13,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 xml:space="preserve">to the Interim Financial Statements in Part I of this Quarterly Report.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Besides those transactions there have been no other material changes to our total obligations during the period covered by this Quarterly Report outside of the normal course of our business.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3. </w:t>
      </w:r>
      <w:r>
        <w:rPr>
          <w:rFonts w:ascii="Times New Roman;sans-serif" w:hAnsi="Times New Roman;sans-serif"/>
          <w:b/>
          <w:i/>
          <w:color w:val="000000"/>
          <w:sz w:val="20"/>
        </w:rPr>
        <w:t>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Interest Rate Risk</w:t>
      </w:r>
      <w:r>
        <w:rPr>
          <w:rFonts w:ascii="Times New Roman;sans-serif" w:hAnsi="Times New Roman;sans-serif"/>
          <w:b w:val="false"/>
          <w:color w:val="000000"/>
          <w:sz w:val="20"/>
        </w:rPr>
        <w:t xml:space="preserve">. We are exposed to risks associated with market changes in interest rates. On June 12, 2023, Pennant entered into a second amendment to the Credit Agreement that modified the reference rate from LIBOR to SOFR. A 1.0% interest rate change would cause interest expense to change by approximately $0.6 million annually based upon our outstanding long-term debt as of September 30, 2023. We manage our exposure to this market risk by monitoring available financing alternatives.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4. </w:t>
      </w:r>
      <w:r>
        <w:rPr>
          <w:rFonts w:ascii="Times New Roman;sans-serif" w:hAnsi="Times New Roman;sans-serif"/>
          <w:b/>
          <w:i/>
          <w:color w:val="000000"/>
          <w:sz w:val="20"/>
        </w:rPr>
        <w:t>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the Chief Executive Officer and Chief Financial Officer, we have evaluated the effectiveness of our disclosure controls and procedures (as such term is defined in Rules 13a-15(e) and 15d-15(e) under the Securities Exchange Act of 1934, as amended (the “Exchange Act”)), as of the end of the period covered by this Quarterly Report. Based on that evaluation, the Chief Executive Officer and Chief Financial Officer have concluded that these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in our internal control over financial reporting (as such term is defined in Rules 13a-15(f) and 15d-15(f) under the Exchange Act) that occurred during our most recent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1. </w:t>
      </w:r>
      <w:r>
        <w:rPr>
          <w:rFonts w:ascii="Times New Roman;sans-serif" w:hAnsi="Times New Roman;sans-serif"/>
          <w:b/>
          <w:i/>
          <w:color w:val="000000"/>
          <w:sz w:val="20"/>
        </w:rPr>
        <w:t>Legal Proceedings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are involved in various claims and lawsuits arising in the ordinary course of business, none of which, in the opinion of management, is expected to have a material adverse effect on our results of operations or financial condition.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 See Note 15,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to the Interim Financial Statements for a description of claims and legal actions arising in the ordinary course of our business.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212529"/>
          <w:sz w:val="20"/>
        </w:rPr>
      </w:pPr>
      <w:r>
        <w:rPr>
          <w:rFonts w:ascii="Times New Roman;sans-serif" w:hAnsi="Times New Roman;sans-serif"/>
          <w:b w:val="false"/>
          <w:color w:val="212529"/>
          <w:sz w:val="20"/>
        </w:rPr>
        <w:t>We have disclosed under the heading “Risk Factors” in the 2022 Annual Report risk factors that materially affect our business, financial condition or results of operations. You should carefully consider the risk factors set forth in the 2022 Annual Report and the other information set forth elsewhere in this Quarterly Report.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 Since the filing of our 2022 Annual Report on February 23, 2023, the following additions have been made to the risk factors previously disclosed.</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i/>
          <w:color w:val="212529"/>
          <w:sz w:val="20"/>
        </w:rPr>
        <w:t>Any economic downturn, deepening of an economic downturn, continued deficit spending by the Federal Government or state budget pressures may result in a reduction in payments and covered services.</w:t>
      </w:r>
      <w:r>
        <w:rPr>
          <w:color w:val="212529"/>
        </w:rPr>
        <w:t xml:space="preserve"> </w:t>
      </w:r>
      <w:r>
        <w:rPr>
          <w:rFonts w:ascii="Times New Roman;sans-serif" w:hAnsi="Times New Roman;sans-serif"/>
          <w:b w:val="false"/>
          <w:color w:val="212529"/>
          <w:sz w:val="20"/>
        </w:rPr>
        <w:t>Adverse economic developments in the United States could lead to a reduction in Federal Government expenditures, including governmentally funded programs in which we participate, such as Medicare and Medicaid. In addition, if at any time the Federal Government is not able to meet its debt payments due to Congress failing to appropriate funds for the payment of these obligations, the Federal Government may stop or delay making payments on its obligations, including funding for government programs in which we participate, such as Medicare and Medicaid. Failure of the government to make payments under these programs could have a material adverse effect on our business and consolidated financial condition, results of operations and cash flows. Further, any failure by the United States Congress to complete the federal budget process and fund government operations may result in a Federal Government shutdown, potentially causing us to incur substantial costs without reimbursement under the Medicare program, which could have a material adverse effect on our business and consolidated financial condition, results of operations and cash flows. As an example, the failure of the 2011 Joint Select Committee to meet its Deficit Reduction goal resulted in an automatic reduction in Medicare home health and hospice payments of 2% beginning April 1, 2013 ("sequestration" - suspended from May 1, 2020 through March 31, 2022; reinstated at 1% for the period April 1, 2022 through June 30, 2022 and at 2% thereafter). In addition, the Federal Reserve has increased interest rates repeatedly and significantly in recent quarters and may further increase or decrease interest rates in future quarters, impacting our cost of capital, our operating costs, and the economy as a whole.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212529"/>
          <w:sz w:val="20"/>
        </w:rPr>
        <w:t xml:space="preserve">Union activity is increasing and could impact our operations. </w:t>
      </w:r>
      <w:r>
        <w:rPr>
          <w:rFonts w:ascii="Times New Roman;sans-serif" w:hAnsi="Times New Roman;sans-serif"/>
          <w:b w:val="false"/>
          <w:color w:val="000000"/>
          <w:sz w:val="20"/>
        </w:rPr>
        <w:t xml:space="preserve">Throughout 2023, there has been a trend of increasing union activity, including strikes in the health care industry and in locations, such as California, in which we operate. Labor disputes and unionization efforts, among our own employees or among the employees of our referral partners, payors, vendors, joint venture partners, acquisition targets, or other parties, could lead to work stoppages, slowdown, strikes, lockouts, and increased costs, which could materially impact our operations.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83"/>
        <w:gridCol w:w="249"/>
        <w:gridCol w:w="251"/>
        <w:gridCol w:w="109"/>
        <w:gridCol w:w="109"/>
        <w:gridCol w:w="109"/>
        <w:gridCol w:w="2735"/>
        <w:gridCol w:w="2630"/>
        <w:gridCol w:w="3730"/>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30" w:type="dxa"/>
            <w:tcBorders/>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Certificate of Incorporation of The Pennant Group, Inc., effective as of September 27, 2019 (incorporated by reference to Exhibit 3.1 to The Pennant Group, Inc.’s Current Report on Form 8-K (File No. 001-38900) filed with the SEC on October 3, 2019).</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Second Amended and Restated Bylaws of The Pennant Group, Inc., effective as of February 21, 2022 (incorporated by reference to Exhibit 3.1 to The Pennant Group, Inc.’s Current Report on Form 8-K (File No. 001-38900) filed with the SEC February 22, 2022).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ocert-exhibit311q32023.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Section 302 of the Sarbanes-Oxley Act of 2002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focert-exhibit312q32023.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Section 302 of the Sarbanes-Oxley Act of 2002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ocert-exhibit321q32023.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Section 906 of the Sarbanes-Oxley Act of 2002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focert-exhibit322q32023.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Section 906 of the Sarbanes-Oxley Act of 2002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b28fcfe9607044afbc2eaef328908ae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9862" w:type="dxa"/>
        <w:jc w:val="left"/>
        <w:tblInd w:w="0" w:type="dxa"/>
        <w:tblLayout w:type="fixed"/>
        <w:tblCellMar>
          <w:top w:w="28" w:type="dxa"/>
          <w:left w:w="28" w:type="dxa"/>
          <w:bottom w:w="28" w:type="dxa"/>
          <w:right w:w="28" w:type="dxa"/>
        </w:tblCellMar>
      </w:tblPr>
      <w:tblGrid>
        <w:gridCol w:w="797"/>
        <w:gridCol w:w="700"/>
        <w:gridCol w:w="707"/>
        <w:gridCol w:w="328"/>
        <w:gridCol w:w="328"/>
        <w:gridCol w:w="328"/>
        <w:gridCol w:w="1940"/>
        <w:gridCol w:w="1940"/>
        <w:gridCol w:w="2794"/>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Pennant Group, Inc.</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7, 2023</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6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LYNETTE B. WALBOM  </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Lynette B. Walbom</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 and Duly Authorized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Brent J. Guerisoli, certify that: </w:t>
      </w:r>
    </w:p>
    <w:p>
      <w:pPr>
        <w:pStyle w:val="TextBody"/>
        <w:bidi w:val="0"/>
        <w:spacing w:before="0" w:after="0"/>
        <w:jc w:val="both"/>
        <w:rPr/>
      </w:pPr>
      <w:r>
        <w:rPr/>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10-Q of The Pennant Group, Inc;</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bl>
      <w:tblPr>
        <w:tblW w:w="5853" w:type="dxa"/>
        <w:jc w:val="left"/>
        <w:tblInd w:w="0" w:type="dxa"/>
        <w:tblLayout w:type="fixed"/>
        <w:tblCellMar>
          <w:top w:w="28" w:type="dxa"/>
          <w:left w:w="28" w:type="dxa"/>
          <w:bottom w:w="28" w:type="dxa"/>
          <w:right w:w="28" w:type="dxa"/>
        </w:tblCellMar>
      </w:tblPr>
      <w:tblGrid>
        <w:gridCol w:w="124"/>
        <w:gridCol w:w="109"/>
        <w:gridCol w:w="109"/>
        <w:gridCol w:w="249"/>
        <w:gridCol w:w="249"/>
        <w:gridCol w:w="249"/>
        <w:gridCol w:w="728"/>
        <w:gridCol w:w="728"/>
        <w:gridCol w:w="728"/>
        <w:gridCol w:w="728"/>
        <w:gridCol w:w="728"/>
        <w:gridCol w:w="7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BRENT J. GUERISOLI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43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Brent J. Guerisoli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c>
          <w:tcPr>
            <w:tcW w:w="43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Lynette B. Walbom, certify that: </w:t>
      </w:r>
    </w:p>
    <w:p>
      <w:pPr>
        <w:pStyle w:val="TextBody"/>
        <w:bidi w:val="0"/>
        <w:spacing w:before="0" w:after="0"/>
        <w:jc w:val="both"/>
        <w:rPr/>
      </w:pPr>
      <w:r>
        <w:rPr/>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10-Q of The Pennant Group, Inc.;</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ind w:left="0" w:right="0" w:hanging="36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263"/>
        <w:gridCol w:w="246"/>
        <w:gridCol w:w="223"/>
        <w:gridCol w:w="1213"/>
        <w:gridCol w:w="1213"/>
        <w:gridCol w:w="1180"/>
        <w:gridCol w:w="1168"/>
        <w:gridCol w:w="1168"/>
        <w:gridCol w:w="1177"/>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7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77" w:type="dxa"/>
            <w:gridSpan w:val="18"/>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5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LYNETTE B. WALBOM</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77" w:type="dxa"/>
            <w:gridSpan w:val="18"/>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71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Lynette B. Walbom</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77" w:type="dxa"/>
            <w:gridSpan w:val="18"/>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c>
          <w:tcPr>
            <w:tcW w:w="71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(Principal Financial Officer, Principal Accounting Officer and Duly Authorized Officer)</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Annual Report of The Pennant Group, Inc. (the Company) on Form 10-Q for the period ended September 30, 2023, as filed with the Securities and Exchange Commission on the date hereof (the Report), I, Brent J. Guerisoli, Chief Executive Officer of the Company, certify, pursuant to 18 U.S.C. § 1350, as adopted pursuant to Section 906 of the Sarbanes-Oxley Act of 2002, that to my knowledge: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88"/>
        <w:gridCol w:w="588"/>
        <w:gridCol w:w="588"/>
        <w:gridCol w:w="655"/>
        <w:gridCol w:w="588"/>
        <w:gridCol w:w="588"/>
        <w:gridCol w:w="664"/>
        <w:gridCol w:w="588"/>
        <w:gridCol w:w="588"/>
        <w:gridCol w:w="588"/>
        <w:gridCol w:w="588"/>
        <w:gridCol w:w="588"/>
        <w:gridCol w:w="588"/>
        <w:gridCol w:w="588"/>
        <w:gridCol w:w="8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r>
        <w:trPr/>
        <w:tc>
          <w:tcPr>
            <w:tcW w:w="2760"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60"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BRENT J. GUERISOLI</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60"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60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Brent J. Guerisoli</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60"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6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60"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 signed original of this written statement required by 18 U.S.C. Section 1350 has been provided to the Company and will be retained by the Company and furnished to the Securities and Exchange Commission or its staff upon request.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Annual Report of The Pennant Group, Inc. (the Company) on Form 10-Q for the period ended September 30, 2023, as filed with the Securities and Exchange Commission on the date hereof (the Report), I, Lynette B. Walbom, Chief Financial Officer of the Company, certify, pursuant to 18 U.S.C. § 1350, as adopted pursuant to Section 906 of the Sarbanes-Oxley Act of 2002, that to my knowledge: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429"/>
        <w:gridCol w:w="429"/>
        <w:gridCol w:w="429"/>
        <w:gridCol w:w="555"/>
        <w:gridCol w:w="429"/>
        <w:gridCol w:w="429"/>
        <w:gridCol w:w="1009"/>
        <w:gridCol w:w="805"/>
        <w:gridCol w:w="805"/>
        <w:gridCol w:w="805"/>
        <w:gridCol w:w="805"/>
        <w:gridCol w:w="805"/>
        <w:gridCol w:w="429"/>
        <w:gridCol w:w="429"/>
        <w:gridCol w:w="6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4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LYNETTE B. WALBOM</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503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Lynette B. Walbom</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c>
          <w:tcPr>
            <w:tcW w:w="50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(Principal Financial Officer, Principal Accounting Officer and Duly Authorized Officer)</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 signed original of this written statement required by 18 U.S.C. Section 1350 has been provided to the Company and will be retained by the Company and furnished to the Securities and Exchange Commission or its staff upon request.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66400/000119312519260914/d812063dex31.htm" TargetMode="External"/><Relationship Id="rId3" Type="http://schemas.openxmlformats.org/officeDocument/2006/relationships/hyperlink" Target="https://www.sec.gov/Archives/edgar/data/1766400/000176640022000027/pntg2ndarbylaws.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24969</Words>
  <Characters>139203</Characters>
  <CharactersWithSpaces>162579</CharactersWithSpaces>
  <Paragraphs>3492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