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23"/>
          <w:szCs w:val="23"/>
          <w:b w:val="1"/>
          <w:bCs w:val="1"/>
          <w:color w:val="auto"/>
        </w:rPr>
        <w:drawing>
          <wp:anchor simplePos="0" relativeHeight="251657728" behindDoc="1" locked="0" layoutInCell="0" allowOverlap="1">
            <wp:simplePos x="0" y="0"/>
            <wp:positionH relativeFrom="page">
              <wp:posOffset>216535</wp:posOffset>
            </wp:positionH>
            <wp:positionV relativeFrom="page">
              <wp:posOffset>697230</wp:posOffset>
            </wp:positionV>
            <wp:extent cx="711517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15175" cy="8255"/>
                    </a:xfrm>
                    <a:prstGeom prst="rect">
                      <a:avLst/>
                    </a:prstGeom>
                    <a:noFill/>
                  </pic:spPr>
                </pic:pic>
              </a:graphicData>
            </a:graphic>
          </wp:anchor>
        </w:drawing>
        <w:drawing>
          <wp:anchor simplePos="0" relativeHeight="251657728" behindDoc="1" locked="0" layoutInCell="0" allowOverlap="1">
            <wp:simplePos x="0" y="0"/>
            <wp:positionH relativeFrom="page">
              <wp:posOffset>216535</wp:posOffset>
            </wp:positionH>
            <wp:positionV relativeFrom="page">
              <wp:posOffset>662940</wp:posOffset>
            </wp:positionV>
            <wp:extent cx="711517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15175" cy="8890"/>
                    </a:xfrm>
                    <a:prstGeom prst="rect">
                      <a:avLst/>
                    </a:prstGeom>
                    <a:noFill/>
                  </pic:spPr>
                </pic:pic>
              </a:graphicData>
            </a:graphic>
          </wp:anchor>
        </w:drawing>
        <w:t>UNITED STATES</w:t>
      </w:r>
    </w:p>
    <w:p>
      <w:pPr>
        <w:spacing w:after="0" w:line="32" w:lineRule="exact"/>
        <w:rPr>
          <w:sz w:val="24"/>
          <w:szCs w:val="24"/>
          <w:color w:val="auto"/>
        </w:rPr>
      </w:pPr>
    </w:p>
    <w:p>
      <w:pPr>
        <w:jc w:val="center"/>
        <w:ind w:right="-19"/>
        <w:spacing w:after="0"/>
        <w:rPr>
          <w:sz w:val="20"/>
          <w:szCs w:val="20"/>
          <w:color w:val="auto"/>
        </w:rPr>
      </w:pPr>
      <w:r>
        <w:rPr>
          <w:rFonts w:ascii="Arial" w:cs="Arial" w:eastAsia="Arial" w:hAnsi="Arial"/>
          <w:sz w:val="23"/>
          <w:szCs w:val="23"/>
          <w:b w:val="1"/>
          <w:bCs w:val="1"/>
          <w:color w:val="auto"/>
        </w:rPr>
        <w:t>SECURITIES AND EXCHANGE COMMISSION</w:t>
      </w:r>
    </w:p>
    <w:p>
      <w:pPr>
        <w:spacing w:after="0" w:line="14" w:lineRule="exact"/>
        <w:rPr>
          <w:sz w:val="24"/>
          <w:szCs w:val="24"/>
          <w:color w:val="auto"/>
        </w:rPr>
      </w:pPr>
    </w:p>
    <w:p>
      <w:pPr>
        <w:jc w:val="center"/>
        <w:ind w:right="-19"/>
        <w:spacing w:after="0"/>
        <w:rPr>
          <w:sz w:val="20"/>
          <w:szCs w:val="20"/>
          <w:color w:val="auto"/>
        </w:rPr>
      </w:pPr>
      <w:r>
        <w:rPr>
          <w:rFonts w:ascii="Arial" w:cs="Arial" w:eastAsia="Arial" w:hAnsi="Arial"/>
          <w:sz w:val="20"/>
          <w:szCs w:val="20"/>
          <w:b w:val="1"/>
          <w:bCs w:val="1"/>
          <w:color w:val="auto"/>
        </w:rPr>
        <w:t>Washington, D.C. 20549</w:t>
      </w:r>
    </w:p>
    <w:p>
      <w:pPr>
        <w:spacing w:after="0" w:line="15" w:lineRule="exact"/>
        <w:rPr>
          <w:sz w:val="24"/>
          <w:szCs w:val="24"/>
          <w:color w:val="auto"/>
        </w:rPr>
      </w:pPr>
    </w:p>
    <w:p>
      <w:pPr>
        <w:ind w:left="4060"/>
        <w:spacing w:after="0"/>
        <w:rPr>
          <w:sz w:val="20"/>
          <w:szCs w:val="20"/>
          <w:color w:val="auto"/>
        </w:rPr>
      </w:pPr>
      <w:r>
        <w:rPr>
          <w:rFonts w:ascii="Arial" w:cs="Arial" w:eastAsia="Arial" w:hAnsi="Arial"/>
          <w:sz w:val="22"/>
          <w:szCs w:val="22"/>
          <w:b w:val="1"/>
          <w:bCs w:val="1"/>
          <w:color w:val="auto"/>
        </w:rPr>
        <w:t>_____________________________</w:t>
      </w:r>
    </w:p>
    <w:p>
      <w:pPr>
        <w:spacing w:after="0" w:line="13" w:lineRule="exact"/>
        <w:rPr>
          <w:sz w:val="24"/>
          <w:szCs w:val="24"/>
          <w:color w:val="auto"/>
        </w:rPr>
      </w:pPr>
    </w:p>
    <w:p>
      <w:pPr>
        <w:jc w:val="center"/>
        <w:ind w:right="-19"/>
        <w:spacing w:after="0"/>
        <w:rPr>
          <w:sz w:val="20"/>
          <w:szCs w:val="20"/>
          <w:color w:val="auto"/>
        </w:rPr>
      </w:pPr>
      <w:r>
        <w:rPr>
          <w:rFonts w:ascii="Arial" w:cs="Arial" w:eastAsia="Arial" w:hAnsi="Arial"/>
          <w:sz w:val="29"/>
          <w:szCs w:val="29"/>
          <w:b w:val="1"/>
          <w:bCs w:val="1"/>
          <w:color w:val="auto"/>
        </w:rPr>
        <w:t>FORM 10-Q</w:t>
      </w:r>
    </w:p>
    <w:p>
      <w:pPr>
        <w:spacing w:after="0" w:line="44" w:lineRule="exact"/>
        <w:rPr>
          <w:sz w:val="24"/>
          <w:szCs w:val="24"/>
          <w:color w:val="auto"/>
        </w:rPr>
      </w:pPr>
    </w:p>
    <w:p>
      <w:pPr>
        <w:ind w:left="760" w:hanging="455"/>
        <w:spacing w:after="0"/>
        <w:tabs>
          <w:tab w:leader="none" w:pos="760" w:val="left"/>
        </w:tabs>
        <w:numPr>
          <w:ilvl w:val="0"/>
          <w:numId w:val="1"/>
        </w:numPr>
        <w:rPr>
          <w:rFonts w:ascii="MS PGothic" w:cs="MS PGothic" w:eastAsia="MS PGothic" w:hAnsi="MS PGothic"/>
          <w:sz w:val="16"/>
          <w:szCs w:val="16"/>
          <w:color w:val="auto"/>
        </w:rPr>
      </w:pPr>
      <w:r>
        <w:rPr>
          <w:rFonts w:ascii="Arial" w:cs="Arial" w:eastAsia="Arial" w:hAnsi="Arial"/>
          <w:sz w:val="16"/>
          <w:szCs w:val="16"/>
          <w:b w:val="1"/>
          <w:bCs w:val="1"/>
          <w:color w:val="auto"/>
        </w:rPr>
        <w:t>QUARTERLY REPORT PURSUANT TO SECTION 13 OR 15(d) OF THE SECURITIES EXCHANGE ACT OF 1934.</w:t>
      </w:r>
    </w:p>
    <w:p>
      <w:pPr>
        <w:spacing w:after="0" w:line="154" w:lineRule="exact"/>
        <w:rPr>
          <w:sz w:val="24"/>
          <w:szCs w:val="24"/>
          <w:color w:val="auto"/>
        </w:rPr>
      </w:pPr>
    </w:p>
    <w:p>
      <w:pPr>
        <w:jc w:val="center"/>
        <w:ind w:right="-19"/>
        <w:spacing w:after="0"/>
        <w:rPr>
          <w:sz w:val="20"/>
          <w:szCs w:val="20"/>
          <w:color w:val="auto"/>
        </w:rPr>
      </w:pPr>
      <w:r>
        <w:rPr>
          <w:rFonts w:ascii="Arial" w:cs="Arial" w:eastAsia="Arial" w:hAnsi="Arial"/>
          <w:sz w:val="16"/>
          <w:szCs w:val="16"/>
          <w:b w:val="1"/>
          <w:bCs w:val="1"/>
          <w:color w:val="auto"/>
        </w:rPr>
        <w:t>For the quarterly period ended September 30, 2022.</w:t>
      </w:r>
    </w:p>
    <w:p>
      <w:pPr>
        <w:spacing w:after="0" w:line="59" w:lineRule="exact"/>
        <w:rPr>
          <w:sz w:val="24"/>
          <w:szCs w:val="24"/>
          <w:color w:val="auto"/>
        </w:rPr>
      </w:pPr>
    </w:p>
    <w:p>
      <w:pPr>
        <w:ind w:left="760" w:hanging="455"/>
        <w:spacing w:after="0"/>
        <w:tabs>
          <w:tab w:leader="none" w:pos="760" w:val="left"/>
        </w:tabs>
        <w:numPr>
          <w:ilvl w:val="0"/>
          <w:numId w:val="2"/>
        </w:numPr>
        <w:rPr>
          <w:rFonts w:ascii="MS PGothic" w:cs="MS PGothic" w:eastAsia="MS PGothic" w:hAnsi="MS PGothic"/>
          <w:sz w:val="16"/>
          <w:szCs w:val="16"/>
          <w:color w:val="auto"/>
        </w:rPr>
      </w:pPr>
      <w:r>
        <w:rPr>
          <w:rFonts w:ascii="Arial" w:cs="Arial" w:eastAsia="Arial" w:hAnsi="Arial"/>
          <w:sz w:val="16"/>
          <w:szCs w:val="16"/>
          <w:b w:val="1"/>
          <w:bCs w:val="1"/>
          <w:color w:val="auto"/>
        </w:rPr>
        <w:t>TRANSITION REPORT PURSUANT TO SECTION 13 OR 15(d) OF THE SECURITIES EXCHANGE ACT OF 1934.</w:t>
      </w:r>
    </w:p>
    <w:p>
      <w:pPr>
        <w:spacing w:after="0" w:line="199" w:lineRule="exact"/>
        <w:rPr>
          <w:sz w:val="24"/>
          <w:szCs w:val="24"/>
          <w:color w:val="auto"/>
        </w:rPr>
      </w:pPr>
    </w:p>
    <w:tbl>
      <w:tblPr>
        <w:tblLayout w:type="fixed"/>
        <w:tblInd w:w="180" w:type="dxa"/>
        <w:tblCellMar>
          <w:top w:w="0" w:type="dxa"/>
          <w:left w:w="0" w:type="dxa"/>
          <w:bottom w:w="0" w:type="dxa"/>
          <w:right w:w="0" w:type="dxa"/>
        </w:tblCellMar>
      </w:tblPr>
      <w:tr>
        <w:trPr>
          <w:trHeight w:val="184"/>
        </w:trPr>
        <w:tc>
          <w:tcPr>
            <w:tcW w:w="2240" w:type="dxa"/>
            <w:vAlign w:val="bottom"/>
            <w:gridSpan w:val="2"/>
          </w:tcPr>
          <w:p>
            <w:pPr>
              <w:spacing w:after="0"/>
              <w:rPr>
                <w:sz w:val="20"/>
                <w:szCs w:val="20"/>
                <w:color w:val="auto"/>
              </w:rPr>
            </w:pPr>
            <w:r>
              <w:rPr>
                <w:rFonts w:ascii="Arial" w:cs="Arial" w:eastAsia="Arial" w:hAnsi="Arial"/>
                <w:sz w:val="16"/>
                <w:szCs w:val="16"/>
                <w:b w:val="1"/>
                <w:bCs w:val="1"/>
                <w:color w:val="auto"/>
                <w:w w:val="98"/>
              </w:rPr>
              <w:t>For the transition period from</w:t>
            </w:r>
          </w:p>
        </w:tc>
        <w:tc>
          <w:tcPr>
            <w:tcW w:w="700" w:type="dxa"/>
            <w:vAlign w:val="bottom"/>
          </w:tcPr>
          <w:p>
            <w:pPr>
              <w:spacing w:after="0"/>
              <w:rPr>
                <w:sz w:val="16"/>
                <w:szCs w:val="16"/>
                <w:color w:val="auto"/>
              </w:rPr>
            </w:pPr>
          </w:p>
        </w:tc>
        <w:tc>
          <w:tcPr>
            <w:tcW w:w="640" w:type="dxa"/>
            <w:vAlign w:val="bottom"/>
            <w:gridSpan w:val="2"/>
          </w:tcPr>
          <w:p>
            <w:pPr>
              <w:ind w:left="40"/>
              <w:spacing w:after="0"/>
              <w:rPr>
                <w:sz w:val="20"/>
                <w:szCs w:val="20"/>
                <w:color w:val="auto"/>
              </w:rPr>
            </w:pPr>
            <w:r>
              <w:rPr>
                <w:rFonts w:ascii="Arial" w:cs="Arial" w:eastAsia="Arial" w:hAnsi="Arial"/>
                <w:sz w:val="16"/>
                <w:szCs w:val="16"/>
                <w:b w:val="1"/>
                <w:bCs w:val="1"/>
                <w:color w:val="auto"/>
              </w:rPr>
              <w:t>to</w:t>
            </w:r>
          </w:p>
        </w:tc>
        <w:tc>
          <w:tcPr>
            <w:tcW w:w="3960" w:type="dxa"/>
            <w:vAlign w:val="bottom"/>
            <w:gridSpan w:val="2"/>
          </w:tcPr>
          <w:p>
            <w:pPr>
              <w:jc w:val="right"/>
              <w:ind w:right="3459"/>
              <w:spacing w:after="0"/>
              <w:rPr>
                <w:sz w:val="20"/>
                <w:szCs w:val="20"/>
                <w:color w:val="auto"/>
              </w:rPr>
            </w:pPr>
            <w:r>
              <w:rPr>
                <w:rFonts w:ascii="Arial" w:cs="Arial" w:eastAsia="Arial" w:hAnsi="Arial"/>
                <w:sz w:val="16"/>
                <w:szCs w:val="16"/>
                <w:b w:val="1"/>
                <w:bCs w:val="1"/>
                <w:color w:val="auto"/>
              </w:rPr>
              <w:t>.</w:t>
            </w:r>
          </w:p>
        </w:tc>
        <w:tc>
          <w:tcPr>
            <w:tcW w:w="3120" w:type="dxa"/>
            <w:vAlign w:val="bottom"/>
          </w:tcPr>
          <w:p>
            <w:pPr>
              <w:spacing w:after="0"/>
              <w:rPr>
                <w:sz w:val="16"/>
                <w:szCs w:val="16"/>
                <w:color w:val="auto"/>
              </w:rPr>
            </w:pPr>
          </w:p>
        </w:tc>
      </w:tr>
      <w:tr>
        <w:trPr>
          <w:trHeight w:val="393"/>
        </w:trPr>
        <w:tc>
          <w:tcPr>
            <w:tcW w:w="2120" w:type="dxa"/>
            <w:vAlign w:val="bottom"/>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700" w:type="dxa"/>
            <w:vAlign w:val="bottom"/>
            <w:tcBorders>
              <w:top w:val="single" w:sz="8" w:color="auto"/>
            </w:tcBorders>
          </w:tcPr>
          <w:p>
            <w:pPr>
              <w:spacing w:after="0"/>
              <w:rPr>
                <w:sz w:val="24"/>
                <w:szCs w:val="24"/>
                <w:color w:val="auto"/>
              </w:rPr>
            </w:pPr>
          </w:p>
        </w:tc>
        <w:tc>
          <w:tcPr>
            <w:tcW w:w="200" w:type="dxa"/>
            <w:vAlign w:val="bottom"/>
          </w:tcPr>
          <w:p>
            <w:pPr>
              <w:spacing w:after="0"/>
              <w:rPr>
                <w:sz w:val="24"/>
                <w:szCs w:val="24"/>
                <w:color w:val="auto"/>
              </w:rPr>
            </w:pPr>
          </w:p>
        </w:tc>
        <w:tc>
          <w:tcPr>
            <w:tcW w:w="440" w:type="dxa"/>
            <w:vAlign w:val="bottom"/>
            <w:tcBorders>
              <w:top w:val="single" w:sz="8" w:color="auto"/>
            </w:tcBorders>
          </w:tcPr>
          <w:p>
            <w:pPr>
              <w:spacing w:after="0"/>
              <w:rPr>
                <w:sz w:val="24"/>
                <w:szCs w:val="24"/>
                <w:color w:val="auto"/>
              </w:rPr>
            </w:pPr>
          </w:p>
        </w:tc>
        <w:tc>
          <w:tcPr>
            <w:tcW w:w="380" w:type="dxa"/>
            <w:vAlign w:val="bottom"/>
            <w:tcBorders>
              <w:top w:val="single" w:sz="8" w:color="auto"/>
            </w:tcBorders>
          </w:tcPr>
          <w:p>
            <w:pPr>
              <w:spacing w:after="0"/>
              <w:rPr>
                <w:sz w:val="24"/>
                <w:szCs w:val="24"/>
                <w:color w:val="auto"/>
              </w:rPr>
            </w:pPr>
          </w:p>
        </w:tc>
        <w:tc>
          <w:tcPr>
            <w:tcW w:w="3580" w:type="dxa"/>
            <w:vAlign w:val="bottom"/>
          </w:tcPr>
          <w:p>
            <w:pPr>
              <w:jc w:val="center"/>
              <w:ind w:right="519"/>
              <w:spacing w:after="0"/>
              <w:rPr>
                <w:sz w:val="20"/>
                <w:szCs w:val="20"/>
                <w:color w:val="auto"/>
              </w:rPr>
            </w:pPr>
            <w:r>
              <w:rPr>
                <w:rFonts w:ascii="Arial" w:cs="Arial" w:eastAsia="Arial" w:hAnsi="Arial"/>
                <w:sz w:val="16"/>
                <w:szCs w:val="16"/>
                <w:b w:val="1"/>
                <w:bCs w:val="1"/>
                <w:color w:val="auto"/>
                <w:w w:val="91"/>
              </w:rPr>
              <w:t>Commission file number: 001-38900</w:t>
            </w:r>
          </w:p>
        </w:tc>
        <w:tc>
          <w:tcPr>
            <w:tcW w:w="3120" w:type="dxa"/>
            <w:vAlign w:val="bottom"/>
          </w:tcPr>
          <w:p>
            <w:pPr>
              <w:spacing w:after="0"/>
              <w:rPr>
                <w:sz w:val="24"/>
                <w:szCs w:val="24"/>
                <w:color w:val="auto"/>
              </w:rPr>
            </w:pPr>
          </w:p>
        </w:tc>
      </w:tr>
      <w:tr>
        <w:trPr>
          <w:trHeight w:val="262"/>
        </w:trPr>
        <w:tc>
          <w:tcPr>
            <w:tcW w:w="2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3960" w:type="dxa"/>
            <w:vAlign w:val="bottom"/>
            <w:gridSpan w:val="2"/>
          </w:tcPr>
          <w:p>
            <w:pPr>
              <w:jc w:val="center"/>
              <w:ind w:right="139"/>
              <w:spacing w:after="0"/>
              <w:rPr>
                <w:sz w:val="20"/>
                <w:szCs w:val="20"/>
                <w:color w:val="auto"/>
              </w:rPr>
            </w:pPr>
            <w:r>
              <w:rPr>
                <w:rFonts w:ascii="Arial" w:cs="Arial" w:eastAsia="Arial" w:hAnsi="Arial"/>
                <w:sz w:val="18"/>
                <w:szCs w:val="18"/>
                <w:b w:val="1"/>
                <w:bCs w:val="1"/>
                <w:color w:val="auto"/>
                <w:w w:val="89"/>
              </w:rPr>
              <w:t>__________________________</w:t>
            </w:r>
          </w:p>
        </w:tc>
        <w:tc>
          <w:tcPr>
            <w:tcW w:w="3120" w:type="dxa"/>
            <w:vAlign w:val="bottom"/>
          </w:tcPr>
          <w:p>
            <w:pPr>
              <w:spacing w:after="0"/>
              <w:rPr>
                <w:sz w:val="22"/>
                <w:szCs w:val="22"/>
                <w:color w:val="auto"/>
              </w:rPr>
            </w:pPr>
          </w:p>
        </w:tc>
      </w:tr>
      <w:tr>
        <w:trPr>
          <w:trHeight w:val="591"/>
        </w:trPr>
        <w:tc>
          <w:tcPr>
            <w:tcW w:w="2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420" w:type="dxa"/>
            <w:vAlign w:val="bottom"/>
            <w:gridSpan w:val="6"/>
          </w:tcPr>
          <w:p>
            <w:pPr>
              <w:jc w:val="center"/>
              <w:ind w:right="1939"/>
              <w:spacing w:after="0"/>
              <w:rPr>
                <w:sz w:val="20"/>
                <w:szCs w:val="20"/>
                <w:color w:val="auto"/>
              </w:rPr>
            </w:pPr>
            <w:r>
              <w:rPr>
                <w:rFonts w:ascii="Arial" w:cs="Arial" w:eastAsia="Arial" w:hAnsi="Arial"/>
                <w:sz w:val="40"/>
                <w:szCs w:val="40"/>
                <w:b w:val="1"/>
                <w:bCs w:val="1"/>
                <w:color w:val="auto"/>
                <w:w w:val="98"/>
              </w:rPr>
              <w:t>THE PENNANT GROUP, INC.</w:t>
            </w:r>
          </w:p>
        </w:tc>
      </w:tr>
      <w:tr>
        <w:trPr>
          <w:trHeight w:val="443"/>
        </w:trPr>
        <w:tc>
          <w:tcPr>
            <w:tcW w:w="2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960" w:type="dxa"/>
            <w:vAlign w:val="bottom"/>
            <w:gridSpan w:val="2"/>
          </w:tcPr>
          <w:p>
            <w:pPr>
              <w:jc w:val="center"/>
              <w:ind w:right="159"/>
              <w:spacing w:after="0"/>
              <w:rPr>
                <w:sz w:val="20"/>
                <w:szCs w:val="20"/>
                <w:color w:val="auto"/>
              </w:rPr>
            </w:pPr>
            <w:r>
              <w:rPr>
                <w:rFonts w:ascii="Arial" w:cs="Arial" w:eastAsia="Arial" w:hAnsi="Arial"/>
                <w:sz w:val="16"/>
                <w:szCs w:val="16"/>
                <w:color w:val="auto"/>
                <w:w w:val="92"/>
              </w:rPr>
              <w:t>(Exact Name of Registrant as Specified in Its Charter)</w:t>
            </w:r>
          </w:p>
        </w:tc>
        <w:tc>
          <w:tcPr>
            <w:tcW w:w="3120" w:type="dxa"/>
            <w:vAlign w:val="bottom"/>
          </w:tcPr>
          <w:p>
            <w:pPr>
              <w:spacing w:after="0"/>
              <w:rPr>
                <w:sz w:val="24"/>
                <w:szCs w:val="24"/>
                <w:color w:val="auto"/>
              </w:rPr>
            </w:pPr>
          </w:p>
        </w:tc>
      </w:tr>
      <w:tr>
        <w:trPr>
          <w:trHeight w:val="229"/>
        </w:trPr>
        <w:tc>
          <w:tcPr>
            <w:tcW w:w="2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40" w:type="dxa"/>
            <w:vAlign w:val="bottom"/>
            <w:gridSpan w:val="3"/>
          </w:tcPr>
          <w:p>
            <w:pPr>
              <w:jc w:val="center"/>
              <w:ind w:right="590"/>
              <w:spacing w:after="0"/>
              <w:rPr>
                <w:sz w:val="20"/>
                <w:szCs w:val="20"/>
                <w:color w:val="auto"/>
              </w:rPr>
            </w:pPr>
            <w:r>
              <w:rPr>
                <w:rFonts w:ascii="Arial" w:cs="Arial" w:eastAsia="Arial" w:hAnsi="Arial"/>
                <w:sz w:val="16"/>
                <w:szCs w:val="16"/>
                <w:b w:val="1"/>
                <w:bCs w:val="1"/>
                <w:color w:val="auto"/>
                <w:w w:val="93"/>
              </w:rPr>
              <w:t>Delaware</w:t>
            </w:r>
          </w:p>
        </w:tc>
        <w:tc>
          <w:tcPr>
            <w:tcW w:w="380" w:type="dxa"/>
            <w:vAlign w:val="bottom"/>
          </w:tcPr>
          <w:p>
            <w:pPr>
              <w:spacing w:after="0"/>
              <w:rPr>
                <w:sz w:val="19"/>
                <w:szCs w:val="19"/>
                <w:color w:val="auto"/>
              </w:rPr>
            </w:pPr>
          </w:p>
        </w:tc>
        <w:tc>
          <w:tcPr>
            <w:tcW w:w="3580" w:type="dxa"/>
            <w:vAlign w:val="bottom"/>
          </w:tcPr>
          <w:p>
            <w:pPr>
              <w:spacing w:after="0"/>
              <w:rPr>
                <w:sz w:val="19"/>
                <w:szCs w:val="19"/>
                <w:color w:val="auto"/>
              </w:rPr>
            </w:pPr>
          </w:p>
        </w:tc>
        <w:tc>
          <w:tcPr>
            <w:tcW w:w="3120" w:type="dxa"/>
            <w:vAlign w:val="bottom"/>
          </w:tcPr>
          <w:p>
            <w:pPr>
              <w:jc w:val="center"/>
              <w:ind w:right="1779"/>
              <w:spacing w:after="0"/>
              <w:rPr>
                <w:sz w:val="20"/>
                <w:szCs w:val="20"/>
                <w:color w:val="auto"/>
              </w:rPr>
            </w:pPr>
            <w:r>
              <w:rPr>
                <w:rFonts w:ascii="Arial" w:cs="Arial" w:eastAsia="Arial" w:hAnsi="Arial"/>
                <w:sz w:val="16"/>
                <w:szCs w:val="16"/>
                <w:b w:val="1"/>
                <w:bCs w:val="1"/>
                <w:color w:val="auto"/>
                <w:w w:val="91"/>
              </w:rPr>
              <w:t>83-3349931</w:t>
            </w:r>
          </w:p>
        </w:tc>
      </w:tr>
      <w:tr>
        <w:trPr>
          <w:trHeight w:val="216"/>
        </w:trPr>
        <w:tc>
          <w:tcPr>
            <w:tcW w:w="3580" w:type="dxa"/>
            <w:vAlign w:val="bottom"/>
            <w:gridSpan w:val="5"/>
          </w:tcPr>
          <w:p>
            <w:pPr>
              <w:jc w:val="center"/>
              <w:ind w:left="1479"/>
              <w:spacing w:after="0"/>
              <w:rPr>
                <w:sz w:val="20"/>
                <w:szCs w:val="20"/>
                <w:color w:val="auto"/>
              </w:rPr>
            </w:pPr>
            <w:r>
              <w:rPr>
                <w:rFonts w:ascii="Arial" w:cs="Arial" w:eastAsia="Arial" w:hAnsi="Arial"/>
                <w:sz w:val="16"/>
                <w:szCs w:val="16"/>
                <w:color w:val="auto"/>
                <w:w w:val="93"/>
              </w:rPr>
              <w:t>(State or Other Jurisdiction of</w:t>
            </w:r>
          </w:p>
        </w:tc>
        <w:tc>
          <w:tcPr>
            <w:tcW w:w="380" w:type="dxa"/>
            <w:vAlign w:val="bottom"/>
          </w:tcPr>
          <w:p>
            <w:pPr>
              <w:spacing w:after="0"/>
              <w:rPr>
                <w:sz w:val="18"/>
                <w:szCs w:val="18"/>
                <w:color w:val="auto"/>
              </w:rPr>
            </w:pPr>
          </w:p>
        </w:tc>
        <w:tc>
          <w:tcPr>
            <w:tcW w:w="3580" w:type="dxa"/>
            <w:vAlign w:val="bottom"/>
          </w:tcPr>
          <w:p>
            <w:pPr>
              <w:spacing w:after="0"/>
              <w:rPr>
                <w:sz w:val="18"/>
                <w:szCs w:val="18"/>
                <w:color w:val="auto"/>
              </w:rPr>
            </w:pPr>
          </w:p>
        </w:tc>
        <w:tc>
          <w:tcPr>
            <w:tcW w:w="3120" w:type="dxa"/>
            <w:vAlign w:val="bottom"/>
          </w:tcPr>
          <w:p>
            <w:pPr>
              <w:jc w:val="center"/>
              <w:ind w:right="1779"/>
              <w:spacing w:after="0"/>
              <w:rPr>
                <w:sz w:val="20"/>
                <w:szCs w:val="20"/>
                <w:color w:val="auto"/>
              </w:rPr>
            </w:pPr>
            <w:r>
              <w:rPr>
                <w:rFonts w:ascii="Arial" w:cs="Arial" w:eastAsia="Arial" w:hAnsi="Arial"/>
                <w:sz w:val="16"/>
                <w:szCs w:val="16"/>
                <w:color w:val="auto"/>
                <w:w w:val="93"/>
              </w:rPr>
              <w:t>(I.R.S. Employer</w:t>
            </w:r>
          </w:p>
        </w:tc>
      </w:tr>
      <w:tr>
        <w:trPr>
          <w:trHeight w:val="216"/>
        </w:trPr>
        <w:tc>
          <w:tcPr>
            <w:tcW w:w="3580" w:type="dxa"/>
            <w:vAlign w:val="bottom"/>
            <w:gridSpan w:val="5"/>
          </w:tcPr>
          <w:p>
            <w:pPr>
              <w:jc w:val="center"/>
              <w:ind w:left="1499"/>
              <w:spacing w:after="0"/>
              <w:rPr>
                <w:sz w:val="20"/>
                <w:szCs w:val="20"/>
                <w:color w:val="auto"/>
              </w:rPr>
            </w:pPr>
            <w:r>
              <w:rPr>
                <w:rFonts w:ascii="Arial" w:cs="Arial" w:eastAsia="Arial" w:hAnsi="Arial"/>
                <w:sz w:val="16"/>
                <w:szCs w:val="16"/>
                <w:color w:val="auto"/>
                <w:w w:val="94"/>
              </w:rPr>
              <w:t>Incorporation or Organization)</w:t>
            </w:r>
          </w:p>
        </w:tc>
        <w:tc>
          <w:tcPr>
            <w:tcW w:w="380" w:type="dxa"/>
            <w:vAlign w:val="bottom"/>
          </w:tcPr>
          <w:p>
            <w:pPr>
              <w:spacing w:after="0"/>
              <w:rPr>
                <w:sz w:val="18"/>
                <w:szCs w:val="18"/>
                <w:color w:val="auto"/>
              </w:rPr>
            </w:pPr>
          </w:p>
        </w:tc>
        <w:tc>
          <w:tcPr>
            <w:tcW w:w="3580" w:type="dxa"/>
            <w:vAlign w:val="bottom"/>
          </w:tcPr>
          <w:p>
            <w:pPr>
              <w:spacing w:after="0"/>
              <w:rPr>
                <w:sz w:val="18"/>
                <w:szCs w:val="18"/>
                <w:color w:val="auto"/>
              </w:rPr>
            </w:pPr>
          </w:p>
        </w:tc>
        <w:tc>
          <w:tcPr>
            <w:tcW w:w="3120" w:type="dxa"/>
            <w:vAlign w:val="bottom"/>
          </w:tcPr>
          <w:p>
            <w:pPr>
              <w:jc w:val="center"/>
              <w:ind w:right="1779"/>
              <w:spacing w:after="0"/>
              <w:rPr>
                <w:sz w:val="20"/>
                <w:szCs w:val="20"/>
                <w:color w:val="auto"/>
              </w:rPr>
            </w:pPr>
            <w:r>
              <w:rPr>
                <w:rFonts w:ascii="Arial" w:cs="Arial" w:eastAsia="Arial" w:hAnsi="Arial"/>
                <w:sz w:val="16"/>
                <w:szCs w:val="16"/>
                <w:color w:val="auto"/>
                <w:w w:val="97"/>
              </w:rPr>
              <w:t>Identification No.)</w:t>
            </w:r>
          </w:p>
        </w:tc>
      </w:tr>
      <w:tr>
        <w:trPr>
          <w:trHeight w:val="280"/>
        </w:trPr>
        <w:tc>
          <w:tcPr>
            <w:tcW w:w="2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960" w:type="dxa"/>
            <w:vAlign w:val="bottom"/>
            <w:gridSpan w:val="2"/>
          </w:tcPr>
          <w:p>
            <w:pPr>
              <w:jc w:val="center"/>
              <w:ind w:right="159"/>
              <w:spacing w:after="0"/>
              <w:rPr>
                <w:sz w:val="20"/>
                <w:szCs w:val="20"/>
                <w:color w:val="auto"/>
              </w:rPr>
            </w:pPr>
            <w:r>
              <w:rPr>
                <w:rFonts w:ascii="Arial" w:cs="Arial" w:eastAsia="Arial" w:hAnsi="Arial"/>
                <w:sz w:val="16"/>
                <w:szCs w:val="16"/>
                <w:b w:val="1"/>
                <w:bCs w:val="1"/>
                <w:color w:val="auto"/>
                <w:w w:val="92"/>
              </w:rPr>
              <w:t>1675 East Riverside Drive, Suite 150, Eagle, ID 83616</w:t>
            </w:r>
          </w:p>
        </w:tc>
        <w:tc>
          <w:tcPr>
            <w:tcW w:w="3120" w:type="dxa"/>
            <w:vAlign w:val="bottom"/>
          </w:tcPr>
          <w:p>
            <w:pPr>
              <w:spacing w:after="0"/>
              <w:rPr>
                <w:sz w:val="24"/>
                <w:szCs w:val="24"/>
                <w:color w:val="auto"/>
              </w:rPr>
            </w:pPr>
          </w:p>
        </w:tc>
      </w:tr>
      <w:tr>
        <w:trPr>
          <w:trHeight w:val="185"/>
        </w:trPr>
        <w:tc>
          <w:tcPr>
            <w:tcW w:w="2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3960" w:type="dxa"/>
            <w:vAlign w:val="bottom"/>
            <w:gridSpan w:val="2"/>
          </w:tcPr>
          <w:p>
            <w:pPr>
              <w:jc w:val="center"/>
              <w:ind w:right="159"/>
              <w:spacing w:after="0"/>
              <w:rPr>
                <w:sz w:val="20"/>
                <w:szCs w:val="20"/>
                <w:color w:val="auto"/>
              </w:rPr>
            </w:pPr>
            <w:r>
              <w:rPr>
                <w:rFonts w:ascii="Arial" w:cs="Arial" w:eastAsia="Arial" w:hAnsi="Arial"/>
                <w:sz w:val="16"/>
                <w:szCs w:val="16"/>
                <w:color w:val="auto"/>
                <w:w w:val="93"/>
              </w:rPr>
              <w:t>(Address of Principal Executive Offices and Zip Code)</w:t>
            </w:r>
          </w:p>
        </w:tc>
        <w:tc>
          <w:tcPr>
            <w:tcW w:w="3120" w:type="dxa"/>
            <w:vAlign w:val="bottom"/>
          </w:tcPr>
          <w:p>
            <w:pPr>
              <w:spacing w:after="0"/>
              <w:rPr>
                <w:sz w:val="16"/>
                <w:szCs w:val="16"/>
                <w:color w:val="auto"/>
              </w:rPr>
            </w:pPr>
          </w:p>
        </w:tc>
      </w:tr>
      <w:tr>
        <w:trPr>
          <w:trHeight w:val="206"/>
        </w:trPr>
        <w:tc>
          <w:tcPr>
            <w:tcW w:w="2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3960" w:type="dxa"/>
            <w:vAlign w:val="bottom"/>
            <w:gridSpan w:val="2"/>
          </w:tcPr>
          <w:p>
            <w:pPr>
              <w:jc w:val="center"/>
              <w:ind w:right="139"/>
              <w:spacing w:after="0"/>
              <w:rPr>
                <w:sz w:val="20"/>
                <w:szCs w:val="20"/>
                <w:color w:val="auto"/>
              </w:rPr>
            </w:pPr>
            <w:r>
              <w:rPr>
                <w:rFonts w:ascii="Arial" w:cs="Arial" w:eastAsia="Arial" w:hAnsi="Arial"/>
                <w:sz w:val="16"/>
                <w:szCs w:val="16"/>
                <w:b w:val="1"/>
                <w:bCs w:val="1"/>
                <w:color w:val="auto"/>
                <w:w w:val="93"/>
              </w:rPr>
              <w:t>(208) 506-6100</w:t>
            </w:r>
          </w:p>
        </w:tc>
        <w:tc>
          <w:tcPr>
            <w:tcW w:w="3120" w:type="dxa"/>
            <w:vAlign w:val="bottom"/>
          </w:tcPr>
          <w:p>
            <w:pPr>
              <w:spacing w:after="0"/>
              <w:rPr>
                <w:sz w:val="17"/>
                <w:szCs w:val="17"/>
                <w:color w:val="auto"/>
              </w:rPr>
            </w:pPr>
          </w:p>
        </w:tc>
      </w:tr>
      <w:tr>
        <w:trPr>
          <w:trHeight w:val="175"/>
        </w:trPr>
        <w:tc>
          <w:tcPr>
            <w:tcW w:w="2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3960" w:type="dxa"/>
            <w:vAlign w:val="bottom"/>
            <w:gridSpan w:val="2"/>
          </w:tcPr>
          <w:p>
            <w:pPr>
              <w:jc w:val="center"/>
              <w:ind w:right="159"/>
              <w:spacing w:after="0" w:line="175" w:lineRule="exact"/>
              <w:rPr>
                <w:sz w:val="20"/>
                <w:szCs w:val="20"/>
                <w:color w:val="auto"/>
              </w:rPr>
            </w:pPr>
            <w:r>
              <w:rPr>
                <w:rFonts w:ascii="Arial" w:cs="Arial" w:eastAsia="Arial" w:hAnsi="Arial"/>
                <w:sz w:val="16"/>
                <w:szCs w:val="16"/>
                <w:color w:val="auto"/>
                <w:w w:val="92"/>
              </w:rPr>
              <w:t>(Registrant’s Telephone Number, Including Area Code)</w:t>
            </w:r>
          </w:p>
        </w:tc>
        <w:tc>
          <w:tcPr>
            <w:tcW w:w="3120" w:type="dxa"/>
            <w:vAlign w:val="bottom"/>
          </w:tcPr>
          <w:p>
            <w:pPr>
              <w:spacing w:after="0"/>
              <w:rPr>
                <w:sz w:val="15"/>
                <w:szCs w:val="15"/>
                <w:color w:val="auto"/>
              </w:rPr>
            </w:pPr>
          </w:p>
        </w:tc>
      </w:tr>
      <w:tr>
        <w:trPr>
          <w:trHeight w:val="175"/>
        </w:trPr>
        <w:tc>
          <w:tcPr>
            <w:tcW w:w="2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3580" w:type="dxa"/>
            <w:vAlign w:val="bottom"/>
          </w:tcPr>
          <w:p>
            <w:pPr>
              <w:jc w:val="center"/>
              <w:ind w:right="539"/>
              <w:spacing w:after="0" w:line="175" w:lineRule="exact"/>
              <w:rPr>
                <w:sz w:val="20"/>
                <w:szCs w:val="20"/>
                <w:color w:val="auto"/>
              </w:rPr>
            </w:pPr>
            <w:r>
              <w:rPr>
                <w:rFonts w:ascii="Arial" w:cs="Arial" w:eastAsia="Arial" w:hAnsi="Arial"/>
                <w:sz w:val="16"/>
                <w:szCs w:val="16"/>
                <w:color w:val="auto"/>
                <w:w w:val="94"/>
              </w:rPr>
              <w:t>None</w:t>
            </w:r>
          </w:p>
        </w:tc>
        <w:tc>
          <w:tcPr>
            <w:tcW w:w="3120" w:type="dxa"/>
            <w:vAlign w:val="bottom"/>
          </w:tcPr>
          <w:p>
            <w:pPr>
              <w:spacing w:after="0"/>
              <w:rPr>
                <w:sz w:val="15"/>
                <w:szCs w:val="15"/>
                <w:color w:val="auto"/>
              </w:rPr>
            </w:pPr>
          </w:p>
        </w:tc>
      </w:tr>
      <w:tr>
        <w:trPr>
          <w:trHeight w:val="185"/>
        </w:trPr>
        <w:tc>
          <w:tcPr>
            <w:tcW w:w="2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420" w:type="dxa"/>
            <w:vAlign w:val="bottom"/>
            <w:gridSpan w:val="6"/>
          </w:tcPr>
          <w:p>
            <w:pPr>
              <w:jc w:val="center"/>
              <w:ind w:right="1939"/>
              <w:spacing w:after="0"/>
              <w:rPr>
                <w:sz w:val="20"/>
                <w:szCs w:val="20"/>
                <w:color w:val="auto"/>
              </w:rPr>
            </w:pPr>
            <w:r>
              <w:rPr>
                <w:rFonts w:ascii="Arial" w:cs="Arial" w:eastAsia="Arial" w:hAnsi="Arial"/>
                <w:sz w:val="16"/>
                <w:szCs w:val="16"/>
                <w:color w:val="auto"/>
                <w:w w:val="91"/>
              </w:rPr>
              <w:t>(Former name, former address and former fiscal year, if changed since last report)</w:t>
            </w:r>
          </w:p>
        </w:tc>
      </w:tr>
      <w:tr>
        <w:trPr>
          <w:trHeight w:val="216"/>
        </w:trPr>
        <w:tc>
          <w:tcPr>
            <w:tcW w:w="2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960" w:type="dxa"/>
            <w:vAlign w:val="bottom"/>
            <w:gridSpan w:val="2"/>
          </w:tcPr>
          <w:p>
            <w:pPr>
              <w:jc w:val="center"/>
              <w:ind w:right="159"/>
              <w:spacing w:after="0"/>
              <w:rPr>
                <w:sz w:val="20"/>
                <w:szCs w:val="20"/>
                <w:color w:val="auto"/>
              </w:rPr>
            </w:pPr>
            <w:r>
              <w:rPr>
                <w:rFonts w:ascii="Arial" w:cs="Arial" w:eastAsia="Arial" w:hAnsi="Arial"/>
                <w:sz w:val="18"/>
                <w:szCs w:val="18"/>
                <w:color w:val="auto"/>
                <w:w w:val="89"/>
              </w:rPr>
              <w:t>________________</w:t>
            </w:r>
          </w:p>
        </w:tc>
        <w:tc>
          <w:tcPr>
            <w:tcW w:w="3120" w:type="dxa"/>
            <w:vAlign w:val="bottom"/>
          </w:tcPr>
          <w:p>
            <w:pPr>
              <w:spacing w:after="0"/>
              <w:rPr>
                <w:sz w:val="18"/>
                <w:szCs w:val="18"/>
                <w:color w:val="auto"/>
              </w:rPr>
            </w:pPr>
          </w:p>
        </w:tc>
      </w:tr>
      <w:tr>
        <w:trPr>
          <w:trHeight w:val="230"/>
        </w:trPr>
        <w:tc>
          <w:tcPr>
            <w:tcW w:w="2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400" w:type="dxa"/>
            <w:vAlign w:val="bottom"/>
            <w:gridSpan w:val="3"/>
          </w:tcPr>
          <w:p>
            <w:pPr>
              <w:jc w:val="center"/>
              <w:ind w:left="130"/>
              <w:spacing w:after="0"/>
              <w:rPr>
                <w:sz w:val="20"/>
                <w:szCs w:val="20"/>
                <w:color w:val="auto"/>
              </w:rPr>
            </w:pPr>
            <w:r>
              <w:rPr>
                <w:rFonts w:ascii="Arial" w:cs="Arial" w:eastAsia="Arial" w:hAnsi="Arial"/>
                <w:sz w:val="18"/>
                <w:szCs w:val="18"/>
                <w:color w:val="auto"/>
                <w:w w:val="90"/>
              </w:rPr>
              <w:t>Securities registered pursuant to Section 12(b) of the Act:</w:t>
            </w:r>
          </w:p>
        </w:tc>
        <w:tc>
          <w:tcPr>
            <w:tcW w:w="3120" w:type="dxa"/>
            <w:vAlign w:val="bottom"/>
          </w:tcPr>
          <w:p>
            <w:pPr>
              <w:spacing w:after="0"/>
              <w:rPr>
                <w:sz w:val="20"/>
                <w:szCs w:val="20"/>
                <w:color w:val="auto"/>
              </w:rPr>
            </w:pPr>
          </w:p>
        </w:tc>
      </w:tr>
      <w:tr>
        <w:trPr>
          <w:trHeight w:val="237"/>
        </w:trPr>
        <w:tc>
          <w:tcPr>
            <w:tcW w:w="2240" w:type="dxa"/>
            <w:vAlign w:val="bottom"/>
            <w:gridSpan w:val="2"/>
          </w:tcPr>
          <w:p>
            <w:pPr>
              <w:jc w:val="center"/>
              <w:ind w:left="939"/>
              <w:spacing w:after="0"/>
              <w:rPr>
                <w:sz w:val="20"/>
                <w:szCs w:val="20"/>
                <w:color w:val="auto"/>
              </w:rPr>
            </w:pPr>
            <w:r>
              <w:rPr>
                <w:rFonts w:ascii="Arial" w:cs="Arial" w:eastAsia="Arial" w:hAnsi="Arial"/>
                <w:sz w:val="16"/>
                <w:szCs w:val="16"/>
                <w:b w:val="1"/>
                <w:bCs w:val="1"/>
                <w:color w:val="auto"/>
                <w:w w:val="88"/>
              </w:rPr>
              <w:t>Title of each class</w:t>
            </w:r>
          </w:p>
        </w:tc>
        <w:tc>
          <w:tcPr>
            <w:tcW w:w="7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3580" w:type="dxa"/>
            <w:vAlign w:val="bottom"/>
          </w:tcPr>
          <w:p>
            <w:pPr>
              <w:jc w:val="center"/>
              <w:ind w:right="759"/>
              <w:spacing w:after="0"/>
              <w:rPr>
                <w:sz w:val="20"/>
                <w:szCs w:val="20"/>
                <w:color w:val="auto"/>
              </w:rPr>
            </w:pPr>
            <w:r>
              <w:rPr>
                <w:rFonts w:ascii="Arial" w:cs="Arial" w:eastAsia="Arial" w:hAnsi="Arial"/>
                <w:sz w:val="16"/>
                <w:szCs w:val="16"/>
                <w:b w:val="1"/>
                <w:bCs w:val="1"/>
                <w:color w:val="auto"/>
                <w:w w:val="92"/>
              </w:rPr>
              <w:t>Trading Symbol(s)</w:t>
            </w:r>
          </w:p>
        </w:tc>
        <w:tc>
          <w:tcPr>
            <w:tcW w:w="3120" w:type="dxa"/>
            <w:vAlign w:val="bottom"/>
          </w:tcPr>
          <w:p>
            <w:pPr>
              <w:jc w:val="center"/>
              <w:ind w:left="19"/>
              <w:spacing w:after="0"/>
              <w:rPr>
                <w:sz w:val="20"/>
                <w:szCs w:val="20"/>
                <w:color w:val="auto"/>
              </w:rPr>
            </w:pPr>
            <w:r>
              <w:rPr>
                <w:rFonts w:ascii="Arial" w:cs="Arial" w:eastAsia="Arial" w:hAnsi="Arial"/>
                <w:sz w:val="16"/>
                <w:szCs w:val="16"/>
                <w:b w:val="1"/>
                <w:bCs w:val="1"/>
                <w:color w:val="auto"/>
                <w:w w:val="89"/>
              </w:rPr>
              <w:t>Name of each exchange on which registered</w:t>
            </w:r>
          </w:p>
        </w:tc>
      </w:tr>
      <w:tr>
        <w:trPr>
          <w:trHeight w:val="216"/>
        </w:trPr>
        <w:tc>
          <w:tcPr>
            <w:tcW w:w="3580" w:type="dxa"/>
            <w:vAlign w:val="bottom"/>
            <w:gridSpan w:val="5"/>
          </w:tcPr>
          <w:p>
            <w:pPr>
              <w:jc w:val="center"/>
              <w:ind w:right="250"/>
              <w:spacing w:after="0"/>
              <w:rPr>
                <w:sz w:val="20"/>
                <w:szCs w:val="20"/>
                <w:color w:val="auto"/>
              </w:rPr>
            </w:pPr>
            <w:r>
              <w:rPr>
                <w:rFonts w:ascii="Arial" w:cs="Arial" w:eastAsia="Arial" w:hAnsi="Arial"/>
                <w:sz w:val="16"/>
                <w:szCs w:val="16"/>
                <w:color w:val="auto"/>
                <w:w w:val="90"/>
              </w:rPr>
              <w:t>Common Stock, par value $0.001 per share</w:t>
            </w:r>
          </w:p>
        </w:tc>
        <w:tc>
          <w:tcPr>
            <w:tcW w:w="380" w:type="dxa"/>
            <w:vAlign w:val="bottom"/>
          </w:tcPr>
          <w:p>
            <w:pPr>
              <w:spacing w:after="0"/>
              <w:rPr>
                <w:sz w:val="18"/>
                <w:szCs w:val="18"/>
                <w:color w:val="auto"/>
              </w:rPr>
            </w:pPr>
          </w:p>
        </w:tc>
        <w:tc>
          <w:tcPr>
            <w:tcW w:w="3580" w:type="dxa"/>
            <w:vAlign w:val="bottom"/>
          </w:tcPr>
          <w:p>
            <w:pPr>
              <w:jc w:val="center"/>
              <w:ind w:right="759"/>
              <w:spacing w:after="0"/>
              <w:rPr>
                <w:sz w:val="20"/>
                <w:szCs w:val="20"/>
                <w:color w:val="auto"/>
              </w:rPr>
            </w:pPr>
            <w:r>
              <w:rPr>
                <w:rFonts w:ascii="Arial" w:cs="Arial" w:eastAsia="Arial" w:hAnsi="Arial"/>
                <w:sz w:val="16"/>
                <w:szCs w:val="16"/>
                <w:color w:val="auto"/>
                <w:w w:val="94"/>
              </w:rPr>
              <w:t>PNTG</w:t>
            </w:r>
          </w:p>
        </w:tc>
        <w:tc>
          <w:tcPr>
            <w:tcW w:w="3120" w:type="dxa"/>
            <w:vAlign w:val="bottom"/>
          </w:tcPr>
          <w:p>
            <w:pPr>
              <w:jc w:val="center"/>
              <w:ind w:left="19"/>
              <w:spacing w:after="0"/>
              <w:rPr>
                <w:sz w:val="20"/>
                <w:szCs w:val="20"/>
                <w:color w:val="auto"/>
              </w:rPr>
            </w:pPr>
            <w:r>
              <w:rPr>
                <w:rFonts w:ascii="Arial" w:cs="Arial" w:eastAsia="Arial" w:hAnsi="Arial"/>
                <w:sz w:val="16"/>
                <w:szCs w:val="16"/>
                <w:color w:val="auto"/>
                <w:w w:val="91"/>
              </w:rPr>
              <w:t>Nasdaq Global Select Market</w:t>
            </w:r>
          </w:p>
        </w:tc>
      </w:tr>
    </w:tbl>
    <w:p>
      <w:pPr>
        <w:spacing w:after="0" w:line="91" w:lineRule="exact"/>
        <w:rPr>
          <w:sz w:val="24"/>
          <w:szCs w:val="24"/>
          <w:color w:val="auto"/>
        </w:rPr>
      </w:pPr>
    </w:p>
    <w:p>
      <w:pPr>
        <w:ind w:left="3780"/>
        <w:spacing w:after="0"/>
        <w:rPr>
          <w:sz w:val="20"/>
          <w:szCs w:val="20"/>
          <w:color w:val="auto"/>
        </w:rPr>
      </w:pPr>
      <w:r>
        <w:rPr>
          <w:rFonts w:ascii="Arial" w:cs="Arial" w:eastAsia="Arial" w:hAnsi="Arial"/>
          <w:sz w:val="16"/>
          <w:szCs w:val="16"/>
          <w:color w:val="auto"/>
        </w:rPr>
        <w:t>Securities registered pursuant to Section 12(g) of the Act: None</w:t>
      </w:r>
    </w:p>
    <w:p>
      <w:pPr>
        <w:spacing w:after="0" w:line="200" w:lineRule="exact"/>
        <w:rPr>
          <w:sz w:val="24"/>
          <w:szCs w:val="24"/>
          <w:color w:val="auto"/>
        </w:rPr>
      </w:pPr>
    </w:p>
    <w:p>
      <w:pPr>
        <w:spacing w:after="0" w:line="237" w:lineRule="exact"/>
        <w:rPr>
          <w:sz w:val="24"/>
          <w:szCs w:val="24"/>
          <w:color w:val="auto"/>
        </w:rPr>
      </w:pPr>
    </w:p>
    <w:p>
      <w:pPr>
        <w:jc w:val="both"/>
        <w:ind w:firstLine="445"/>
        <w:spacing w:after="0" w:line="294" w:lineRule="auto"/>
        <w:rPr>
          <w:sz w:val="20"/>
          <w:szCs w:val="20"/>
          <w:color w:val="auto"/>
        </w:rPr>
      </w:pPr>
      <w:r>
        <w:rPr>
          <w:rFonts w:ascii="Arial" w:cs="Arial" w:eastAsia="Arial" w:hAnsi="Arial"/>
          <w:sz w:val="14"/>
          <w:szCs w:val="14"/>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p>
    <w:p>
      <w:pPr>
        <w:spacing w:after="0" w:line="1" w:lineRule="exact"/>
        <w:rPr>
          <w:sz w:val="24"/>
          <w:szCs w:val="24"/>
          <w:color w:val="auto"/>
        </w:rPr>
      </w:pPr>
    </w:p>
    <w:p>
      <w:pPr>
        <w:ind w:left="200" w:hanging="192"/>
        <w:spacing w:after="0" w:line="184" w:lineRule="exact"/>
        <w:tabs>
          <w:tab w:leader="none" w:pos="200" w:val="left"/>
        </w:tabs>
        <w:numPr>
          <w:ilvl w:val="0"/>
          <w:numId w:val="3"/>
        </w:numPr>
        <w:rPr>
          <w:rFonts w:ascii="MS PGothic" w:cs="MS PGothic" w:eastAsia="MS PGothic" w:hAnsi="MS PGothic"/>
          <w:sz w:val="16"/>
          <w:szCs w:val="16"/>
          <w:color w:val="auto"/>
        </w:rPr>
      </w:pPr>
      <w:r>
        <w:rPr>
          <w:rFonts w:ascii="Arial" w:cs="Arial" w:eastAsia="Arial" w:hAnsi="Arial"/>
          <w:sz w:val="16"/>
          <w:szCs w:val="16"/>
          <w:color w:val="auto"/>
        </w:rPr>
        <w:t xml:space="preserve">Yes </w:t>
      </w:r>
      <w:r>
        <w:rPr>
          <w:rFonts w:ascii="MS PGothic" w:cs="MS PGothic" w:eastAsia="MS PGothic" w:hAnsi="MS PGothic"/>
          <w:sz w:val="16"/>
          <w:szCs w:val="16"/>
          <w:color w:val="auto"/>
        </w:rPr>
        <w:t>☐</w:t>
      </w:r>
      <w:r>
        <w:rPr>
          <w:rFonts w:ascii="Arial" w:cs="Arial" w:eastAsia="Arial" w:hAnsi="Arial"/>
          <w:sz w:val="16"/>
          <w:szCs w:val="16"/>
          <w:color w:val="auto"/>
        </w:rPr>
        <w:t xml:space="preserve"> No</w:t>
      </w:r>
    </w:p>
    <w:p>
      <w:pPr>
        <w:spacing w:after="0" w:line="177" w:lineRule="exact"/>
        <w:rPr>
          <w:sz w:val="24"/>
          <w:szCs w:val="24"/>
          <w:color w:val="auto"/>
        </w:rPr>
      </w:pPr>
    </w:p>
    <w:p>
      <w:pPr>
        <w:ind w:firstLine="445"/>
        <w:spacing w:after="0" w:line="213" w:lineRule="exact"/>
        <w:rPr>
          <w:sz w:val="20"/>
          <w:szCs w:val="20"/>
          <w:color w:val="auto"/>
        </w:rPr>
      </w:pPr>
      <w:r>
        <w:rPr>
          <w:rFonts w:ascii="Arial" w:cs="Arial" w:eastAsia="Arial" w:hAnsi="Arial"/>
          <w:sz w:val="15"/>
          <w:szCs w:val="15"/>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w:t>
      </w:r>
      <w:r>
        <w:rPr>
          <w:rFonts w:ascii="MS PGothic" w:cs="MS PGothic" w:eastAsia="MS PGothic" w:hAnsi="MS PGothic"/>
          <w:sz w:val="15"/>
          <w:szCs w:val="15"/>
          <w:color w:val="auto"/>
        </w:rPr>
        <w:t>☒</w:t>
      </w:r>
      <w:r>
        <w:rPr>
          <w:rFonts w:ascii="Arial" w:cs="Arial" w:eastAsia="Arial" w:hAnsi="Arial"/>
          <w:sz w:val="15"/>
          <w:szCs w:val="15"/>
          <w:color w:val="auto"/>
        </w:rPr>
        <w:t xml:space="preserve"> Yes </w:t>
      </w:r>
      <w:r>
        <w:rPr>
          <w:rFonts w:ascii="MS PGothic" w:cs="MS PGothic" w:eastAsia="MS PGothic" w:hAnsi="MS PGothic"/>
          <w:sz w:val="15"/>
          <w:szCs w:val="15"/>
          <w:color w:val="auto"/>
        </w:rPr>
        <w:t>☐</w:t>
      </w:r>
      <w:r>
        <w:rPr>
          <w:rFonts w:ascii="Arial" w:cs="Arial" w:eastAsia="Arial" w:hAnsi="Arial"/>
          <w:sz w:val="15"/>
          <w:szCs w:val="15"/>
          <w:color w:val="auto"/>
        </w:rPr>
        <w:t xml:space="preserve"> No</w:t>
      </w:r>
    </w:p>
    <w:p>
      <w:pPr>
        <w:spacing w:after="0" w:line="209" w:lineRule="exact"/>
        <w:rPr>
          <w:sz w:val="24"/>
          <w:szCs w:val="24"/>
          <w:color w:val="auto"/>
        </w:rPr>
      </w:pPr>
    </w:p>
    <w:p>
      <w:pPr>
        <w:jc w:val="both"/>
        <w:ind w:right="300" w:firstLine="445"/>
        <w:spacing w:after="0" w:line="259"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2" w:lineRule="exact"/>
        <w:rPr>
          <w:sz w:val="24"/>
          <w:szCs w:val="24"/>
          <w:color w:val="auto"/>
        </w:rPr>
      </w:pPr>
    </w:p>
    <w:p>
      <w:pPr>
        <w:ind w:left="240"/>
        <w:spacing w:after="0" w:line="184" w:lineRule="exact"/>
        <w:tabs>
          <w:tab w:leader="none" w:pos="1980" w:val="left"/>
          <w:tab w:leader="none" w:pos="2620" w:val="left"/>
          <w:tab w:leader="none" w:pos="4200" w:val="left"/>
          <w:tab w:leader="none" w:pos="4720" w:val="left"/>
          <w:tab w:leader="none" w:pos="6460" w:val="left"/>
        </w:tabs>
        <w:rPr>
          <w:sz w:val="20"/>
          <w:szCs w:val="20"/>
          <w:color w:val="auto"/>
        </w:rPr>
      </w:pPr>
      <w:r>
        <w:rPr>
          <w:rFonts w:ascii="Arial" w:cs="Arial" w:eastAsia="Arial" w:hAnsi="Arial"/>
          <w:sz w:val="16"/>
          <w:szCs w:val="16"/>
          <w:color w:val="auto"/>
        </w:rPr>
        <w:t>Large accelerated filer</w:t>
      </w:r>
      <w:r>
        <w:rPr>
          <w:sz w:val="20"/>
          <w:szCs w:val="20"/>
          <w:color w:val="auto"/>
        </w:rPr>
        <w:tab/>
      </w:r>
      <w:r>
        <w:rPr>
          <w:rFonts w:ascii="MS PGothic" w:cs="MS PGothic" w:eastAsia="MS PGothic" w:hAnsi="MS PGothic"/>
          <w:sz w:val="16"/>
          <w:szCs w:val="16"/>
          <w:color w:val="auto"/>
        </w:rPr>
        <w:t>☒</w:t>
      </w:r>
      <w:r>
        <w:rPr>
          <w:sz w:val="20"/>
          <w:szCs w:val="20"/>
          <w:color w:val="auto"/>
        </w:rPr>
        <w:tab/>
      </w:r>
      <w:r>
        <w:rPr>
          <w:rFonts w:ascii="Arial" w:cs="Arial" w:eastAsia="Arial" w:hAnsi="Arial"/>
          <w:sz w:val="16"/>
          <w:szCs w:val="16"/>
          <w:color w:val="auto"/>
        </w:rPr>
        <w:t>Accelerated filer</w:t>
      </w:r>
      <w:r>
        <w:rPr>
          <w:sz w:val="20"/>
          <w:szCs w:val="20"/>
          <w:color w:val="auto"/>
        </w:rPr>
        <w:tab/>
      </w:r>
      <w:r>
        <w:rPr>
          <w:rFonts w:ascii="MS PGothic" w:cs="MS PGothic" w:eastAsia="MS PGothic" w:hAnsi="MS PGothic"/>
          <w:sz w:val="16"/>
          <w:szCs w:val="16"/>
          <w:color w:val="auto"/>
        </w:rPr>
        <w:t>☐</w:t>
      </w:r>
      <w:r>
        <w:rPr>
          <w:sz w:val="20"/>
          <w:szCs w:val="20"/>
          <w:color w:val="auto"/>
        </w:rPr>
        <w:tab/>
      </w:r>
      <w:r>
        <w:rPr>
          <w:rFonts w:ascii="Arial" w:cs="Arial" w:eastAsia="Arial" w:hAnsi="Arial"/>
          <w:sz w:val="16"/>
          <w:szCs w:val="16"/>
          <w:color w:val="auto"/>
        </w:rPr>
        <w:t>Non-accelerated filer</w:t>
      </w:r>
      <w:r>
        <w:rPr>
          <w:sz w:val="20"/>
          <w:szCs w:val="20"/>
          <w:color w:val="auto"/>
        </w:rPr>
        <w:tab/>
      </w:r>
      <w:r>
        <w:rPr>
          <w:rFonts w:ascii="MS PGothic" w:cs="MS PGothic" w:eastAsia="MS PGothic" w:hAnsi="MS PGothic"/>
          <w:sz w:val="16"/>
          <w:szCs w:val="16"/>
          <w:color w:val="auto"/>
        </w:rPr>
        <w:t xml:space="preserve">☐ </w:t>
      </w:r>
      <w:r>
        <w:rPr>
          <w:rFonts w:ascii="Arial" w:cs="Arial" w:eastAsia="Arial" w:hAnsi="Arial"/>
          <w:sz w:val="16"/>
          <w:szCs w:val="16"/>
          <w:color w:val="auto"/>
        </w:rPr>
        <w:t>Smaller reporting company</w:t>
      </w:r>
      <w:r>
        <w:rPr>
          <w:rFonts w:ascii="MS PGothic" w:cs="MS PGothic" w:eastAsia="MS PGothic" w:hAnsi="MS PGothic"/>
          <w:sz w:val="16"/>
          <w:szCs w:val="16"/>
          <w:color w:val="auto"/>
        </w:rPr>
        <w:t xml:space="preserve">  ☐  </w:t>
      </w:r>
      <w:r>
        <w:rPr>
          <w:rFonts w:ascii="Arial" w:cs="Arial" w:eastAsia="Arial" w:hAnsi="Arial"/>
          <w:sz w:val="16"/>
          <w:szCs w:val="16"/>
          <w:color w:val="auto"/>
        </w:rPr>
        <w:t>Emerging growth company</w:t>
      </w:r>
      <w:r>
        <w:rPr>
          <w:rFonts w:ascii="MS PGothic" w:cs="MS PGothic" w:eastAsia="MS PGothic" w:hAnsi="MS PGothic"/>
          <w:sz w:val="16"/>
          <w:szCs w:val="16"/>
          <w:color w:val="auto"/>
        </w:rPr>
        <w:t xml:space="preserve">  ☐</w:t>
      </w:r>
    </w:p>
    <w:p>
      <w:pPr>
        <w:spacing w:after="0" w:line="379" w:lineRule="exact"/>
        <w:rPr>
          <w:sz w:val="24"/>
          <w:szCs w:val="24"/>
          <w:color w:val="auto"/>
        </w:rPr>
      </w:pPr>
    </w:p>
    <w:p>
      <w:pPr>
        <w:ind w:firstLine="445"/>
        <w:spacing w:after="0" w:line="207" w:lineRule="exact"/>
        <w:rPr>
          <w:sz w:val="20"/>
          <w:szCs w:val="20"/>
          <w:color w:val="auto"/>
        </w:rPr>
      </w:pPr>
      <w:r>
        <w:rPr>
          <w:rFonts w:ascii="Arial" w:cs="Arial" w:eastAsia="Arial" w:hAnsi="Arial"/>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185" w:lineRule="exact"/>
        <w:rPr>
          <w:sz w:val="24"/>
          <w:szCs w:val="24"/>
          <w:color w:val="auto"/>
        </w:rPr>
      </w:pPr>
    </w:p>
    <w:p>
      <w:pPr>
        <w:ind w:left="460"/>
        <w:spacing w:after="0" w:line="196" w:lineRule="exact"/>
        <w:rPr>
          <w:sz w:val="20"/>
          <w:szCs w:val="20"/>
          <w:color w:val="auto"/>
        </w:rPr>
      </w:pPr>
      <w:r>
        <w:rPr>
          <w:rFonts w:ascii="Arial" w:cs="Arial" w:eastAsia="Arial" w:hAnsi="Arial"/>
          <w:sz w:val="16"/>
          <w:szCs w:val="16"/>
          <w:color w:val="auto"/>
        </w:rPr>
        <w:t xml:space="preserve">Indicate by a check mark whether the registrant is a shell company (as defined in Rule 12b-2 of the Exchange Act). </w:t>
      </w:r>
      <w:r>
        <w:rPr>
          <w:rFonts w:ascii="MS PGothic" w:cs="MS PGothic" w:eastAsia="MS PGothic" w:hAnsi="MS PGothic"/>
          <w:sz w:val="17"/>
          <w:szCs w:val="17"/>
          <w:color w:val="auto"/>
        </w:rPr>
        <w:t>☐</w:t>
      </w:r>
      <w:r>
        <w:rPr>
          <w:rFonts w:ascii="Arial" w:cs="Arial" w:eastAsia="Arial" w:hAnsi="Arial"/>
          <w:sz w:val="16"/>
          <w:szCs w:val="16"/>
          <w:color w:val="auto"/>
        </w:rPr>
        <w:t xml:space="preserve"> Yes </w:t>
      </w:r>
      <w:r>
        <w:rPr>
          <w:rFonts w:ascii="MS PGothic" w:cs="MS PGothic" w:eastAsia="MS PGothic" w:hAnsi="MS PGothic"/>
          <w:sz w:val="16"/>
          <w:szCs w:val="16"/>
          <w:color w:val="auto"/>
        </w:rPr>
        <w:t>☒</w:t>
      </w:r>
      <w:r>
        <w:rPr>
          <w:rFonts w:ascii="Arial" w:cs="Arial" w:eastAsia="Arial" w:hAnsi="Arial"/>
          <w:sz w:val="16"/>
          <w:szCs w:val="16"/>
          <w:color w:val="auto"/>
        </w:rPr>
        <w:t xml:space="preserve"> No</w:t>
      </w:r>
    </w:p>
    <w:p>
      <w:pPr>
        <w:spacing w:after="0" w:line="233" w:lineRule="exact"/>
        <w:rPr>
          <w:sz w:val="24"/>
          <w:szCs w:val="24"/>
          <w:color w:val="auto"/>
        </w:rPr>
      </w:pPr>
    </w:p>
    <w:p>
      <w:pPr>
        <w:spacing w:after="0"/>
        <w:rPr>
          <w:sz w:val="20"/>
          <w:szCs w:val="20"/>
          <w:color w:val="auto"/>
        </w:rPr>
      </w:pPr>
      <w:r>
        <w:rPr>
          <w:rFonts w:ascii="Arial" w:cs="Arial" w:eastAsia="Arial" w:hAnsi="Arial"/>
          <w:sz w:val="16"/>
          <w:szCs w:val="16"/>
          <w:color w:val="auto"/>
        </w:rPr>
        <w:t>As of November 4, 2022, 29,676,611 shares of the registrant’s common stock were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862330</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60960</wp:posOffset>
            </wp:positionV>
            <wp:extent cx="71323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26670</wp:posOffset>
            </wp:positionV>
            <wp:extent cx="71323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1282" w:right="339" w:bottom="1440" w:gutter="0" w:footer="0" w:header="0"/>
        </w:sectPr>
      </w:pPr>
    </w:p>
    <w:bookmarkStart w:id="1" w:name="page2"/>
    <w:bookmarkEnd w:id="1"/>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tbl>
      <w:tblPr>
        <w:tblLayout w:type="fixed"/>
        <w:tblInd w:w="20" w:type="dxa"/>
        <w:tblCellMar>
          <w:top w:w="0" w:type="dxa"/>
          <w:left w:w="0" w:type="dxa"/>
          <w:bottom w:w="0" w:type="dxa"/>
          <w:right w:w="0" w:type="dxa"/>
        </w:tblCellMar>
      </w:tblPr>
      <w:tr>
        <w:trPr>
          <w:trHeight w:val="216"/>
        </w:trPr>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840" w:type="dxa"/>
            <w:vAlign w:val="bottom"/>
            <w:gridSpan w:val="11"/>
          </w:tcPr>
          <w:p>
            <w:pPr>
              <w:jc w:val="center"/>
              <w:ind w:right="2400"/>
              <w:spacing w:after="0"/>
              <w:rPr>
                <w:sz w:val="20"/>
                <w:szCs w:val="20"/>
                <w:color w:val="auto"/>
              </w:rPr>
            </w:pPr>
            <w:r>
              <w:rPr>
                <w:rFonts w:ascii="Arial" w:cs="Arial" w:eastAsia="Arial" w:hAnsi="Arial"/>
                <w:sz w:val="18"/>
                <w:szCs w:val="18"/>
                <w:b w:val="1"/>
                <w:bCs w:val="1"/>
                <w:color w:val="auto"/>
                <w:w w:val="99"/>
              </w:rPr>
              <w:t>THE PENNANT GROUP, INC.</w:t>
            </w:r>
          </w:p>
        </w:tc>
        <w:tc>
          <w:tcPr>
            <w:tcW w:w="0" w:type="dxa"/>
            <w:vAlign w:val="bottom"/>
          </w:tcPr>
          <w:p>
            <w:pPr>
              <w:spacing w:after="0"/>
              <w:rPr>
                <w:sz w:val="1"/>
                <w:szCs w:val="1"/>
                <w:color w:val="auto"/>
              </w:rPr>
            </w:pPr>
          </w:p>
        </w:tc>
      </w:tr>
      <w:tr>
        <w:trPr>
          <w:trHeight w:val="216"/>
        </w:trPr>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840" w:type="dxa"/>
            <w:vAlign w:val="bottom"/>
            <w:gridSpan w:val="11"/>
          </w:tcPr>
          <w:p>
            <w:pPr>
              <w:jc w:val="center"/>
              <w:ind w:right="2400"/>
              <w:spacing w:after="0"/>
              <w:rPr>
                <w:sz w:val="20"/>
                <w:szCs w:val="20"/>
                <w:color w:val="auto"/>
              </w:rPr>
            </w:pPr>
            <w:r>
              <w:rPr>
                <w:rFonts w:ascii="Arial" w:cs="Arial" w:eastAsia="Arial" w:hAnsi="Arial"/>
                <w:sz w:val="18"/>
                <w:szCs w:val="18"/>
                <w:b w:val="1"/>
                <w:bCs w:val="1"/>
                <w:color w:val="auto"/>
                <w:w w:val="99"/>
              </w:rPr>
              <w:t>QUARTERLY REPORT ON FORM 10-Q</w:t>
            </w:r>
          </w:p>
        </w:tc>
        <w:tc>
          <w:tcPr>
            <w:tcW w:w="0" w:type="dxa"/>
            <w:vAlign w:val="bottom"/>
          </w:tcPr>
          <w:p>
            <w:pPr>
              <w:spacing w:after="0"/>
              <w:rPr>
                <w:sz w:val="1"/>
                <w:szCs w:val="1"/>
                <w:color w:val="auto"/>
              </w:rPr>
            </w:pPr>
          </w:p>
        </w:tc>
      </w:tr>
      <w:tr>
        <w:trPr>
          <w:trHeight w:val="216"/>
        </w:trPr>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880" w:type="dxa"/>
            <w:vAlign w:val="bottom"/>
            <w:gridSpan w:val="13"/>
          </w:tcPr>
          <w:p>
            <w:pPr>
              <w:jc w:val="center"/>
              <w:ind w:right="1360"/>
              <w:spacing w:after="0"/>
              <w:rPr>
                <w:sz w:val="20"/>
                <w:szCs w:val="20"/>
                <w:color w:val="auto"/>
              </w:rPr>
            </w:pPr>
            <w:r>
              <w:rPr>
                <w:rFonts w:ascii="Arial" w:cs="Arial" w:eastAsia="Arial" w:hAnsi="Arial"/>
                <w:sz w:val="18"/>
                <w:szCs w:val="18"/>
                <w:b w:val="1"/>
                <w:bCs w:val="1"/>
                <w:color w:val="auto"/>
                <w:w w:val="99"/>
              </w:rPr>
              <w:t>FOR THE THREE AND NINE MONTHS ENDED SEPTEMBER 30, 2022</w:t>
            </w:r>
          </w:p>
        </w:tc>
        <w:tc>
          <w:tcPr>
            <w:tcW w:w="0" w:type="dxa"/>
            <w:vAlign w:val="bottom"/>
          </w:tcPr>
          <w:p>
            <w:pPr>
              <w:spacing w:after="0"/>
              <w:rPr>
                <w:sz w:val="1"/>
                <w:szCs w:val="1"/>
                <w:color w:val="auto"/>
              </w:rPr>
            </w:pPr>
          </w:p>
        </w:tc>
      </w:tr>
      <w:tr>
        <w:trPr>
          <w:trHeight w:val="234"/>
        </w:trPr>
        <w:tc>
          <w:tcPr>
            <w:tcW w:w="5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6840" w:type="dxa"/>
            <w:vAlign w:val="bottom"/>
            <w:gridSpan w:val="11"/>
          </w:tcPr>
          <w:p>
            <w:pPr>
              <w:jc w:val="center"/>
              <w:ind w:right="2400"/>
              <w:spacing w:after="0"/>
              <w:rPr>
                <w:sz w:val="20"/>
                <w:szCs w:val="20"/>
                <w:color w:val="auto"/>
              </w:rPr>
            </w:pPr>
            <w:r>
              <w:rPr>
                <w:rFonts w:ascii="Arial" w:cs="Arial" w:eastAsia="Arial" w:hAnsi="Arial"/>
                <w:sz w:val="18"/>
                <w:szCs w:val="18"/>
                <w:b w:val="1"/>
                <w:bCs w:val="1"/>
                <w:color w:val="auto"/>
                <w:w w:val="98"/>
              </w:rPr>
              <w:t>TABLE OF CONTENTS</w:t>
            </w:r>
          </w:p>
        </w:tc>
        <w:tc>
          <w:tcPr>
            <w:tcW w:w="0" w:type="dxa"/>
            <w:vAlign w:val="bottom"/>
          </w:tcPr>
          <w:p>
            <w:pPr>
              <w:spacing w:after="0"/>
              <w:rPr>
                <w:sz w:val="1"/>
                <w:szCs w:val="1"/>
                <w:color w:val="auto"/>
              </w:rPr>
            </w:pPr>
          </w:p>
        </w:tc>
      </w:tr>
      <w:tr>
        <w:trPr>
          <w:trHeight w:val="216"/>
        </w:trPr>
        <w:tc>
          <w:tcPr>
            <w:tcW w:w="520" w:type="dxa"/>
            <w:vAlign w:val="bottom"/>
            <w:vMerge w:val="restart"/>
          </w:tcPr>
          <w:p>
            <w:pPr>
              <w:spacing w:after="0"/>
              <w:rPr>
                <w:sz w:val="20"/>
                <w:szCs w:val="20"/>
                <w:color w:val="auto"/>
              </w:rPr>
            </w:pPr>
            <w:r>
              <w:rPr>
                <w:rFonts w:ascii="Arial" w:cs="Arial" w:eastAsia="Arial" w:hAnsi="Arial"/>
                <w:sz w:val="18"/>
                <w:szCs w:val="18"/>
                <w:color w:val="0000FF"/>
                <w:w w:val="90"/>
              </w:rPr>
              <w:t>Item 1.</w:t>
            </w:r>
          </w:p>
        </w:tc>
        <w:tc>
          <w:tcPr>
            <w:tcW w:w="480" w:type="dxa"/>
            <w:vAlign w:val="bottom"/>
            <w:gridSpan w:val="2"/>
            <w:vMerge w:val="restart"/>
          </w:tcPr>
          <w:p>
            <w:pPr>
              <w:spacing w:after="0"/>
              <w:rPr>
                <w:sz w:val="18"/>
                <w:szCs w:val="18"/>
                <w:color w:val="auto"/>
              </w:rPr>
            </w:pPr>
          </w:p>
        </w:tc>
        <w:tc>
          <w:tcPr>
            <w:tcW w:w="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5500" w:type="dxa"/>
            <w:vAlign w:val="bottom"/>
            <w:gridSpan w:val="10"/>
          </w:tcPr>
          <w:p>
            <w:pPr>
              <w:jc w:val="center"/>
              <w:ind w:right="3260"/>
              <w:spacing w:after="0"/>
              <w:rPr>
                <w:sz w:val="20"/>
                <w:szCs w:val="20"/>
                <w:color w:val="auto"/>
              </w:rPr>
            </w:pPr>
            <w:r>
              <w:rPr>
                <w:rFonts w:ascii="Arial" w:cs="Arial" w:eastAsia="Arial" w:hAnsi="Arial"/>
                <w:sz w:val="18"/>
                <w:szCs w:val="18"/>
                <w:b w:val="1"/>
                <w:bCs w:val="1"/>
                <w:color w:val="0000FF"/>
                <w:w w:val="94"/>
              </w:rPr>
              <w:t>Part I. Financial Information</w:t>
            </w:r>
          </w:p>
        </w:tc>
        <w:tc>
          <w:tcPr>
            <w:tcW w:w="0" w:type="dxa"/>
            <w:vAlign w:val="bottom"/>
          </w:tcPr>
          <w:p>
            <w:pPr>
              <w:spacing w:after="0"/>
              <w:rPr>
                <w:sz w:val="1"/>
                <w:szCs w:val="1"/>
                <w:color w:val="auto"/>
              </w:rPr>
            </w:pPr>
          </w:p>
        </w:tc>
      </w:tr>
      <w:tr>
        <w:trPr>
          <w:trHeight w:val="210"/>
        </w:trPr>
        <w:tc>
          <w:tcPr>
            <w:tcW w:w="520" w:type="dxa"/>
            <w:vAlign w:val="bottom"/>
            <w:vMerge w:val="continue"/>
          </w:tcPr>
          <w:p>
            <w:pPr>
              <w:spacing w:after="0"/>
              <w:rPr>
                <w:sz w:val="18"/>
                <w:szCs w:val="18"/>
                <w:color w:val="auto"/>
              </w:rPr>
            </w:pPr>
          </w:p>
        </w:tc>
        <w:tc>
          <w:tcPr>
            <w:tcW w:w="480" w:type="dxa"/>
            <w:vAlign w:val="bottom"/>
            <w:gridSpan w:val="2"/>
            <w:vMerge w:val="continue"/>
          </w:tcPr>
          <w:p>
            <w:pPr>
              <w:spacing w:after="0"/>
              <w:rPr>
                <w:sz w:val="18"/>
                <w:szCs w:val="18"/>
                <w:color w:val="auto"/>
              </w:rPr>
            </w:pPr>
          </w:p>
        </w:tc>
        <w:tc>
          <w:tcPr>
            <w:tcW w:w="3720" w:type="dxa"/>
            <w:vAlign w:val="bottom"/>
            <w:gridSpan w:val="7"/>
          </w:tcPr>
          <w:p>
            <w:pPr>
              <w:spacing w:after="0" w:line="196" w:lineRule="exact"/>
              <w:rPr>
                <w:sz w:val="20"/>
                <w:szCs w:val="20"/>
                <w:color w:val="auto"/>
              </w:rPr>
            </w:pPr>
            <w:r>
              <w:rPr>
                <w:rFonts w:ascii="Arial" w:cs="Arial" w:eastAsia="Arial" w:hAnsi="Arial"/>
                <w:sz w:val="18"/>
                <w:szCs w:val="18"/>
                <w:color w:val="0000FF"/>
              </w:rPr>
              <w:t>Financial Statements (unaudited)</w:t>
            </w:r>
          </w:p>
        </w:tc>
        <w:tc>
          <w:tcPr>
            <w:tcW w:w="2240" w:type="dxa"/>
            <w:vAlign w:val="bottom"/>
            <w:tcBorders>
              <w:top w:val="single" w:sz="8" w:color="0000FF"/>
            </w:tcBorders>
            <w:gridSpan w:val="5"/>
          </w:tcPr>
          <w:p>
            <w:pPr>
              <w:spacing w:after="0"/>
              <w:rPr>
                <w:sz w:val="18"/>
                <w:szCs w:val="18"/>
                <w:color w:val="auto"/>
              </w:rPr>
            </w:pPr>
          </w:p>
        </w:tc>
        <w:tc>
          <w:tcPr>
            <w:tcW w:w="3260" w:type="dxa"/>
            <w:vAlign w:val="bottom"/>
            <w:gridSpan w:val="5"/>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520" w:type="dxa"/>
            <w:vAlign w:val="bottom"/>
            <w:shd w:val="clear" w:color="auto" w:fill="0000FF"/>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600" w:type="dxa"/>
            <w:vAlign w:val="bottom"/>
            <w:shd w:val="clear" w:color="auto" w:fill="0000FF"/>
          </w:tcPr>
          <w:p>
            <w:pPr>
              <w:spacing w:after="0"/>
              <w:rPr>
                <w:sz w:val="2"/>
                <w:szCs w:val="2"/>
                <w:color w:val="auto"/>
              </w:rPr>
            </w:pPr>
          </w:p>
        </w:tc>
        <w:tc>
          <w:tcPr>
            <w:tcW w:w="160" w:type="dxa"/>
            <w:vAlign w:val="bottom"/>
            <w:shd w:val="clear" w:color="auto" w:fill="0000FF"/>
          </w:tcPr>
          <w:p>
            <w:pPr>
              <w:spacing w:after="0"/>
              <w:rPr>
                <w:sz w:val="2"/>
                <w:szCs w:val="2"/>
                <w:color w:val="auto"/>
              </w:rPr>
            </w:pPr>
          </w:p>
        </w:tc>
        <w:tc>
          <w:tcPr>
            <w:tcW w:w="140" w:type="dxa"/>
            <w:vAlign w:val="bottom"/>
            <w:shd w:val="clear" w:color="auto" w:fill="0000FF"/>
          </w:tcPr>
          <w:p>
            <w:pPr>
              <w:spacing w:after="0"/>
              <w:rPr>
                <w:sz w:val="2"/>
                <w:szCs w:val="2"/>
                <w:color w:val="auto"/>
              </w:rPr>
            </w:pPr>
          </w:p>
        </w:tc>
        <w:tc>
          <w:tcPr>
            <w:tcW w:w="440" w:type="dxa"/>
            <w:vAlign w:val="bottom"/>
            <w:shd w:val="clear" w:color="auto" w:fill="0000FF"/>
          </w:tcPr>
          <w:p>
            <w:pPr>
              <w:spacing w:after="0"/>
              <w:rPr>
                <w:sz w:val="2"/>
                <w:szCs w:val="2"/>
                <w:color w:val="auto"/>
              </w:rPr>
            </w:pPr>
          </w:p>
        </w:tc>
        <w:tc>
          <w:tcPr>
            <w:tcW w:w="440" w:type="dxa"/>
            <w:vAlign w:val="bottom"/>
            <w:shd w:val="clear" w:color="auto" w:fill="0000FF"/>
          </w:tcPr>
          <w:p>
            <w:pPr>
              <w:spacing w:after="0"/>
              <w:rPr>
                <w:sz w:val="2"/>
                <w:szCs w:val="2"/>
                <w:color w:val="auto"/>
              </w:rPr>
            </w:pPr>
          </w:p>
        </w:tc>
        <w:tc>
          <w:tcPr>
            <w:tcW w:w="600" w:type="dxa"/>
            <w:vAlign w:val="bottom"/>
            <w:shd w:val="clear" w:color="auto" w:fill="0000FF"/>
          </w:tcPr>
          <w:p>
            <w:pPr>
              <w:spacing w:after="0"/>
              <w:rPr>
                <w:sz w:val="2"/>
                <w:szCs w:val="2"/>
                <w:color w:val="auto"/>
              </w:rPr>
            </w:pPr>
          </w:p>
        </w:tc>
        <w:tc>
          <w:tcPr>
            <w:tcW w:w="1440" w:type="dxa"/>
            <w:vAlign w:val="bottom"/>
            <w:gridSpan w:val="2"/>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00" w:type="dxa"/>
            <w:vAlign w:val="bottom"/>
          </w:tcPr>
          <w:p>
            <w:pPr>
              <w:spacing w:after="0"/>
              <w:rPr>
                <w:sz w:val="2"/>
                <w:szCs w:val="2"/>
                <w:color w:val="auto"/>
              </w:rPr>
            </w:pPr>
          </w:p>
        </w:tc>
        <w:tc>
          <w:tcPr>
            <w:tcW w:w="580" w:type="dxa"/>
            <w:vAlign w:val="bottom"/>
            <w:gridSpan w:val="2"/>
          </w:tcPr>
          <w:p>
            <w:pPr>
              <w:spacing w:after="0"/>
              <w:rPr>
                <w:sz w:val="2"/>
                <w:szCs w:val="2"/>
                <w:color w:val="auto"/>
              </w:rPr>
            </w:pPr>
          </w:p>
        </w:tc>
        <w:tc>
          <w:tcPr>
            <w:tcW w:w="1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40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6"/>
        </w:trPr>
        <w:tc>
          <w:tcPr>
            <w:tcW w:w="5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9220" w:type="dxa"/>
            <w:vAlign w:val="bottom"/>
            <w:gridSpan w:val="17"/>
          </w:tcPr>
          <w:p>
            <w:pPr>
              <w:spacing w:after="0"/>
              <w:rPr>
                <w:sz w:val="20"/>
                <w:szCs w:val="20"/>
                <w:color w:val="auto"/>
              </w:rPr>
            </w:pPr>
            <w:r>
              <w:rPr>
                <w:rFonts w:ascii="Arial" w:cs="Arial" w:eastAsia="Arial" w:hAnsi="Arial"/>
                <w:sz w:val="18"/>
                <w:szCs w:val="18"/>
                <w:color w:val="0000FF"/>
              </w:rPr>
              <w:t>Condensed Consolidated Balance Sheets as of September 30, 2022 and December 31, 2021</w:t>
            </w:r>
          </w:p>
        </w:tc>
        <w:tc>
          <w:tcPr>
            <w:tcW w:w="0" w:type="dxa"/>
            <w:vAlign w:val="bottom"/>
          </w:tcPr>
          <w:p>
            <w:pPr>
              <w:spacing w:after="0"/>
              <w:rPr>
                <w:sz w:val="1"/>
                <w:szCs w:val="1"/>
                <w:color w:val="auto"/>
              </w:rPr>
            </w:pPr>
          </w:p>
        </w:tc>
      </w:tr>
      <w:tr>
        <w:trPr>
          <w:trHeight w:val="20"/>
        </w:trPr>
        <w:tc>
          <w:tcPr>
            <w:tcW w:w="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040" w:type="dxa"/>
            <w:vAlign w:val="bottom"/>
            <w:gridSpan w:val="3"/>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500" w:type="dxa"/>
            <w:vAlign w:val="bottom"/>
            <w:shd w:val="clear" w:color="auto" w:fill="0000FF"/>
          </w:tcPr>
          <w:p>
            <w:pPr>
              <w:spacing w:after="0" w:line="20" w:lineRule="exact"/>
              <w:rPr>
                <w:sz w:val="1"/>
                <w:szCs w:val="1"/>
                <w:color w:val="auto"/>
              </w:rPr>
            </w:pPr>
          </w:p>
        </w:tc>
        <w:tc>
          <w:tcPr>
            <w:tcW w:w="580" w:type="dxa"/>
            <w:vAlign w:val="bottom"/>
            <w:gridSpan w:val="2"/>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5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220" w:type="dxa"/>
            <w:vAlign w:val="bottom"/>
            <w:gridSpan w:val="17"/>
          </w:tcPr>
          <w:p>
            <w:pPr>
              <w:spacing w:after="0"/>
              <w:rPr>
                <w:sz w:val="20"/>
                <w:szCs w:val="20"/>
                <w:color w:val="auto"/>
              </w:rPr>
            </w:pPr>
            <w:r>
              <w:rPr>
                <w:rFonts w:ascii="Arial" w:cs="Arial" w:eastAsia="Arial" w:hAnsi="Arial"/>
                <w:sz w:val="18"/>
                <w:szCs w:val="18"/>
                <w:color w:val="0000FF"/>
                <w:w w:val="99"/>
              </w:rPr>
              <w:t>Condensed Consolidated Statements of Income for the three and nine months ended September 30, 2022 and 2021</w:t>
            </w:r>
          </w:p>
        </w:tc>
        <w:tc>
          <w:tcPr>
            <w:tcW w:w="0" w:type="dxa"/>
            <w:vAlign w:val="bottom"/>
          </w:tcPr>
          <w:p>
            <w:pPr>
              <w:spacing w:after="0"/>
              <w:rPr>
                <w:sz w:val="1"/>
                <w:szCs w:val="1"/>
                <w:color w:val="auto"/>
              </w:rPr>
            </w:pPr>
          </w:p>
        </w:tc>
      </w:tr>
      <w:tr>
        <w:trPr>
          <w:trHeight w:val="20"/>
        </w:trPr>
        <w:tc>
          <w:tcPr>
            <w:tcW w:w="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040" w:type="dxa"/>
            <w:vAlign w:val="bottom"/>
            <w:gridSpan w:val="3"/>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500" w:type="dxa"/>
            <w:vAlign w:val="bottom"/>
            <w:shd w:val="clear" w:color="auto" w:fill="0000FF"/>
          </w:tcPr>
          <w:p>
            <w:pPr>
              <w:spacing w:after="0" w:line="20" w:lineRule="exact"/>
              <w:rPr>
                <w:sz w:val="1"/>
                <w:szCs w:val="1"/>
                <w:color w:val="auto"/>
              </w:rPr>
            </w:pPr>
          </w:p>
        </w:tc>
        <w:tc>
          <w:tcPr>
            <w:tcW w:w="580" w:type="dxa"/>
            <w:vAlign w:val="bottom"/>
            <w:gridSpan w:val="2"/>
            <w:shd w:val="clear" w:color="auto" w:fill="0000FF"/>
          </w:tcPr>
          <w:p>
            <w:pPr>
              <w:spacing w:after="0" w:line="20" w:lineRule="exact"/>
              <w:rPr>
                <w:sz w:val="1"/>
                <w:szCs w:val="1"/>
                <w:color w:val="auto"/>
              </w:rPr>
            </w:pPr>
          </w:p>
        </w:tc>
        <w:tc>
          <w:tcPr>
            <w:tcW w:w="1400" w:type="dxa"/>
            <w:vAlign w:val="bottom"/>
            <w:gridSpan w:val="2"/>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5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220" w:type="dxa"/>
            <w:vAlign w:val="bottom"/>
            <w:tcBorders>
              <w:bottom w:val="single" w:sz="8" w:color="0000FF"/>
            </w:tcBorders>
            <w:gridSpan w:val="17"/>
          </w:tcPr>
          <w:p>
            <w:pPr>
              <w:spacing w:after="0"/>
              <w:rPr>
                <w:sz w:val="20"/>
                <w:szCs w:val="20"/>
                <w:color w:val="auto"/>
              </w:rPr>
            </w:pPr>
            <w:r>
              <w:rPr>
                <w:rFonts w:ascii="Arial" w:cs="Arial" w:eastAsia="Arial" w:hAnsi="Arial"/>
                <w:sz w:val="18"/>
                <w:szCs w:val="18"/>
                <w:color w:val="0000FF"/>
                <w:w w:val="89"/>
              </w:rPr>
              <w:t>Condensed Consolidated Statements of Stockholders’ Equity for the three and nine months ended September 30, 2022 and 2021</w:t>
            </w:r>
          </w:p>
        </w:tc>
        <w:tc>
          <w:tcPr>
            <w:tcW w:w="0" w:type="dxa"/>
            <w:vAlign w:val="bottom"/>
          </w:tcPr>
          <w:p>
            <w:pPr>
              <w:spacing w:after="0"/>
              <w:rPr>
                <w:sz w:val="1"/>
                <w:szCs w:val="1"/>
                <w:color w:val="auto"/>
              </w:rPr>
            </w:pPr>
          </w:p>
        </w:tc>
      </w:tr>
      <w:tr>
        <w:trPr>
          <w:trHeight w:val="250"/>
        </w:trPr>
        <w:tc>
          <w:tcPr>
            <w:tcW w:w="5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220" w:type="dxa"/>
            <w:vAlign w:val="bottom"/>
            <w:gridSpan w:val="17"/>
          </w:tcPr>
          <w:p>
            <w:pPr>
              <w:spacing w:after="0"/>
              <w:rPr>
                <w:sz w:val="20"/>
                <w:szCs w:val="20"/>
                <w:color w:val="auto"/>
              </w:rPr>
            </w:pPr>
            <w:r>
              <w:rPr>
                <w:rFonts w:ascii="Arial" w:cs="Arial" w:eastAsia="Arial" w:hAnsi="Arial"/>
                <w:sz w:val="18"/>
                <w:szCs w:val="18"/>
                <w:color w:val="0000FF"/>
              </w:rPr>
              <w:t>Condensed Consolidated Statements of Cash Flows for the nine months ended September 30, 2022 and 2021</w:t>
            </w:r>
          </w:p>
        </w:tc>
        <w:tc>
          <w:tcPr>
            <w:tcW w:w="0" w:type="dxa"/>
            <w:vAlign w:val="bottom"/>
          </w:tcPr>
          <w:p>
            <w:pPr>
              <w:spacing w:after="0"/>
              <w:rPr>
                <w:sz w:val="1"/>
                <w:szCs w:val="1"/>
                <w:color w:val="auto"/>
              </w:rPr>
            </w:pPr>
          </w:p>
        </w:tc>
      </w:tr>
      <w:tr>
        <w:trPr>
          <w:trHeight w:val="250"/>
        </w:trPr>
        <w:tc>
          <w:tcPr>
            <w:tcW w:w="5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7840" w:type="dxa"/>
            <w:vAlign w:val="bottom"/>
            <w:tcBorders>
              <w:top w:val="single" w:sz="8" w:color="0000FF"/>
            </w:tcBorders>
            <w:gridSpan w:val="15"/>
          </w:tcPr>
          <w:p>
            <w:pPr>
              <w:spacing w:after="0"/>
              <w:rPr>
                <w:sz w:val="20"/>
                <w:szCs w:val="20"/>
                <w:color w:val="auto"/>
              </w:rPr>
            </w:pPr>
            <w:r>
              <w:rPr>
                <w:rFonts w:ascii="Arial" w:cs="Arial" w:eastAsia="Arial" w:hAnsi="Arial"/>
                <w:sz w:val="18"/>
                <w:szCs w:val="18"/>
                <w:color w:val="0000FF"/>
              </w:rPr>
              <w:t>Notes to the Condensed Consolidated Financial Statements</w:t>
            </w:r>
          </w:p>
        </w:tc>
        <w:tc>
          <w:tcPr>
            <w:tcW w:w="1380" w:type="dxa"/>
            <w:vAlign w:val="bottom"/>
            <w:gridSpan w:val="2"/>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520" w:type="dxa"/>
            <w:vAlign w:val="bottom"/>
            <w:vMerge w:val="restart"/>
          </w:tcPr>
          <w:p>
            <w:pPr>
              <w:spacing w:after="0"/>
              <w:rPr>
                <w:sz w:val="20"/>
                <w:szCs w:val="20"/>
                <w:color w:val="auto"/>
              </w:rPr>
            </w:pPr>
            <w:r>
              <w:rPr>
                <w:rFonts w:ascii="Arial" w:cs="Arial" w:eastAsia="Arial" w:hAnsi="Arial"/>
                <w:sz w:val="18"/>
                <w:szCs w:val="18"/>
                <w:color w:val="0000FF"/>
                <w:w w:val="90"/>
              </w:rPr>
              <w:t>Item 2.</w:t>
            </w:r>
          </w:p>
        </w:tc>
        <w:tc>
          <w:tcPr>
            <w:tcW w:w="480" w:type="dxa"/>
            <w:vAlign w:val="bottom"/>
            <w:gridSpan w:val="2"/>
            <w:vMerge w:val="restart"/>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040" w:type="dxa"/>
            <w:vAlign w:val="bottom"/>
            <w:gridSpan w:val="3"/>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2780" w:type="dxa"/>
            <w:vAlign w:val="bottom"/>
            <w:gridSpan w:val="4"/>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6"/>
        </w:trPr>
        <w:tc>
          <w:tcPr>
            <w:tcW w:w="520" w:type="dxa"/>
            <w:vAlign w:val="bottom"/>
            <w:vMerge w:val="continue"/>
          </w:tcPr>
          <w:p>
            <w:pPr>
              <w:spacing w:after="0"/>
              <w:rPr>
                <w:sz w:val="22"/>
                <w:szCs w:val="22"/>
                <w:color w:val="auto"/>
              </w:rPr>
            </w:pPr>
          </w:p>
        </w:tc>
        <w:tc>
          <w:tcPr>
            <w:tcW w:w="480" w:type="dxa"/>
            <w:vAlign w:val="bottom"/>
            <w:gridSpan w:val="2"/>
            <w:vMerge w:val="continue"/>
          </w:tcPr>
          <w:p>
            <w:pPr>
              <w:spacing w:after="0"/>
              <w:rPr>
                <w:sz w:val="22"/>
                <w:szCs w:val="22"/>
                <w:color w:val="auto"/>
              </w:rPr>
            </w:pPr>
          </w:p>
        </w:tc>
        <w:tc>
          <w:tcPr>
            <w:tcW w:w="9220" w:type="dxa"/>
            <w:vAlign w:val="bottom"/>
            <w:gridSpan w:val="17"/>
          </w:tcPr>
          <w:p>
            <w:pPr>
              <w:spacing w:after="0"/>
              <w:rPr>
                <w:sz w:val="20"/>
                <w:szCs w:val="20"/>
                <w:color w:val="auto"/>
              </w:rPr>
            </w:pPr>
            <w:r>
              <w:rPr>
                <w:rFonts w:ascii="Arial" w:cs="Arial" w:eastAsia="Arial" w:hAnsi="Arial"/>
                <w:sz w:val="18"/>
                <w:szCs w:val="18"/>
                <w:color w:val="0000FF"/>
              </w:rPr>
              <w:t>Management's Discussion and Analysis of Financial Condition and Results of Operations</w:t>
            </w:r>
          </w:p>
        </w:tc>
        <w:tc>
          <w:tcPr>
            <w:tcW w:w="0" w:type="dxa"/>
            <w:vAlign w:val="bottom"/>
          </w:tcPr>
          <w:p>
            <w:pPr>
              <w:spacing w:after="0"/>
              <w:rPr>
                <w:sz w:val="1"/>
                <w:szCs w:val="1"/>
                <w:color w:val="auto"/>
              </w:rPr>
            </w:pPr>
          </w:p>
        </w:tc>
      </w:tr>
      <w:tr>
        <w:trPr>
          <w:trHeight w:val="250"/>
        </w:trPr>
        <w:tc>
          <w:tcPr>
            <w:tcW w:w="520" w:type="dxa"/>
            <w:vAlign w:val="bottom"/>
            <w:tcBorders>
              <w:top w:val="single" w:sz="8" w:color="0000FF"/>
            </w:tcBorders>
          </w:tcPr>
          <w:p>
            <w:pPr>
              <w:spacing w:after="0"/>
              <w:rPr>
                <w:sz w:val="20"/>
                <w:szCs w:val="20"/>
                <w:color w:val="auto"/>
              </w:rPr>
            </w:pPr>
            <w:r>
              <w:rPr>
                <w:rFonts w:ascii="Arial" w:cs="Arial" w:eastAsia="Arial" w:hAnsi="Arial"/>
                <w:sz w:val="18"/>
                <w:szCs w:val="18"/>
                <w:color w:val="0000FF"/>
                <w:w w:val="90"/>
              </w:rPr>
              <w:t>Item 3.</w:t>
            </w:r>
          </w:p>
        </w:tc>
        <w:tc>
          <w:tcPr>
            <w:tcW w:w="480" w:type="dxa"/>
            <w:vAlign w:val="bottom"/>
            <w:gridSpan w:val="2"/>
          </w:tcPr>
          <w:p>
            <w:pPr>
              <w:spacing w:after="0"/>
              <w:rPr>
                <w:sz w:val="21"/>
                <w:szCs w:val="21"/>
                <w:color w:val="auto"/>
              </w:rPr>
            </w:pPr>
          </w:p>
        </w:tc>
        <w:tc>
          <w:tcPr>
            <w:tcW w:w="6440" w:type="dxa"/>
            <w:vAlign w:val="bottom"/>
            <w:tcBorders>
              <w:top w:val="single" w:sz="8" w:color="0000FF"/>
            </w:tcBorders>
            <w:gridSpan w:val="13"/>
          </w:tcPr>
          <w:p>
            <w:pPr>
              <w:spacing w:after="0"/>
              <w:rPr>
                <w:sz w:val="20"/>
                <w:szCs w:val="20"/>
                <w:color w:val="auto"/>
              </w:rPr>
            </w:pPr>
            <w:r>
              <w:rPr>
                <w:rFonts w:ascii="Arial" w:cs="Arial" w:eastAsia="Arial" w:hAnsi="Arial"/>
                <w:sz w:val="18"/>
                <w:szCs w:val="18"/>
                <w:color w:val="0000FF"/>
              </w:rPr>
              <w:t>Quantitative and Qualitative Disclosures About Market Risk</w:t>
            </w:r>
          </w:p>
        </w:tc>
        <w:tc>
          <w:tcPr>
            <w:tcW w:w="2780" w:type="dxa"/>
            <w:vAlign w:val="bottom"/>
            <w:gridSpan w:val="4"/>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520" w:type="dxa"/>
            <w:vAlign w:val="bottom"/>
            <w:tcBorders>
              <w:top w:val="single" w:sz="8" w:color="0000FF"/>
            </w:tcBorders>
          </w:tcPr>
          <w:p>
            <w:pPr>
              <w:spacing w:after="0"/>
              <w:rPr>
                <w:sz w:val="20"/>
                <w:szCs w:val="20"/>
                <w:color w:val="auto"/>
              </w:rPr>
            </w:pPr>
            <w:r>
              <w:rPr>
                <w:rFonts w:ascii="Arial" w:cs="Arial" w:eastAsia="Arial" w:hAnsi="Arial"/>
                <w:sz w:val="18"/>
                <w:szCs w:val="18"/>
                <w:color w:val="0000FF"/>
                <w:w w:val="90"/>
              </w:rPr>
              <w:t>Item 4.</w:t>
            </w:r>
          </w:p>
        </w:tc>
        <w:tc>
          <w:tcPr>
            <w:tcW w:w="480" w:type="dxa"/>
            <w:vAlign w:val="bottom"/>
            <w:gridSpan w:val="2"/>
          </w:tcPr>
          <w:p>
            <w:pPr>
              <w:spacing w:after="0"/>
              <w:rPr>
                <w:sz w:val="20"/>
                <w:szCs w:val="20"/>
                <w:color w:val="auto"/>
              </w:rPr>
            </w:pPr>
          </w:p>
        </w:tc>
        <w:tc>
          <w:tcPr>
            <w:tcW w:w="4360" w:type="dxa"/>
            <w:vAlign w:val="bottom"/>
            <w:tcBorders>
              <w:top w:val="single" w:sz="8" w:color="0000FF"/>
            </w:tcBorders>
            <w:gridSpan w:val="10"/>
          </w:tcPr>
          <w:p>
            <w:pPr>
              <w:spacing w:after="0"/>
              <w:rPr>
                <w:sz w:val="20"/>
                <w:szCs w:val="20"/>
                <w:color w:val="auto"/>
              </w:rPr>
            </w:pPr>
            <w:r>
              <w:rPr>
                <w:rFonts w:ascii="Arial" w:cs="Arial" w:eastAsia="Arial" w:hAnsi="Arial"/>
                <w:sz w:val="18"/>
                <w:szCs w:val="18"/>
                <w:color w:val="0000FF"/>
              </w:rPr>
              <w:t>Controls and Procedures</w:t>
            </w:r>
          </w:p>
        </w:tc>
        <w:tc>
          <w:tcPr>
            <w:tcW w:w="4860" w:type="dxa"/>
            <w:vAlign w:val="bottom"/>
            <w:gridSpan w:val="7"/>
          </w:tcPr>
          <w:p>
            <w:pPr>
              <w:spacing w:after="0"/>
              <w:rPr>
                <w:sz w:val="20"/>
                <w:szCs w:val="20"/>
                <w:color w:val="auto"/>
              </w:rPr>
            </w:pPr>
          </w:p>
        </w:tc>
        <w:tc>
          <w:tcPr>
            <w:tcW w:w="0" w:type="dxa"/>
            <w:vAlign w:val="bottom"/>
          </w:tcPr>
          <w:p>
            <w:pPr>
              <w:spacing w:after="0"/>
              <w:rPr>
                <w:sz w:val="1"/>
                <w:szCs w:val="1"/>
                <w:color w:val="auto"/>
              </w:rPr>
            </w:pPr>
          </w:p>
        </w:tc>
      </w:tr>
      <w:tr>
        <w:trPr>
          <w:trHeight w:val="256"/>
        </w:trPr>
        <w:tc>
          <w:tcPr>
            <w:tcW w:w="520" w:type="dxa"/>
            <w:vAlign w:val="bottom"/>
            <w:tcBorders>
              <w:top w:val="single" w:sz="8" w:color="0000FF"/>
            </w:tcBorders>
          </w:tcPr>
          <w:p>
            <w:pPr>
              <w:spacing w:after="0"/>
              <w:rPr>
                <w:sz w:val="22"/>
                <w:szCs w:val="22"/>
                <w:color w:val="auto"/>
              </w:rPr>
            </w:pPr>
          </w:p>
        </w:tc>
        <w:tc>
          <w:tcPr>
            <w:tcW w:w="1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600" w:type="dxa"/>
            <w:vAlign w:val="bottom"/>
            <w:tcBorders>
              <w:top w:val="single" w:sz="8" w:color="0000FF"/>
            </w:tcBorders>
          </w:tcPr>
          <w:p>
            <w:pPr>
              <w:spacing w:after="0"/>
              <w:rPr>
                <w:sz w:val="22"/>
                <w:szCs w:val="22"/>
                <w:color w:val="auto"/>
              </w:rPr>
            </w:pPr>
          </w:p>
        </w:tc>
        <w:tc>
          <w:tcPr>
            <w:tcW w:w="160" w:type="dxa"/>
            <w:vAlign w:val="bottom"/>
            <w:tcBorders>
              <w:top w:val="single" w:sz="8" w:color="0000FF"/>
            </w:tcBorders>
          </w:tcPr>
          <w:p>
            <w:pPr>
              <w:spacing w:after="0"/>
              <w:rPr>
                <w:sz w:val="22"/>
                <w:szCs w:val="22"/>
                <w:color w:val="auto"/>
              </w:rPr>
            </w:pPr>
          </w:p>
        </w:tc>
        <w:tc>
          <w:tcPr>
            <w:tcW w:w="140" w:type="dxa"/>
            <w:vAlign w:val="bottom"/>
            <w:tcBorders>
              <w:top w:val="single" w:sz="8" w:color="0000FF"/>
            </w:tcBorders>
          </w:tcPr>
          <w:p>
            <w:pPr>
              <w:spacing w:after="0"/>
              <w:rPr>
                <w:sz w:val="22"/>
                <w:szCs w:val="22"/>
                <w:color w:val="auto"/>
              </w:rPr>
            </w:pPr>
          </w:p>
        </w:tc>
        <w:tc>
          <w:tcPr>
            <w:tcW w:w="440" w:type="dxa"/>
            <w:vAlign w:val="bottom"/>
            <w:tcBorders>
              <w:top w:val="single" w:sz="8" w:color="0000FF"/>
            </w:tcBorders>
          </w:tcPr>
          <w:p>
            <w:pPr>
              <w:spacing w:after="0"/>
              <w:rPr>
                <w:sz w:val="22"/>
                <w:szCs w:val="22"/>
                <w:color w:val="auto"/>
              </w:rPr>
            </w:pPr>
          </w:p>
        </w:tc>
        <w:tc>
          <w:tcPr>
            <w:tcW w:w="440" w:type="dxa"/>
            <w:vAlign w:val="bottom"/>
            <w:tcBorders>
              <w:top w:val="single" w:sz="8" w:color="0000FF"/>
            </w:tcBorders>
          </w:tcPr>
          <w:p>
            <w:pPr>
              <w:spacing w:after="0"/>
              <w:rPr>
                <w:sz w:val="22"/>
                <w:szCs w:val="22"/>
                <w:color w:val="auto"/>
              </w:rPr>
            </w:pPr>
          </w:p>
        </w:tc>
        <w:tc>
          <w:tcPr>
            <w:tcW w:w="600" w:type="dxa"/>
            <w:vAlign w:val="bottom"/>
          </w:tcPr>
          <w:p>
            <w:pPr>
              <w:spacing w:after="0"/>
              <w:rPr>
                <w:sz w:val="22"/>
                <w:szCs w:val="22"/>
                <w:color w:val="auto"/>
              </w:rPr>
            </w:pPr>
          </w:p>
        </w:tc>
        <w:tc>
          <w:tcPr>
            <w:tcW w:w="1340" w:type="dxa"/>
            <w:vAlign w:val="bottom"/>
          </w:tcPr>
          <w:p>
            <w:pPr>
              <w:spacing w:after="0"/>
              <w:rPr>
                <w:sz w:val="22"/>
                <w:szCs w:val="22"/>
                <w:color w:val="auto"/>
              </w:rPr>
            </w:pPr>
          </w:p>
        </w:tc>
        <w:tc>
          <w:tcPr>
            <w:tcW w:w="5500" w:type="dxa"/>
            <w:vAlign w:val="bottom"/>
            <w:gridSpan w:val="10"/>
          </w:tcPr>
          <w:p>
            <w:pPr>
              <w:jc w:val="center"/>
              <w:ind w:right="3260"/>
              <w:spacing w:after="0"/>
              <w:rPr>
                <w:sz w:val="20"/>
                <w:szCs w:val="20"/>
                <w:color w:val="auto"/>
              </w:rPr>
            </w:pPr>
            <w:r>
              <w:rPr>
                <w:rFonts w:ascii="Arial" w:cs="Arial" w:eastAsia="Arial" w:hAnsi="Arial"/>
                <w:sz w:val="18"/>
                <w:szCs w:val="18"/>
                <w:b w:val="1"/>
                <w:bCs w:val="1"/>
                <w:color w:val="0000FF"/>
                <w:w w:val="96"/>
              </w:rPr>
              <w:t>Part II. Other Information</w:t>
            </w:r>
          </w:p>
        </w:tc>
        <w:tc>
          <w:tcPr>
            <w:tcW w:w="0" w:type="dxa"/>
            <w:vAlign w:val="bottom"/>
          </w:tcPr>
          <w:p>
            <w:pPr>
              <w:spacing w:after="0"/>
              <w:rPr>
                <w:sz w:val="1"/>
                <w:szCs w:val="1"/>
                <w:color w:val="auto"/>
              </w:rPr>
            </w:pPr>
          </w:p>
        </w:tc>
      </w:tr>
      <w:tr>
        <w:trPr>
          <w:trHeight w:val="257"/>
        </w:trPr>
        <w:tc>
          <w:tcPr>
            <w:tcW w:w="520" w:type="dxa"/>
            <w:vAlign w:val="bottom"/>
            <w:tcBorders>
              <w:bottom w:val="single" w:sz="8" w:color="0000FF"/>
            </w:tcBorders>
          </w:tcPr>
          <w:p>
            <w:pPr>
              <w:spacing w:after="0"/>
              <w:rPr>
                <w:sz w:val="20"/>
                <w:szCs w:val="20"/>
                <w:color w:val="auto"/>
              </w:rPr>
            </w:pPr>
            <w:r>
              <w:rPr>
                <w:rFonts w:ascii="Arial" w:cs="Arial" w:eastAsia="Arial" w:hAnsi="Arial"/>
                <w:sz w:val="18"/>
                <w:szCs w:val="18"/>
                <w:color w:val="0000FF"/>
                <w:w w:val="90"/>
              </w:rPr>
              <w:t>Item 1.</w:t>
            </w:r>
          </w:p>
        </w:tc>
        <w:tc>
          <w:tcPr>
            <w:tcW w:w="480" w:type="dxa"/>
            <w:vAlign w:val="bottom"/>
            <w:gridSpan w:val="2"/>
          </w:tcPr>
          <w:p>
            <w:pPr>
              <w:spacing w:after="0"/>
              <w:rPr>
                <w:sz w:val="22"/>
                <w:szCs w:val="22"/>
                <w:color w:val="auto"/>
              </w:rPr>
            </w:pPr>
          </w:p>
        </w:tc>
        <w:tc>
          <w:tcPr>
            <w:tcW w:w="1340" w:type="dxa"/>
            <w:vAlign w:val="bottom"/>
            <w:tcBorders>
              <w:bottom w:val="single" w:sz="8" w:color="0000FF"/>
            </w:tcBorders>
            <w:gridSpan w:val="4"/>
          </w:tcPr>
          <w:p>
            <w:pPr>
              <w:spacing w:after="0"/>
              <w:rPr>
                <w:sz w:val="20"/>
                <w:szCs w:val="20"/>
                <w:color w:val="auto"/>
              </w:rPr>
            </w:pPr>
            <w:r>
              <w:rPr>
                <w:rFonts w:ascii="Arial" w:cs="Arial" w:eastAsia="Arial" w:hAnsi="Arial"/>
                <w:sz w:val="18"/>
                <w:szCs w:val="18"/>
                <w:color w:val="0000FF"/>
                <w:w w:val="88"/>
              </w:rPr>
              <w:t>Legal Proceedings</w:t>
            </w:r>
          </w:p>
        </w:tc>
        <w:tc>
          <w:tcPr>
            <w:tcW w:w="2480" w:type="dxa"/>
            <w:vAlign w:val="bottom"/>
            <w:gridSpan w:val="4"/>
          </w:tcPr>
          <w:p>
            <w:pPr>
              <w:spacing w:after="0"/>
              <w:rPr>
                <w:sz w:val="22"/>
                <w:szCs w:val="22"/>
                <w:color w:val="auto"/>
              </w:rPr>
            </w:pPr>
          </w:p>
        </w:tc>
        <w:tc>
          <w:tcPr>
            <w:tcW w:w="2040" w:type="dxa"/>
            <w:vAlign w:val="bottom"/>
            <w:tcBorders>
              <w:top w:val="single" w:sz="8" w:color="0000FF"/>
            </w:tcBorders>
            <w:gridSpan w:val="3"/>
          </w:tcPr>
          <w:p>
            <w:pPr>
              <w:spacing w:after="0"/>
              <w:rPr>
                <w:sz w:val="22"/>
                <w:szCs w:val="22"/>
                <w:color w:val="auto"/>
              </w:rPr>
            </w:pPr>
          </w:p>
        </w:tc>
        <w:tc>
          <w:tcPr>
            <w:tcW w:w="3360" w:type="dxa"/>
            <w:vAlign w:val="bottom"/>
            <w:gridSpan w:val="6"/>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1000" w:type="dxa"/>
            <w:vAlign w:val="bottom"/>
            <w:gridSpan w:val="3"/>
          </w:tcPr>
          <w:p>
            <w:pPr>
              <w:spacing w:after="0"/>
              <w:rPr>
                <w:sz w:val="20"/>
                <w:szCs w:val="20"/>
                <w:color w:val="auto"/>
              </w:rPr>
            </w:pPr>
            <w:r>
              <w:rPr>
                <w:rFonts w:ascii="Arial" w:cs="Arial" w:eastAsia="Arial" w:hAnsi="Arial"/>
                <w:sz w:val="18"/>
                <w:szCs w:val="18"/>
                <w:color w:val="0000FF"/>
              </w:rPr>
              <w:t>Item 1A.</w:t>
            </w:r>
          </w:p>
        </w:tc>
        <w:tc>
          <w:tcPr>
            <w:tcW w:w="9220" w:type="dxa"/>
            <w:vAlign w:val="bottom"/>
            <w:gridSpan w:val="17"/>
          </w:tcPr>
          <w:p>
            <w:pPr>
              <w:spacing w:after="0"/>
              <w:rPr>
                <w:sz w:val="20"/>
                <w:szCs w:val="20"/>
                <w:color w:val="auto"/>
              </w:rPr>
            </w:pPr>
            <w:r>
              <w:rPr>
                <w:rFonts w:ascii="Arial" w:cs="Arial" w:eastAsia="Arial" w:hAnsi="Arial"/>
                <w:sz w:val="18"/>
                <w:szCs w:val="18"/>
                <w:color w:val="0000FF"/>
              </w:rPr>
              <w:t>Risk Factors</w:t>
            </w:r>
          </w:p>
        </w:tc>
        <w:tc>
          <w:tcPr>
            <w:tcW w:w="0" w:type="dxa"/>
            <w:vAlign w:val="bottom"/>
          </w:tcPr>
          <w:p>
            <w:pPr>
              <w:spacing w:after="0"/>
              <w:rPr>
                <w:sz w:val="1"/>
                <w:szCs w:val="1"/>
                <w:color w:val="auto"/>
              </w:rPr>
            </w:pPr>
          </w:p>
        </w:tc>
      </w:tr>
      <w:tr>
        <w:trPr>
          <w:trHeight w:val="230"/>
        </w:trPr>
        <w:tc>
          <w:tcPr>
            <w:tcW w:w="520" w:type="dxa"/>
            <w:vAlign w:val="bottom"/>
            <w:tcBorders>
              <w:top w:val="single" w:sz="8" w:color="0000FF"/>
            </w:tcBorders>
          </w:tcPr>
          <w:p>
            <w:pPr>
              <w:spacing w:after="0"/>
              <w:rPr>
                <w:sz w:val="20"/>
                <w:szCs w:val="20"/>
                <w:color w:val="auto"/>
              </w:rPr>
            </w:pPr>
            <w:r>
              <w:rPr>
                <w:rFonts w:ascii="Arial" w:cs="Arial" w:eastAsia="Arial" w:hAnsi="Arial"/>
                <w:sz w:val="18"/>
                <w:szCs w:val="18"/>
                <w:color w:val="0000FF"/>
                <w:w w:val="90"/>
              </w:rPr>
              <w:t>Item 6.</w:t>
            </w:r>
          </w:p>
        </w:tc>
        <w:tc>
          <w:tcPr>
            <w:tcW w:w="120" w:type="dxa"/>
            <w:vAlign w:val="bottom"/>
            <w:tcBorders>
              <w:top w:val="single" w:sz="8" w:color="0000FF"/>
            </w:tcBorders>
          </w:tcPr>
          <w:p>
            <w:pPr>
              <w:spacing w:after="0"/>
              <w:rPr>
                <w:sz w:val="20"/>
                <w:szCs w:val="20"/>
                <w:color w:val="auto"/>
              </w:rPr>
            </w:pPr>
          </w:p>
        </w:tc>
        <w:tc>
          <w:tcPr>
            <w:tcW w:w="360" w:type="dxa"/>
            <w:vAlign w:val="bottom"/>
          </w:tcPr>
          <w:p>
            <w:pPr>
              <w:spacing w:after="0"/>
              <w:rPr>
                <w:sz w:val="20"/>
                <w:szCs w:val="20"/>
                <w:color w:val="auto"/>
              </w:rPr>
            </w:pPr>
          </w:p>
        </w:tc>
        <w:tc>
          <w:tcPr>
            <w:tcW w:w="900" w:type="dxa"/>
            <w:vAlign w:val="bottom"/>
            <w:tcBorders>
              <w:top w:val="single" w:sz="8" w:color="0000FF"/>
            </w:tcBorders>
            <w:gridSpan w:val="3"/>
          </w:tcPr>
          <w:p>
            <w:pPr>
              <w:spacing w:after="0"/>
              <w:rPr>
                <w:sz w:val="20"/>
                <w:szCs w:val="20"/>
                <w:color w:val="auto"/>
              </w:rPr>
            </w:pPr>
            <w:r>
              <w:rPr>
                <w:rFonts w:ascii="Arial" w:cs="Arial" w:eastAsia="Arial" w:hAnsi="Arial"/>
                <w:sz w:val="18"/>
                <w:szCs w:val="18"/>
                <w:color w:val="0000FF"/>
              </w:rPr>
              <w:t>Exhibits</w:t>
            </w:r>
          </w:p>
        </w:tc>
        <w:tc>
          <w:tcPr>
            <w:tcW w:w="8320" w:type="dxa"/>
            <w:vAlign w:val="bottom"/>
            <w:gridSpan w:val="14"/>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520" w:type="dxa"/>
            <w:vAlign w:val="bottom"/>
            <w:shd w:val="clear" w:color="auto" w:fill="0000FF"/>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600" w:type="dxa"/>
            <w:vAlign w:val="bottom"/>
            <w:shd w:val="clear" w:color="auto" w:fill="0000FF"/>
          </w:tcPr>
          <w:p>
            <w:pPr>
              <w:spacing w:after="0"/>
              <w:rPr>
                <w:sz w:val="2"/>
                <w:szCs w:val="2"/>
                <w:color w:val="auto"/>
              </w:rPr>
            </w:pPr>
          </w:p>
        </w:tc>
        <w:tc>
          <w:tcPr>
            <w:tcW w:w="160" w:type="dxa"/>
            <w:vAlign w:val="bottom"/>
          </w:tcPr>
          <w:p>
            <w:pPr>
              <w:spacing w:after="0"/>
              <w:rPr>
                <w:sz w:val="2"/>
                <w:szCs w:val="2"/>
                <w:color w:val="auto"/>
              </w:rPr>
            </w:pPr>
          </w:p>
        </w:tc>
        <w:tc>
          <w:tcPr>
            <w:tcW w:w="8460" w:type="dxa"/>
            <w:vAlign w:val="bottom"/>
            <w:gridSpan w:val="15"/>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6"/>
        </w:trPr>
        <w:tc>
          <w:tcPr>
            <w:tcW w:w="5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9220" w:type="dxa"/>
            <w:vAlign w:val="bottom"/>
            <w:gridSpan w:val="17"/>
          </w:tcPr>
          <w:p>
            <w:pPr>
              <w:spacing w:after="0"/>
              <w:rPr>
                <w:sz w:val="20"/>
                <w:szCs w:val="20"/>
                <w:color w:val="auto"/>
              </w:rPr>
            </w:pPr>
            <w:r>
              <w:rPr>
                <w:rFonts w:ascii="Arial" w:cs="Arial" w:eastAsia="Arial" w:hAnsi="Arial"/>
                <w:sz w:val="18"/>
                <w:szCs w:val="18"/>
                <w:color w:val="0000FF"/>
              </w:rPr>
              <w:t>Signatures</w:t>
            </w:r>
          </w:p>
        </w:tc>
        <w:tc>
          <w:tcPr>
            <w:tcW w:w="0" w:type="dxa"/>
            <w:vAlign w:val="bottom"/>
          </w:tcPr>
          <w:p>
            <w:pPr>
              <w:spacing w:after="0"/>
              <w:rPr>
                <w:sz w:val="1"/>
                <w:szCs w:val="1"/>
                <w:color w:val="auto"/>
              </w:rPr>
            </w:pPr>
          </w:p>
        </w:tc>
      </w:tr>
      <w:tr>
        <w:trPr>
          <w:trHeight w:val="20"/>
        </w:trPr>
        <w:tc>
          <w:tcPr>
            <w:tcW w:w="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1195705</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ind w:left="60"/>
        <w:spacing w:after="0"/>
        <w:rPr>
          <w:sz w:val="20"/>
          <w:szCs w:val="20"/>
          <w:color w:val="auto"/>
        </w:rPr>
      </w:pPr>
      <w:r>
        <w:rPr>
          <w:rFonts w:ascii="Arial" w:cs="Arial" w:eastAsia="Arial" w:hAnsi="Arial"/>
          <w:sz w:val="18"/>
          <w:szCs w:val="18"/>
          <w:u w:val="single" w:color="auto"/>
          <w:color w:val="0000FF"/>
        </w:rPr>
        <w:t>1</w:t>
      </w:r>
    </w:p>
    <w:p>
      <w:pPr>
        <w:spacing w:after="0" w:line="63" w:lineRule="exact"/>
        <w:rPr>
          <w:sz w:val="20"/>
          <w:szCs w:val="20"/>
          <w:color w:val="auto"/>
        </w:rPr>
      </w:pPr>
    </w:p>
    <w:p>
      <w:pPr>
        <w:ind w:left="60"/>
        <w:spacing w:after="0"/>
        <w:rPr>
          <w:sz w:val="20"/>
          <w:szCs w:val="20"/>
          <w:color w:val="auto"/>
        </w:rPr>
      </w:pPr>
      <w:r>
        <w:rPr>
          <w:rFonts w:ascii="Arial" w:cs="Arial" w:eastAsia="Arial" w:hAnsi="Arial"/>
          <w:sz w:val="18"/>
          <w:szCs w:val="18"/>
          <w:u w:val="single" w:color="auto"/>
          <w:color w:val="0000FF"/>
        </w:rPr>
        <w:t>2</w:t>
      </w:r>
    </w:p>
    <w:p>
      <w:pPr>
        <w:spacing w:after="0" w:line="63" w:lineRule="exact"/>
        <w:rPr>
          <w:sz w:val="20"/>
          <w:szCs w:val="20"/>
          <w:color w:val="auto"/>
        </w:rPr>
      </w:pPr>
    </w:p>
    <w:p>
      <w:pPr>
        <w:ind w:left="60"/>
        <w:spacing w:after="0"/>
        <w:rPr>
          <w:sz w:val="20"/>
          <w:szCs w:val="20"/>
          <w:color w:val="auto"/>
        </w:rPr>
      </w:pPr>
      <w:r>
        <w:rPr>
          <w:rFonts w:ascii="Arial" w:cs="Arial" w:eastAsia="Arial" w:hAnsi="Arial"/>
          <w:sz w:val="18"/>
          <w:szCs w:val="18"/>
          <w:u w:val="single" w:color="auto"/>
          <w:color w:val="0000FF"/>
        </w:rPr>
        <w:t>3</w:t>
      </w:r>
    </w:p>
    <w:p>
      <w:pPr>
        <w:spacing w:after="0" w:line="63" w:lineRule="exact"/>
        <w:rPr>
          <w:sz w:val="20"/>
          <w:szCs w:val="20"/>
          <w:color w:val="auto"/>
        </w:rPr>
      </w:pPr>
    </w:p>
    <w:p>
      <w:pPr>
        <w:ind w:left="60"/>
        <w:spacing w:after="0"/>
        <w:rPr>
          <w:sz w:val="20"/>
          <w:szCs w:val="20"/>
          <w:color w:val="auto"/>
        </w:rPr>
      </w:pPr>
      <w:r>
        <w:rPr>
          <w:rFonts w:ascii="Arial" w:cs="Arial" w:eastAsia="Arial" w:hAnsi="Arial"/>
          <w:sz w:val="18"/>
          <w:szCs w:val="18"/>
          <w:u w:val="single" w:color="auto"/>
          <w:color w:val="0000FF"/>
        </w:rPr>
        <w:t>5</w:t>
      </w:r>
    </w:p>
    <w:p>
      <w:pPr>
        <w:spacing w:after="0" w:line="63" w:lineRule="exact"/>
        <w:rPr>
          <w:sz w:val="20"/>
          <w:szCs w:val="20"/>
          <w:color w:val="auto"/>
        </w:rPr>
      </w:pPr>
    </w:p>
    <w:p>
      <w:pPr>
        <w:ind w:left="60"/>
        <w:spacing w:after="0"/>
        <w:rPr>
          <w:sz w:val="20"/>
          <w:szCs w:val="20"/>
          <w:color w:val="auto"/>
        </w:rPr>
      </w:pPr>
      <w:r>
        <w:rPr>
          <w:rFonts w:ascii="Arial" w:cs="Arial" w:eastAsia="Arial" w:hAnsi="Arial"/>
          <w:sz w:val="18"/>
          <w:szCs w:val="18"/>
          <w:u w:val="single" w:color="auto"/>
          <w:color w:val="0000FF"/>
        </w:rPr>
        <w:t>7</w:t>
      </w:r>
    </w:p>
    <w:p>
      <w:pPr>
        <w:spacing w:after="0" w:line="63" w:lineRule="exact"/>
        <w:rPr>
          <w:sz w:val="20"/>
          <w:szCs w:val="20"/>
          <w:color w:val="auto"/>
        </w:rPr>
      </w:pPr>
    </w:p>
    <w:p>
      <w:pPr>
        <w:spacing w:after="0"/>
        <w:rPr>
          <w:sz w:val="20"/>
          <w:szCs w:val="20"/>
          <w:color w:val="auto"/>
        </w:rPr>
      </w:pPr>
      <w:r>
        <w:rPr>
          <w:rFonts w:ascii="Arial" w:cs="Arial" w:eastAsia="Arial" w:hAnsi="Arial"/>
          <w:sz w:val="16"/>
          <w:szCs w:val="16"/>
          <w:u w:val="single" w:color="auto"/>
          <w:color w:val="0000FF"/>
        </w:rPr>
        <w:t>25</w:t>
      </w:r>
    </w:p>
    <w:p>
      <w:pPr>
        <w:spacing w:after="0" w:line="86" w:lineRule="exact"/>
        <w:rPr>
          <w:sz w:val="20"/>
          <w:szCs w:val="20"/>
          <w:color w:val="auto"/>
        </w:rPr>
      </w:pPr>
    </w:p>
    <w:p>
      <w:pPr>
        <w:spacing w:after="0"/>
        <w:rPr>
          <w:sz w:val="20"/>
          <w:szCs w:val="20"/>
          <w:color w:val="auto"/>
        </w:rPr>
      </w:pPr>
      <w:r>
        <w:rPr>
          <w:rFonts w:ascii="Arial" w:cs="Arial" w:eastAsia="Arial" w:hAnsi="Arial"/>
          <w:sz w:val="16"/>
          <w:szCs w:val="16"/>
          <w:u w:val="single" w:color="auto"/>
          <w:color w:val="0000FF"/>
        </w:rPr>
        <w:t>45</w:t>
      </w:r>
    </w:p>
    <w:p>
      <w:pPr>
        <w:spacing w:after="0" w:line="86" w:lineRule="exact"/>
        <w:rPr>
          <w:sz w:val="20"/>
          <w:szCs w:val="20"/>
          <w:color w:val="auto"/>
        </w:rPr>
      </w:pPr>
    </w:p>
    <w:p>
      <w:pPr>
        <w:spacing w:after="0"/>
        <w:rPr>
          <w:sz w:val="20"/>
          <w:szCs w:val="20"/>
          <w:color w:val="auto"/>
        </w:rPr>
      </w:pPr>
      <w:r>
        <w:rPr>
          <w:rFonts w:ascii="Arial" w:cs="Arial" w:eastAsia="Arial" w:hAnsi="Arial"/>
          <w:sz w:val="16"/>
          <w:szCs w:val="16"/>
          <w:u w:val="single" w:color="auto"/>
          <w:color w:val="0000FF"/>
        </w:rPr>
        <w:t>45</w:t>
      </w:r>
    </w:p>
    <w:p>
      <w:pPr>
        <w:spacing w:after="0" w:line="356" w:lineRule="exact"/>
        <w:rPr>
          <w:sz w:val="20"/>
          <w:szCs w:val="20"/>
          <w:color w:val="auto"/>
        </w:rPr>
      </w:pPr>
    </w:p>
    <w:p>
      <w:pPr>
        <w:spacing w:after="0"/>
        <w:rPr>
          <w:sz w:val="20"/>
          <w:szCs w:val="20"/>
          <w:color w:val="auto"/>
        </w:rPr>
      </w:pPr>
      <w:r>
        <w:rPr>
          <w:rFonts w:ascii="Arial" w:cs="Arial" w:eastAsia="Arial" w:hAnsi="Arial"/>
          <w:sz w:val="16"/>
          <w:szCs w:val="16"/>
          <w:u w:val="single" w:color="auto"/>
          <w:color w:val="0000FF"/>
        </w:rPr>
        <w:t>46</w:t>
      </w:r>
    </w:p>
    <w:p>
      <w:pPr>
        <w:spacing w:after="0" w:line="86" w:lineRule="exact"/>
        <w:rPr>
          <w:sz w:val="20"/>
          <w:szCs w:val="20"/>
          <w:color w:val="auto"/>
        </w:rPr>
      </w:pPr>
    </w:p>
    <w:p>
      <w:pPr>
        <w:spacing w:after="0"/>
        <w:rPr>
          <w:sz w:val="20"/>
          <w:szCs w:val="20"/>
          <w:color w:val="auto"/>
        </w:rPr>
      </w:pPr>
      <w:r>
        <w:rPr>
          <w:rFonts w:ascii="Arial" w:cs="Arial" w:eastAsia="Arial" w:hAnsi="Arial"/>
          <w:sz w:val="16"/>
          <w:szCs w:val="16"/>
          <w:u w:val="single" w:color="auto"/>
          <w:color w:val="0000FF"/>
        </w:rPr>
        <w:t>46</w:t>
      </w:r>
    </w:p>
    <w:p>
      <w:pPr>
        <w:spacing w:after="0" w:line="86" w:lineRule="exact"/>
        <w:rPr>
          <w:sz w:val="20"/>
          <w:szCs w:val="20"/>
          <w:color w:val="auto"/>
        </w:rPr>
      </w:pPr>
    </w:p>
    <w:p>
      <w:pPr>
        <w:spacing w:after="0"/>
        <w:rPr>
          <w:sz w:val="20"/>
          <w:szCs w:val="20"/>
          <w:color w:val="auto"/>
        </w:rPr>
      </w:pPr>
      <w:r>
        <w:rPr>
          <w:rFonts w:ascii="Arial" w:cs="Arial" w:eastAsia="Arial" w:hAnsi="Arial"/>
          <w:sz w:val="16"/>
          <w:szCs w:val="16"/>
          <w:u w:val="single" w:color="auto"/>
          <w:color w:val="0000FF"/>
        </w:rPr>
        <w:t>48</w:t>
      </w:r>
    </w:p>
    <w:p>
      <w:pPr>
        <w:spacing w:after="0" w:line="86" w:lineRule="exact"/>
        <w:rPr>
          <w:sz w:val="20"/>
          <w:szCs w:val="20"/>
          <w:color w:val="auto"/>
        </w:rPr>
      </w:pPr>
    </w:p>
    <w:p>
      <w:pPr>
        <w:spacing w:after="0"/>
        <w:rPr>
          <w:sz w:val="20"/>
          <w:szCs w:val="20"/>
          <w:color w:val="auto"/>
        </w:rPr>
      </w:pPr>
      <w:r>
        <w:rPr>
          <w:rFonts w:ascii="Arial" w:cs="Arial" w:eastAsia="Arial" w:hAnsi="Arial"/>
          <w:sz w:val="16"/>
          <w:szCs w:val="16"/>
          <w:u w:val="single" w:color="auto"/>
          <w:color w:val="0000FF"/>
        </w:rPr>
        <w:t>49</w:t>
      </w:r>
    </w:p>
    <w:p>
      <w:pPr>
        <w:sectPr>
          <w:pgSz w:w="11900" w:h="16838" w:orient="portrait"/>
          <w:cols w:equalWidth="0" w:num="2">
            <w:col w:w="10240" w:space="640"/>
            <w:col w:w="180"/>
          </w:cols>
          <w:pgMar w:left="320" w:top="368" w:right="519" w:bottom="1440" w:gutter="0" w:footer="0" w:header="0"/>
        </w:sectPr>
      </w:pPr>
    </w:p>
    <w:bookmarkStart w:id="2" w:name="page3"/>
    <w:bookmarkEnd w:id="2"/>
    <w:p>
      <w:pPr>
        <w:spacing w:after="0"/>
        <w:rPr>
          <w:sz w:val="20"/>
          <w:szCs w:val="20"/>
          <w:color w:val="auto"/>
        </w:rPr>
      </w:pPr>
      <w:r>
        <w:rPr>
          <w:rFonts w:ascii="Arial" w:cs="Arial" w:eastAsia="Arial" w:hAnsi="Arial"/>
          <w:sz w:val="18"/>
          <w:szCs w:val="18"/>
          <w:u w:val="single" w:color="auto"/>
          <w:color w:val="0000FF"/>
        </w:rPr>
        <w:t>Table of Contents</w:t>
      </w:r>
    </w:p>
    <w:p>
      <w:pPr>
        <w:spacing w:after="0" w:line="31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 FINANCIAL INFORMATION</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I. </w:t>
      </w:r>
      <w:r>
        <w:rPr>
          <w:rFonts w:ascii="Arial" w:cs="Arial" w:eastAsia="Arial" w:hAnsi="Arial"/>
          <w:sz w:val="18"/>
          <w:szCs w:val="18"/>
          <w:b w:val="1"/>
          <w:bCs w:val="1"/>
          <w:i w:val="1"/>
          <w:iCs w:val="1"/>
          <w:color w:val="auto"/>
        </w:rPr>
        <w:t>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PENNANT GROUP,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in thousands, except par value)</w:t>
      </w:r>
    </w:p>
    <w:p>
      <w:pPr>
        <w:spacing w:after="0" w:line="27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920" w:type="dxa"/>
            <w:vAlign w:val="bottom"/>
            <w:gridSpan w:val="2"/>
          </w:tcPr>
          <w:p>
            <w:pPr>
              <w:ind w:left="80"/>
              <w:spacing w:after="0"/>
              <w:rPr>
                <w:sz w:val="20"/>
                <w:szCs w:val="20"/>
                <w:color w:val="auto"/>
              </w:rPr>
            </w:pPr>
            <w:r>
              <w:rPr>
                <w:rFonts w:ascii="Arial" w:cs="Arial" w:eastAsia="Arial" w:hAnsi="Arial"/>
                <w:sz w:val="18"/>
                <w:szCs w:val="18"/>
                <w:b w:val="1"/>
                <w:bCs w:val="1"/>
                <w:color w:val="auto"/>
              </w:rPr>
              <w:t>September 30, 2022</w:t>
            </w:r>
          </w:p>
        </w:tc>
        <w:tc>
          <w:tcPr>
            <w:tcW w:w="200" w:type="dxa"/>
            <w:vAlign w:val="bottom"/>
          </w:tcPr>
          <w:p>
            <w:pPr>
              <w:spacing w:after="0"/>
              <w:rPr>
                <w:sz w:val="20"/>
                <w:szCs w:val="20"/>
                <w:color w:val="auto"/>
              </w:rPr>
            </w:pPr>
          </w:p>
        </w:tc>
        <w:tc>
          <w:tcPr>
            <w:tcW w:w="1800" w:type="dxa"/>
            <w:vAlign w:val="bottom"/>
          </w:tcPr>
          <w:p>
            <w:pPr>
              <w:jc w:val="right"/>
              <w:ind w:right="190"/>
              <w:spacing w:after="0"/>
              <w:rPr>
                <w:sz w:val="20"/>
                <w:szCs w:val="20"/>
                <w:color w:val="auto"/>
              </w:rPr>
            </w:pPr>
            <w:r>
              <w:rPr>
                <w:rFonts w:ascii="Arial" w:cs="Arial" w:eastAsia="Arial" w:hAnsi="Arial"/>
                <w:sz w:val="18"/>
                <w:szCs w:val="18"/>
                <w:b w:val="1"/>
                <w:bCs w:val="1"/>
                <w:color w:val="auto"/>
                <w:w w:val="92"/>
              </w:rPr>
              <w:t>December 31, 2021</w:t>
            </w:r>
          </w:p>
        </w:tc>
      </w:tr>
      <w:tr>
        <w:trPr>
          <w:trHeight w:val="223"/>
        </w:trPr>
        <w:tc>
          <w:tcPr>
            <w:tcW w:w="7140" w:type="dxa"/>
            <w:vAlign w:val="bottom"/>
          </w:tcPr>
          <w:p>
            <w:pPr>
              <w:ind w:left="20"/>
              <w:spacing w:after="0"/>
              <w:rPr>
                <w:sz w:val="20"/>
                <w:szCs w:val="20"/>
                <w:color w:val="auto"/>
              </w:rPr>
            </w:pPr>
            <w:r>
              <w:rPr>
                <w:rFonts w:ascii="Arial" w:cs="Arial" w:eastAsia="Arial" w:hAnsi="Arial"/>
                <w:sz w:val="18"/>
                <w:szCs w:val="18"/>
                <w:b w:val="1"/>
                <w:bCs w:val="1"/>
                <w:color w:val="auto"/>
              </w:rPr>
              <w:t>Assets</w:t>
            </w:r>
          </w:p>
        </w:tc>
        <w:tc>
          <w:tcPr>
            <w:tcW w:w="180" w:type="dxa"/>
            <w:vAlign w:val="bottom"/>
            <w:tcBorders>
              <w:top w:val="single" w:sz="8" w:color="auto"/>
            </w:tcBorders>
          </w:tcPr>
          <w:p>
            <w:pPr>
              <w:spacing w:after="0"/>
              <w:rPr>
                <w:sz w:val="19"/>
                <w:szCs w:val="19"/>
                <w:color w:val="auto"/>
              </w:rPr>
            </w:pPr>
          </w:p>
        </w:tc>
        <w:tc>
          <w:tcPr>
            <w:tcW w:w="182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1800" w:type="dxa"/>
            <w:vAlign w:val="bottom"/>
            <w:tcBorders>
              <w:top w:val="single" w:sz="8" w:color="auto"/>
            </w:tcBorders>
          </w:tcPr>
          <w:p>
            <w:pPr>
              <w:spacing w:after="0"/>
              <w:rPr>
                <w:sz w:val="19"/>
                <w:szCs w:val="19"/>
                <w:color w:val="auto"/>
              </w:rPr>
            </w:pPr>
          </w:p>
        </w:tc>
      </w:tr>
      <w:tr>
        <w:trPr>
          <w:trHeight w:val="27"/>
        </w:trPr>
        <w:tc>
          <w:tcPr>
            <w:tcW w:w="71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800" w:type="dxa"/>
            <w:vAlign w:val="bottom"/>
          </w:tcPr>
          <w:p>
            <w:pPr>
              <w:spacing w:after="0"/>
              <w:rPr>
                <w:sz w:val="2"/>
                <w:szCs w:val="2"/>
                <w:color w:val="auto"/>
              </w:rPr>
            </w:pPr>
          </w:p>
        </w:tc>
      </w:tr>
      <w:tr>
        <w:trPr>
          <w:trHeight w:val="250"/>
        </w:trPr>
        <w:tc>
          <w:tcPr>
            <w:tcW w:w="71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Current assets:</w:t>
            </w:r>
          </w:p>
        </w:tc>
        <w:tc>
          <w:tcPr>
            <w:tcW w:w="180" w:type="dxa"/>
            <w:vAlign w:val="bottom"/>
            <w:tcBorders>
              <w:bottom w:val="single" w:sz="8" w:color="CCEEFF"/>
            </w:tcBorders>
            <w:shd w:val="clear" w:color="auto" w:fill="CCEEFF"/>
          </w:tcPr>
          <w:p>
            <w:pPr>
              <w:spacing w:after="0"/>
              <w:rPr>
                <w:sz w:val="21"/>
                <w:szCs w:val="21"/>
                <w:color w:val="auto"/>
              </w:rPr>
            </w:pPr>
          </w:p>
        </w:tc>
        <w:tc>
          <w:tcPr>
            <w:tcW w:w="18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800" w:type="dxa"/>
            <w:vAlign w:val="bottom"/>
            <w:tcBorders>
              <w:bottom w:val="single" w:sz="8" w:color="CCEEFF"/>
            </w:tcBorders>
            <w:shd w:val="clear" w:color="auto" w:fill="CCEEFF"/>
          </w:tcPr>
          <w:p>
            <w:pPr>
              <w:spacing w:after="0"/>
              <w:rPr>
                <w:sz w:val="21"/>
                <w:szCs w:val="21"/>
                <w:color w:val="auto"/>
              </w:rPr>
            </w:pPr>
          </w:p>
        </w:tc>
      </w:tr>
      <w:tr>
        <w:trPr>
          <w:trHeight w:val="270"/>
        </w:trPr>
        <w:tc>
          <w:tcPr>
            <w:tcW w:w="7140" w:type="dxa"/>
            <w:vAlign w:val="bottom"/>
          </w:tcPr>
          <w:p>
            <w:pPr>
              <w:ind w:left="140"/>
              <w:spacing w:after="0"/>
              <w:rPr>
                <w:sz w:val="20"/>
                <w:szCs w:val="20"/>
                <w:color w:val="auto"/>
              </w:rPr>
            </w:pPr>
            <w:r>
              <w:rPr>
                <w:rFonts w:ascii="Arial" w:cs="Arial" w:eastAsia="Arial" w:hAnsi="Arial"/>
                <w:sz w:val="18"/>
                <w:szCs w:val="18"/>
                <w:color w:val="auto"/>
              </w:rPr>
              <w:t>Cash</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820" w:type="dxa"/>
            <w:vAlign w:val="bottom"/>
          </w:tcPr>
          <w:p>
            <w:pPr>
              <w:jc w:val="right"/>
              <w:spacing w:after="0"/>
              <w:rPr>
                <w:sz w:val="20"/>
                <w:szCs w:val="20"/>
                <w:color w:val="auto"/>
              </w:rPr>
            </w:pPr>
            <w:r>
              <w:rPr>
                <w:rFonts w:ascii="Arial" w:cs="Arial" w:eastAsia="Arial" w:hAnsi="Arial"/>
                <w:sz w:val="18"/>
                <w:szCs w:val="18"/>
                <w:color w:val="auto"/>
              </w:rPr>
              <w:t>2,955</w:t>
            </w:r>
          </w:p>
        </w:tc>
        <w:tc>
          <w:tcPr>
            <w:tcW w:w="100" w:type="dxa"/>
            <w:vAlign w:val="bottom"/>
          </w:tcPr>
          <w:p>
            <w:pPr>
              <w:spacing w:after="0"/>
              <w:rPr>
                <w:sz w:val="23"/>
                <w:szCs w:val="23"/>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800" w:type="dxa"/>
            <w:vAlign w:val="bottom"/>
          </w:tcPr>
          <w:p>
            <w:pPr>
              <w:jc w:val="right"/>
              <w:spacing w:after="0"/>
              <w:rPr>
                <w:sz w:val="20"/>
                <w:szCs w:val="20"/>
                <w:color w:val="auto"/>
              </w:rPr>
            </w:pPr>
            <w:r>
              <w:rPr>
                <w:rFonts w:ascii="Arial" w:cs="Arial" w:eastAsia="Arial" w:hAnsi="Arial"/>
                <w:sz w:val="18"/>
                <w:szCs w:val="18"/>
                <w:color w:val="auto"/>
              </w:rPr>
              <w:t>5,190</w:t>
            </w:r>
          </w:p>
        </w:tc>
      </w:tr>
      <w:tr>
        <w:trPr>
          <w:trHeight w:val="270"/>
        </w:trPr>
        <w:tc>
          <w:tcPr>
            <w:tcW w:w="7140" w:type="dxa"/>
            <w:vAlign w:val="bottom"/>
            <w:shd w:val="clear" w:color="auto" w:fill="CCEEFF"/>
          </w:tcPr>
          <w:p>
            <w:pPr>
              <w:ind w:left="140"/>
              <w:spacing w:after="0"/>
              <w:rPr>
                <w:sz w:val="20"/>
                <w:szCs w:val="20"/>
                <w:color w:val="auto"/>
              </w:rPr>
            </w:pPr>
            <w:r>
              <w:rPr>
                <w:rFonts w:ascii="Arial" w:cs="Arial" w:eastAsia="Arial" w:hAnsi="Arial"/>
                <w:sz w:val="18"/>
                <w:szCs w:val="18"/>
                <w:color w:val="auto"/>
                <w:w w:val="97"/>
              </w:rPr>
              <w:t>Accounts receivable—less allowance for doubtful accounts of $822 and $902, respectively</w:t>
            </w:r>
          </w:p>
        </w:tc>
        <w:tc>
          <w:tcPr>
            <w:tcW w:w="180" w:type="dxa"/>
            <w:vAlign w:val="bottom"/>
            <w:shd w:val="clear" w:color="auto" w:fill="CCEEFF"/>
          </w:tcPr>
          <w:p>
            <w:pPr>
              <w:spacing w:after="0"/>
              <w:rPr>
                <w:sz w:val="23"/>
                <w:szCs w:val="23"/>
                <w:color w:val="auto"/>
              </w:rPr>
            </w:pPr>
          </w:p>
        </w:tc>
        <w:tc>
          <w:tcPr>
            <w:tcW w:w="1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51,604</w:t>
            </w: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53,940</w:t>
            </w:r>
          </w:p>
        </w:tc>
      </w:tr>
      <w:tr>
        <w:trPr>
          <w:trHeight w:val="270"/>
        </w:trPr>
        <w:tc>
          <w:tcPr>
            <w:tcW w:w="714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Prepaid expenses and other current assets</w:t>
            </w:r>
          </w:p>
        </w:tc>
        <w:tc>
          <w:tcPr>
            <w:tcW w:w="180" w:type="dxa"/>
            <w:vAlign w:val="bottom"/>
            <w:tcBorders>
              <w:bottom w:val="single" w:sz="8" w:color="auto"/>
            </w:tcBorders>
          </w:tcPr>
          <w:p>
            <w:pPr>
              <w:spacing w:after="0"/>
              <w:rPr>
                <w:sz w:val="23"/>
                <w:szCs w:val="23"/>
                <w:color w:val="auto"/>
              </w:rPr>
            </w:pPr>
          </w:p>
        </w:tc>
        <w:tc>
          <w:tcPr>
            <w:tcW w:w="1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12,324</w:t>
            </w:r>
          </w:p>
        </w:tc>
        <w:tc>
          <w:tcPr>
            <w:tcW w:w="100" w:type="dxa"/>
            <w:vAlign w:val="bottom"/>
            <w:tcBorders>
              <w:bottom w:val="single" w:sz="8" w:color="CCEEFF"/>
            </w:tcBorders>
          </w:tcPr>
          <w:p>
            <w:pPr>
              <w:spacing w:after="0"/>
              <w:rPr>
                <w:sz w:val="23"/>
                <w:szCs w:val="23"/>
                <w:color w:val="auto"/>
              </w:rPr>
            </w:pPr>
          </w:p>
        </w:tc>
        <w:tc>
          <w:tcPr>
            <w:tcW w:w="200" w:type="dxa"/>
            <w:vAlign w:val="bottom"/>
            <w:tcBorders>
              <w:bottom w:val="single" w:sz="8" w:color="auto"/>
            </w:tcBorders>
          </w:tcPr>
          <w:p>
            <w:pPr>
              <w:spacing w:after="0"/>
              <w:rPr>
                <w:sz w:val="23"/>
                <w:szCs w:val="23"/>
                <w:color w:val="auto"/>
              </w:rPr>
            </w:pPr>
          </w:p>
        </w:tc>
        <w:tc>
          <w:tcPr>
            <w:tcW w:w="1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16,711</w:t>
            </w:r>
          </w:p>
        </w:tc>
      </w:tr>
      <w:tr>
        <w:trPr>
          <w:trHeight w:val="223"/>
        </w:trPr>
        <w:tc>
          <w:tcPr>
            <w:tcW w:w="7140" w:type="dxa"/>
            <w:vAlign w:val="bottom"/>
            <w:shd w:val="clear" w:color="auto" w:fill="CCEEFF"/>
          </w:tcPr>
          <w:p>
            <w:pPr>
              <w:ind w:left="480"/>
              <w:spacing w:after="0"/>
              <w:rPr>
                <w:sz w:val="20"/>
                <w:szCs w:val="20"/>
                <w:color w:val="auto"/>
              </w:rPr>
            </w:pPr>
            <w:r>
              <w:rPr>
                <w:rFonts w:ascii="Arial" w:cs="Arial" w:eastAsia="Arial" w:hAnsi="Arial"/>
                <w:sz w:val="18"/>
                <w:szCs w:val="18"/>
                <w:color w:val="auto"/>
              </w:rPr>
              <w:t>Total current assets</w:t>
            </w:r>
          </w:p>
        </w:tc>
        <w:tc>
          <w:tcPr>
            <w:tcW w:w="180" w:type="dxa"/>
            <w:vAlign w:val="bottom"/>
            <w:shd w:val="clear" w:color="auto" w:fill="CCEEFF"/>
          </w:tcPr>
          <w:p>
            <w:pPr>
              <w:spacing w:after="0"/>
              <w:rPr>
                <w:sz w:val="19"/>
                <w:szCs w:val="19"/>
                <w:color w:val="auto"/>
              </w:rPr>
            </w:pPr>
          </w:p>
        </w:tc>
        <w:tc>
          <w:tcPr>
            <w:tcW w:w="1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66,883</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75,841</w:t>
            </w:r>
          </w:p>
        </w:tc>
      </w:tr>
      <w:tr>
        <w:trPr>
          <w:trHeight w:val="230"/>
        </w:trPr>
        <w:tc>
          <w:tcPr>
            <w:tcW w:w="7140" w:type="dxa"/>
            <w:vAlign w:val="bottom"/>
          </w:tcPr>
          <w:p>
            <w:pPr>
              <w:ind w:left="20"/>
              <w:spacing w:after="0"/>
              <w:rPr>
                <w:sz w:val="20"/>
                <w:szCs w:val="20"/>
                <w:color w:val="auto"/>
              </w:rPr>
            </w:pPr>
            <w:r>
              <w:rPr>
                <w:rFonts w:ascii="Arial" w:cs="Arial" w:eastAsia="Arial" w:hAnsi="Arial"/>
                <w:sz w:val="18"/>
                <w:szCs w:val="18"/>
                <w:color w:val="auto"/>
              </w:rPr>
              <w:t>Property and equipment, net</w:t>
            </w:r>
          </w:p>
        </w:tc>
        <w:tc>
          <w:tcPr>
            <w:tcW w:w="180" w:type="dxa"/>
            <w:vAlign w:val="bottom"/>
          </w:tcPr>
          <w:p>
            <w:pPr>
              <w:spacing w:after="0"/>
              <w:rPr>
                <w:sz w:val="19"/>
                <w:szCs w:val="19"/>
                <w:color w:val="auto"/>
              </w:rPr>
            </w:pPr>
          </w:p>
        </w:tc>
        <w:tc>
          <w:tcPr>
            <w:tcW w:w="1820" w:type="dxa"/>
            <w:vAlign w:val="bottom"/>
          </w:tcPr>
          <w:p>
            <w:pPr>
              <w:jc w:val="right"/>
              <w:spacing w:after="0"/>
              <w:rPr>
                <w:sz w:val="20"/>
                <w:szCs w:val="20"/>
                <w:color w:val="auto"/>
              </w:rPr>
            </w:pPr>
            <w:r>
              <w:rPr>
                <w:rFonts w:ascii="Arial" w:cs="Arial" w:eastAsia="Arial" w:hAnsi="Arial"/>
                <w:sz w:val="18"/>
                <w:szCs w:val="18"/>
                <w:color w:val="auto"/>
              </w:rPr>
              <w:t>23,914</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800" w:type="dxa"/>
            <w:vAlign w:val="bottom"/>
          </w:tcPr>
          <w:p>
            <w:pPr>
              <w:jc w:val="right"/>
              <w:spacing w:after="0"/>
              <w:rPr>
                <w:sz w:val="20"/>
                <w:szCs w:val="20"/>
                <w:color w:val="auto"/>
              </w:rPr>
            </w:pPr>
            <w:r>
              <w:rPr>
                <w:rFonts w:ascii="Arial" w:cs="Arial" w:eastAsia="Arial" w:hAnsi="Arial"/>
                <w:sz w:val="18"/>
                <w:szCs w:val="18"/>
                <w:color w:val="auto"/>
              </w:rPr>
              <w:t>16,788</w:t>
            </w:r>
          </w:p>
        </w:tc>
      </w:tr>
      <w:tr>
        <w:trPr>
          <w:trHeight w:val="229"/>
        </w:trPr>
        <w:tc>
          <w:tcPr>
            <w:tcW w:w="7140" w:type="dxa"/>
            <w:vAlign w:val="bottom"/>
            <w:shd w:val="clear" w:color="auto" w:fill="CCEEFF"/>
          </w:tcPr>
          <w:p>
            <w:pPr>
              <w:ind w:left="20"/>
              <w:spacing w:after="0"/>
              <w:rPr>
                <w:sz w:val="20"/>
                <w:szCs w:val="20"/>
                <w:color w:val="auto"/>
              </w:rPr>
            </w:pPr>
            <w:r>
              <w:rPr>
                <w:rFonts w:ascii="Arial" w:cs="Arial" w:eastAsia="Arial" w:hAnsi="Arial"/>
                <w:sz w:val="18"/>
                <w:szCs w:val="18"/>
                <w:color w:val="auto"/>
              </w:rPr>
              <w:t>Right-of-use assets</w:t>
            </w:r>
          </w:p>
        </w:tc>
        <w:tc>
          <w:tcPr>
            <w:tcW w:w="180" w:type="dxa"/>
            <w:vAlign w:val="bottom"/>
            <w:shd w:val="clear" w:color="auto" w:fill="CCEEFF"/>
          </w:tcPr>
          <w:p>
            <w:pPr>
              <w:spacing w:after="0"/>
              <w:rPr>
                <w:sz w:val="19"/>
                <w:szCs w:val="19"/>
                <w:color w:val="auto"/>
              </w:rPr>
            </w:pPr>
          </w:p>
        </w:tc>
        <w:tc>
          <w:tcPr>
            <w:tcW w:w="1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262,636</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300,997</w:t>
            </w:r>
          </w:p>
        </w:tc>
      </w:tr>
      <w:tr>
        <w:trPr>
          <w:trHeight w:val="230"/>
        </w:trPr>
        <w:tc>
          <w:tcPr>
            <w:tcW w:w="7140" w:type="dxa"/>
            <w:vAlign w:val="bottom"/>
          </w:tcPr>
          <w:p>
            <w:pPr>
              <w:ind w:left="20"/>
              <w:spacing w:after="0"/>
              <w:rPr>
                <w:sz w:val="20"/>
                <w:szCs w:val="20"/>
                <w:color w:val="auto"/>
              </w:rPr>
            </w:pPr>
            <w:r>
              <w:rPr>
                <w:rFonts w:ascii="Arial" w:cs="Arial" w:eastAsia="Arial" w:hAnsi="Arial"/>
                <w:sz w:val="18"/>
                <w:szCs w:val="18"/>
                <w:color w:val="auto"/>
              </w:rPr>
              <w:t>Deferred tax assets, net</w:t>
            </w:r>
          </w:p>
        </w:tc>
        <w:tc>
          <w:tcPr>
            <w:tcW w:w="180" w:type="dxa"/>
            <w:vAlign w:val="bottom"/>
          </w:tcPr>
          <w:p>
            <w:pPr>
              <w:spacing w:after="0"/>
              <w:rPr>
                <w:sz w:val="19"/>
                <w:szCs w:val="19"/>
                <w:color w:val="auto"/>
              </w:rPr>
            </w:pPr>
          </w:p>
        </w:tc>
        <w:tc>
          <w:tcPr>
            <w:tcW w:w="1820" w:type="dxa"/>
            <w:vAlign w:val="bottom"/>
          </w:tcPr>
          <w:p>
            <w:pPr>
              <w:jc w:val="right"/>
              <w:spacing w:after="0"/>
              <w:rPr>
                <w:sz w:val="20"/>
                <w:szCs w:val="20"/>
                <w:color w:val="auto"/>
              </w:rPr>
            </w:pPr>
            <w:r>
              <w:rPr>
                <w:rFonts w:ascii="Arial" w:cs="Arial" w:eastAsia="Arial" w:hAnsi="Arial"/>
                <w:sz w:val="18"/>
                <w:szCs w:val="18"/>
                <w:color w:val="auto"/>
              </w:rPr>
              <w:t>3,097</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800" w:type="dxa"/>
            <w:vAlign w:val="bottom"/>
          </w:tcPr>
          <w:p>
            <w:pPr>
              <w:jc w:val="right"/>
              <w:spacing w:after="0"/>
              <w:rPr>
                <w:sz w:val="20"/>
                <w:szCs w:val="20"/>
                <w:color w:val="auto"/>
              </w:rPr>
            </w:pPr>
            <w:r>
              <w:rPr>
                <w:rFonts w:ascii="Arial" w:cs="Arial" w:eastAsia="Arial" w:hAnsi="Arial"/>
                <w:sz w:val="18"/>
                <w:szCs w:val="18"/>
                <w:color w:val="auto"/>
              </w:rPr>
              <w:t>3,848</w:t>
            </w:r>
          </w:p>
        </w:tc>
      </w:tr>
      <w:tr>
        <w:trPr>
          <w:trHeight w:val="229"/>
        </w:trPr>
        <w:tc>
          <w:tcPr>
            <w:tcW w:w="714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Restricted and other assets</w:t>
            </w:r>
          </w:p>
        </w:tc>
        <w:tc>
          <w:tcPr>
            <w:tcW w:w="180" w:type="dxa"/>
            <w:vAlign w:val="bottom"/>
            <w:shd w:val="clear" w:color="auto" w:fill="CCEEFF"/>
          </w:tcPr>
          <w:p>
            <w:pPr>
              <w:spacing w:after="0"/>
              <w:rPr>
                <w:sz w:val="19"/>
                <w:szCs w:val="19"/>
                <w:color w:val="auto"/>
              </w:rPr>
            </w:pPr>
          </w:p>
        </w:tc>
        <w:tc>
          <w:tcPr>
            <w:tcW w:w="1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10,686</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4,828</w:t>
            </w:r>
          </w:p>
        </w:tc>
      </w:tr>
      <w:tr>
        <w:trPr>
          <w:trHeight w:val="229"/>
        </w:trPr>
        <w:tc>
          <w:tcPr>
            <w:tcW w:w="7140" w:type="dxa"/>
            <w:vAlign w:val="bottom"/>
          </w:tcPr>
          <w:p>
            <w:pPr>
              <w:ind w:left="20"/>
              <w:spacing w:after="0"/>
              <w:rPr>
                <w:sz w:val="20"/>
                <w:szCs w:val="20"/>
                <w:color w:val="auto"/>
              </w:rPr>
            </w:pPr>
            <w:r>
              <w:rPr>
                <w:rFonts w:ascii="Arial" w:cs="Arial" w:eastAsia="Arial" w:hAnsi="Arial"/>
                <w:sz w:val="18"/>
                <w:szCs w:val="18"/>
                <w:color w:val="auto"/>
              </w:rPr>
              <w:t>Goodwill</w:t>
            </w:r>
          </w:p>
        </w:tc>
        <w:tc>
          <w:tcPr>
            <w:tcW w:w="180" w:type="dxa"/>
            <w:vAlign w:val="bottom"/>
          </w:tcPr>
          <w:p>
            <w:pPr>
              <w:spacing w:after="0"/>
              <w:rPr>
                <w:sz w:val="19"/>
                <w:szCs w:val="19"/>
                <w:color w:val="auto"/>
              </w:rPr>
            </w:pPr>
          </w:p>
        </w:tc>
        <w:tc>
          <w:tcPr>
            <w:tcW w:w="1820" w:type="dxa"/>
            <w:vAlign w:val="bottom"/>
          </w:tcPr>
          <w:p>
            <w:pPr>
              <w:jc w:val="right"/>
              <w:spacing w:after="0"/>
              <w:rPr>
                <w:sz w:val="20"/>
                <w:szCs w:val="20"/>
                <w:color w:val="auto"/>
              </w:rPr>
            </w:pPr>
            <w:r>
              <w:rPr>
                <w:rFonts w:ascii="Arial" w:cs="Arial" w:eastAsia="Arial" w:hAnsi="Arial"/>
                <w:sz w:val="18"/>
                <w:szCs w:val="18"/>
                <w:color w:val="auto"/>
              </w:rPr>
              <w:t>79,190</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800" w:type="dxa"/>
            <w:vAlign w:val="bottom"/>
          </w:tcPr>
          <w:p>
            <w:pPr>
              <w:jc w:val="right"/>
              <w:spacing w:after="0"/>
              <w:rPr>
                <w:sz w:val="20"/>
                <w:szCs w:val="20"/>
                <w:color w:val="auto"/>
              </w:rPr>
            </w:pPr>
            <w:r>
              <w:rPr>
                <w:rFonts w:ascii="Arial" w:cs="Arial" w:eastAsia="Arial" w:hAnsi="Arial"/>
                <w:sz w:val="18"/>
                <w:szCs w:val="18"/>
                <w:color w:val="auto"/>
              </w:rPr>
              <w:t>74,265</w:t>
            </w:r>
          </w:p>
        </w:tc>
      </w:tr>
      <w:tr>
        <w:trPr>
          <w:trHeight w:val="230"/>
        </w:trPr>
        <w:tc>
          <w:tcPr>
            <w:tcW w:w="714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indefinite-lived intangibles</w:t>
            </w:r>
          </w:p>
        </w:tc>
        <w:tc>
          <w:tcPr>
            <w:tcW w:w="180" w:type="dxa"/>
            <w:vAlign w:val="bottom"/>
            <w:tcBorders>
              <w:bottom w:val="single" w:sz="8" w:color="auto"/>
            </w:tcBorders>
            <w:shd w:val="clear" w:color="auto" w:fill="CCEEFF"/>
          </w:tcPr>
          <w:p>
            <w:pPr>
              <w:spacing w:after="0"/>
              <w:rPr>
                <w:sz w:val="19"/>
                <w:szCs w:val="19"/>
                <w:color w:val="auto"/>
              </w:rPr>
            </w:pPr>
          </w:p>
        </w:tc>
        <w:tc>
          <w:tcPr>
            <w:tcW w:w="1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58,474</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53,730</w:t>
            </w:r>
          </w:p>
        </w:tc>
      </w:tr>
      <w:tr>
        <w:trPr>
          <w:trHeight w:val="223"/>
        </w:trPr>
        <w:tc>
          <w:tcPr>
            <w:tcW w:w="7140" w:type="dxa"/>
            <w:vAlign w:val="bottom"/>
          </w:tcPr>
          <w:p>
            <w:pPr>
              <w:ind w:left="460"/>
              <w:spacing w:after="0"/>
              <w:rPr>
                <w:sz w:val="20"/>
                <w:szCs w:val="20"/>
                <w:color w:val="auto"/>
              </w:rPr>
            </w:pPr>
            <w:r>
              <w:rPr>
                <w:rFonts w:ascii="Arial" w:cs="Arial" w:eastAsia="Arial" w:hAnsi="Arial"/>
                <w:sz w:val="18"/>
                <w:szCs w:val="18"/>
                <w:color w:val="auto"/>
              </w:rPr>
              <w:t>Total assets</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504,880</w:t>
            </w:r>
          </w:p>
        </w:tc>
        <w:tc>
          <w:tcPr>
            <w:tcW w:w="100" w:type="dxa"/>
            <w:vAlign w:val="bottom"/>
          </w:tcPr>
          <w:p>
            <w:pPr>
              <w:spacing w:after="0"/>
              <w:rPr>
                <w:sz w:val="19"/>
                <w:szCs w:val="19"/>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530,297</w:t>
            </w:r>
          </w:p>
        </w:tc>
      </w:tr>
      <w:tr>
        <w:trPr>
          <w:trHeight w:val="20"/>
        </w:trPr>
        <w:tc>
          <w:tcPr>
            <w:tcW w:w="714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8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r>
      <w:tr>
        <w:trPr>
          <w:trHeight w:val="197"/>
        </w:trPr>
        <w:tc>
          <w:tcPr>
            <w:tcW w:w="7140" w:type="dxa"/>
            <w:vAlign w:val="bottom"/>
            <w:shd w:val="clear" w:color="auto" w:fill="CCEEFF"/>
          </w:tcPr>
          <w:p>
            <w:pPr>
              <w:ind w:left="20"/>
              <w:spacing w:after="0" w:line="196" w:lineRule="exact"/>
              <w:rPr>
                <w:sz w:val="20"/>
                <w:szCs w:val="20"/>
                <w:color w:val="auto"/>
              </w:rPr>
            </w:pPr>
            <w:r>
              <w:rPr>
                <w:rFonts w:ascii="Arial" w:cs="Arial" w:eastAsia="Arial" w:hAnsi="Arial"/>
                <w:sz w:val="18"/>
                <w:szCs w:val="18"/>
                <w:b w:val="1"/>
                <w:bCs w:val="1"/>
                <w:color w:val="auto"/>
              </w:rPr>
              <w:t>Liabilities and equity</w:t>
            </w:r>
          </w:p>
        </w:tc>
        <w:tc>
          <w:tcPr>
            <w:tcW w:w="180" w:type="dxa"/>
            <w:vAlign w:val="bottom"/>
            <w:shd w:val="clear" w:color="auto" w:fill="CCEEFF"/>
          </w:tcPr>
          <w:p>
            <w:pPr>
              <w:spacing w:after="0"/>
              <w:rPr>
                <w:sz w:val="17"/>
                <w:szCs w:val="17"/>
                <w:color w:val="auto"/>
              </w:rPr>
            </w:pPr>
          </w:p>
        </w:tc>
        <w:tc>
          <w:tcPr>
            <w:tcW w:w="18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800" w:type="dxa"/>
            <w:vAlign w:val="bottom"/>
            <w:shd w:val="clear" w:color="auto" w:fill="CCEEFF"/>
          </w:tcPr>
          <w:p>
            <w:pPr>
              <w:spacing w:after="0"/>
              <w:rPr>
                <w:sz w:val="17"/>
                <w:szCs w:val="17"/>
                <w:color w:val="auto"/>
              </w:rPr>
            </w:pPr>
          </w:p>
        </w:tc>
      </w:tr>
      <w:tr>
        <w:trPr>
          <w:trHeight w:val="229"/>
        </w:trPr>
        <w:tc>
          <w:tcPr>
            <w:tcW w:w="7140" w:type="dxa"/>
            <w:vAlign w:val="bottom"/>
          </w:tcPr>
          <w:p>
            <w:pPr>
              <w:ind w:left="20"/>
              <w:spacing w:after="0"/>
              <w:rPr>
                <w:sz w:val="20"/>
                <w:szCs w:val="20"/>
                <w:color w:val="auto"/>
              </w:rPr>
            </w:pPr>
            <w:r>
              <w:rPr>
                <w:rFonts w:ascii="Arial" w:cs="Arial" w:eastAsia="Arial" w:hAnsi="Arial"/>
                <w:sz w:val="18"/>
                <w:szCs w:val="18"/>
                <w:color w:val="auto"/>
              </w:rPr>
              <w:t>Current liabilities:</w:t>
            </w:r>
          </w:p>
        </w:tc>
        <w:tc>
          <w:tcPr>
            <w:tcW w:w="180" w:type="dxa"/>
            <w:vAlign w:val="bottom"/>
          </w:tcPr>
          <w:p>
            <w:pPr>
              <w:spacing w:after="0"/>
              <w:rPr>
                <w:sz w:val="19"/>
                <w:szCs w:val="19"/>
                <w:color w:val="auto"/>
              </w:rPr>
            </w:pPr>
          </w:p>
        </w:tc>
        <w:tc>
          <w:tcPr>
            <w:tcW w:w="1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800" w:type="dxa"/>
            <w:vAlign w:val="bottom"/>
          </w:tcPr>
          <w:p>
            <w:pPr>
              <w:spacing w:after="0"/>
              <w:rPr>
                <w:sz w:val="19"/>
                <w:szCs w:val="19"/>
                <w:color w:val="auto"/>
              </w:rPr>
            </w:pPr>
          </w:p>
        </w:tc>
      </w:tr>
      <w:tr>
        <w:trPr>
          <w:trHeight w:val="230"/>
        </w:trPr>
        <w:tc>
          <w:tcPr>
            <w:tcW w:w="71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Accounts payable</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12,754</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10,553</w:t>
            </w:r>
          </w:p>
        </w:tc>
      </w:tr>
      <w:tr>
        <w:trPr>
          <w:trHeight w:val="229"/>
        </w:trPr>
        <w:tc>
          <w:tcPr>
            <w:tcW w:w="7140" w:type="dxa"/>
            <w:vAlign w:val="bottom"/>
          </w:tcPr>
          <w:p>
            <w:pPr>
              <w:ind w:left="140"/>
              <w:spacing w:after="0"/>
              <w:rPr>
                <w:sz w:val="20"/>
                <w:szCs w:val="20"/>
                <w:color w:val="auto"/>
              </w:rPr>
            </w:pPr>
            <w:r>
              <w:rPr>
                <w:rFonts w:ascii="Arial" w:cs="Arial" w:eastAsia="Arial" w:hAnsi="Arial"/>
                <w:sz w:val="18"/>
                <w:szCs w:val="18"/>
                <w:color w:val="auto"/>
              </w:rPr>
              <w:t>Accrued wages and related liabilities</w:t>
            </w:r>
          </w:p>
        </w:tc>
        <w:tc>
          <w:tcPr>
            <w:tcW w:w="180" w:type="dxa"/>
            <w:vAlign w:val="bottom"/>
          </w:tcPr>
          <w:p>
            <w:pPr>
              <w:spacing w:after="0"/>
              <w:rPr>
                <w:sz w:val="19"/>
                <w:szCs w:val="19"/>
                <w:color w:val="auto"/>
              </w:rPr>
            </w:pPr>
          </w:p>
        </w:tc>
        <w:tc>
          <w:tcPr>
            <w:tcW w:w="1820" w:type="dxa"/>
            <w:vAlign w:val="bottom"/>
          </w:tcPr>
          <w:p>
            <w:pPr>
              <w:jc w:val="right"/>
              <w:spacing w:after="0"/>
              <w:rPr>
                <w:sz w:val="20"/>
                <w:szCs w:val="20"/>
                <w:color w:val="auto"/>
              </w:rPr>
            </w:pPr>
            <w:r>
              <w:rPr>
                <w:rFonts w:ascii="Arial" w:cs="Arial" w:eastAsia="Arial" w:hAnsi="Arial"/>
                <w:sz w:val="18"/>
                <w:szCs w:val="18"/>
                <w:color w:val="auto"/>
              </w:rPr>
              <w:t>24,758</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800" w:type="dxa"/>
            <w:vAlign w:val="bottom"/>
          </w:tcPr>
          <w:p>
            <w:pPr>
              <w:jc w:val="right"/>
              <w:spacing w:after="0"/>
              <w:rPr>
                <w:sz w:val="20"/>
                <w:szCs w:val="20"/>
                <w:color w:val="auto"/>
              </w:rPr>
            </w:pPr>
            <w:r>
              <w:rPr>
                <w:rFonts w:ascii="Arial" w:cs="Arial" w:eastAsia="Arial" w:hAnsi="Arial"/>
                <w:sz w:val="18"/>
                <w:szCs w:val="18"/>
                <w:color w:val="auto"/>
              </w:rPr>
              <w:t>23,480</w:t>
            </w:r>
          </w:p>
        </w:tc>
      </w:tr>
      <w:tr>
        <w:trPr>
          <w:trHeight w:val="230"/>
        </w:trPr>
        <w:tc>
          <w:tcPr>
            <w:tcW w:w="71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Operating lease liabilities—current</w:t>
            </w:r>
          </w:p>
        </w:tc>
        <w:tc>
          <w:tcPr>
            <w:tcW w:w="180" w:type="dxa"/>
            <w:vAlign w:val="bottom"/>
            <w:shd w:val="clear" w:color="auto" w:fill="CCEEFF"/>
          </w:tcPr>
          <w:p>
            <w:pPr>
              <w:spacing w:after="0"/>
              <w:rPr>
                <w:sz w:val="19"/>
                <w:szCs w:val="19"/>
                <w:color w:val="auto"/>
              </w:rPr>
            </w:pPr>
          </w:p>
        </w:tc>
        <w:tc>
          <w:tcPr>
            <w:tcW w:w="1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15,948</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16,118</w:t>
            </w:r>
          </w:p>
        </w:tc>
      </w:tr>
      <w:tr>
        <w:trPr>
          <w:trHeight w:val="230"/>
        </w:trPr>
        <w:tc>
          <w:tcPr>
            <w:tcW w:w="714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Other accrued liabilities</w:t>
            </w:r>
          </w:p>
        </w:tc>
        <w:tc>
          <w:tcPr>
            <w:tcW w:w="180" w:type="dxa"/>
            <w:vAlign w:val="bottom"/>
            <w:tcBorders>
              <w:bottom w:val="single" w:sz="8" w:color="auto"/>
            </w:tcBorders>
          </w:tcPr>
          <w:p>
            <w:pPr>
              <w:spacing w:after="0"/>
              <w:rPr>
                <w:sz w:val="19"/>
                <w:szCs w:val="19"/>
                <w:color w:val="auto"/>
              </w:rPr>
            </w:pPr>
          </w:p>
        </w:tc>
        <w:tc>
          <w:tcPr>
            <w:tcW w:w="1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19,299</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21,484</w:t>
            </w:r>
          </w:p>
        </w:tc>
      </w:tr>
      <w:tr>
        <w:trPr>
          <w:trHeight w:val="223"/>
        </w:trPr>
        <w:tc>
          <w:tcPr>
            <w:tcW w:w="7140" w:type="dxa"/>
            <w:vAlign w:val="bottom"/>
            <w:shd w:val="clear" w:color="auto" w:fill="CCEEFF"/>
          </w:tcPr>
          <w:p>
            <w:pPr>
              <w:ind w:left="480"/>
              <w:spacing w:after="0"/>
              <w:rPr>
                <w:sz w:val="20"/>
                <w:szCs w:val="20"/>
                <w:color w:val="auto"/>
              </w:rPr>
            </w:pPr>
            <w:r>
              <w:rPr>
                <w:rFonts w:ascii="Arial" w:cs="Arial" w:eastAsia="Arial" w:hAnsi="Arial"/>
                <w:sz w:val="18"/>
                <w:szCs w:val="18"/>
                <w:color w:val="auto"/>
              </w:rPr>
              <w:t>Total current liabilities</w:t>
            </w:r>
          </w:p>
        </w:tc>
        <w:tc>
          <w:tcPr>
            <w:tcW w:w="180" w:type="dxa"/>
            <w:vAlign w:val="bottom"/>
            <w:shd w:val="clear" w:color="auto" w:fill="CCEEFF"/>
          </w:tcPr>
          <w:p>
            <w:pPr>
              <w:spacing w:after="0"/>
              <w:rPr>
                <w:sz w:val="19"/>
                <w:szCs w:val="19"/>
                <w:color w:val="auto"/>
              </w:rPr>
            </w:pPr>
          </w:p>
        </w:tc>
        <w:tc>
          <w:tcPr>
            <w:tcW w:w="1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72,759</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71,635</w:t>
            </w:r>
          </w:p>
        </w:tc>
      </w:tr>
      <w:tr>
        <w:trPr>
          <w:trHeight w:val="230"/>
        </w:trPr>
        <w:tc>
          <w:tcPr>
            <w:tcW w:w="7140" w:type="dxa"/>
            <w:vAlign w:val="bottom"/>
          </w:tcPr>
          <w:p>
            <w:pPr>
              <w:ind w:left="20"/>
              <w:spacing w:after="0"/>
              <w:rPr>
                <w:sz w:val="20"/>
                <w:szCs w:val="20"/>
                <w:color w:val="auto"/>
              </w:rPr>
            </w:pPr>
            <w:r>
              <w:rPr>
                <w:rFonts w:ascii="Arial" w:cs="Arial" w:eastAsia="Arial" w:hAnsi="Arial"/>
                <w:sz w:val="18"/>
                <w:szCs w:val="18"/>
                <w:color w:val="auto"/>
              </w:rPr>
              <w:t>Long-term operating lease liabilities—less current portion</w:t>
            </w:r>
          </w:p>
        </w:tc>
        <w:tc>
          <w:tcPr>
            <w:tcW w:w="180" w:type="dxa"/>
            <w:vAlign w:val="bottom"/>
          </w:tcPr>
          <w:p>
            <w:pPr>
              <w:spacing w:after="0"/>
              <w:rPr>
                <w:sz w:val="19"/>
                <w:szCs w:val="19"/>
                <w:color w:val="auto"/>
              </w:rPr>
            </w:pPr>
          </w:p>
        </w:tc>
        <w:tc>
          <w:tcPr>
            <w:tcW w:w="1820" w:type="dxa"/>
            <w:vAlign w:val="bottom"/>
          </w:tcPr>
          <w:p>
            <w:pPr>
              <w:jc w:val="right"/>
              <w:spacing w:after="0"/>
              <w:rPr>
                <w:sz w:val="20"/>
                <w:szCs w:val="20"/>
                <w:color w:val="auto"/>
              </w:rPr>
            </w:pPr>
            <w:r>
              <w:rPr>
                <w:rFonts w:ascii="Arial" w:cs="Arial" w:eastAsia="Arial" w:hAnsi="Arial"/>
                <w:sz w:val="18"/>
                <w:szCs w:val="18"/>
                <w:color w:val="auto"/>
              </w:rPr>
              <w:t>249,421</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800" w:type="dxa"/>
            <w:vAlign w:val="bottom"/>
          </w:tcPr>
          <w:p>
            <w:pPr>
              <w:jc w:val="right"/>
              <w:spacing w:after="0"/>
              <w:rPr>
                <w:sz w:val="20"/>
                <w:szCs w:val="20"/>
                <w:color w:val="auto"/>
              </w:rPr>
            </w:pPr>
            <w:r>
              <w:rPr>
                <w:rFonts w:ascii="Arial" w:cs="Arial" w:eastAsia="Arial" w:hAnsi="Arial"/>
                <w:sz w:val="18"/>
                <w:szCs w:val="18"/>
                <w:color w:val="auto"/>
              </w:rPr>
              <w:t>287,753</w:t>
            </w:r>
          </w:p>
        </w:tc>
      </w:tr>
      <w:tr>
        <w:trPr>
          <w:trHeight w:val="230"/>
        </w:trPr>
        <w:tc>
          <w:tcPr>
            <w:tcW w:w="714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long-term liabilities</w:t>
            </w:r>
          </w:p>
        </w:tc>
        <w:tc>
          <w:tcPr>
            <w:tcW w:w="180" w:type="dxa"/>
            <w:vAlign w:val="bottom"/>
            <w:shd w:val="clear" w:color="auto" w:fill="CCEEFF"/>
          </w:tcPr>
          <w:p>
            <w:pPr>
              <w:spacing w:after="0"/>
              <w:rPr>
                <w:sz w:val="19"/>
                <w:szCs w:val="19"/>
                <w:color w:val="auto"/>
              </w:rPr>
            </w:pPr>
          </w:p>
        </w:tc>
        <w:tc>
          <w:tcPr>
            <w:tcW w:w="1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6,098</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5,293</w:t>
            </w:r>
          </w:p>
        </w:tc>
      </w:tr>
      <w:tr>
        <w:trPr>
          <w:trHeight w:val="229"/>
        </w:trPr>
        <w:tc>
          <w:tcPr>
            <w:tcW w:w="714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Long-term debt, net</w:t>
            </w:r>
          </w:p>
        </w:tc>
        <w:tc>
          <w:tcPr>
            <w:tcW w:w="180" w:type="dxa"/>
            <w:vAlign w:val="bottom"/>
            <w:tcBorders>
              <w:bottom w:val="single" w:sz="8" w:color="auto"/>
            </w:tcBorders>
          </w:tcPr>
          <w:p>
            <w:pPr>
              <w:spacing w:after="0"/>
              <w:rPr>
                <w:sz w:val="19"/>
                <w:szCs w:val="19"/>
                <w:color w:val="auto"/>
              </w:rPr>
            </w:pPr>
          </w:p>
        </w:tc>
        <w:tc>
          <w:tcPr>
            <w:tcW w:w="1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55,762</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51,372</w:t>
            </w:r>
          </w:p>
        </w:tc>
      </w:tr>
      <w:tr>
        <w:trPr>
          <w:trHeight w:val="223"/>
        </w:trPr>
        <w:tc>
          <w:tcPr>
            <w:tcW w:w="7140" w:type="dxa"/>
            <w:vAlign w:val="bottom"/>
            <w:shd w:val="clear" w:color="auto" w:fill="CCEEFF"/>
          </w:tcPr>
          <w:p>
            <w:pPr>
              <w:ind w:left="480"/>
              <w:spacing w:after="0"/>
              <w:rPr>
                <w:sz w:val="20"/>
                <w:szCs w:val="20"/>
                <w:color w:val="auto"/>
              </w:rPr>
            </w:pPr>
            <w:r>
              <w:rPr>
                <w:rFonts w:ascii="Arial" w:cs="Arial" w:eastAsia="Arial" w:hAnsi="Arial"/>
                <w:sz w:val="18"/>
                <w:szCs w:val="18"/>
                <w:color w:val="auto"/>
              </w:rPr>
              <w:t>Total liabilities</w:t>
            </w:r>
          </w:p>
        </w:tc>
        <w:tc>
          <w:tcPr>
            <w:tcW w:w="180" w:type="dxa"/>
            <w:vAlign w:val="bottom"/>
            <w:tcBorders>
              <w:bottom w:val="single" w:sz="8" w:color="auto"/>
            </w:tcBorders>
            <w:shd w:val="clear" w:color="auto" w:fill="CCEEFF"/>
          </w:tcPr>
          <w:p>
            <w:pPr>
              <w:spacing w:after="0"/>
              <w:rPr>
                <w:sz w:val="19"/>
                <w:szCs w:val="19"/>
                <w:color w:val="auto"/>
              </w:rPr>
            </w:pPr>
          </w:p>
        </w:tc>
        <w:tc>
          <w:tcPr>
            <w:tcW w:w="1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384,040</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416,053</w:t>
            </w:r>
          </w:p>
        </w:tc>
      </w:tr>
      <w:tr>
        <w:trPr>
          <w:trHeight w:val="209"/>
        </w:trPr>
        <w:tc>
          <w:tcPr>
            <w:tcW w:w="7140" w:type="dxa"/>
            <w:vAlign w:val="bottom"/>
          </w:tcPr>
          <w:p>
            <w:pPr>
              <w:ind w:left="20"/>
              <w:spacing w:after="0"/>
              <w:rPr>
                <w:sz w:val="20"/>
                <w:szCs w:val="20"/>
                <w:color w:val="auto"/>
              </w:rPr>
            </w:pPr>
            <w:r>
              <w:rPr>
                <w:rFonts w:ascii="Arial" w:cs="Arial" w:eastAsia="Arial" w:hAnsi="Arial"/>
                <w:sz w:val="18"/>
                <w:szCs w:val="18"/>
                <w:color w:val="auto"/>
              </w:rPr>
              <w:t>Commitments and contingencies</w:t>
            </w:r>
          </w:p>
        </w:tc>
        <w:tc>
          <w:tcPr>
            <w:tcW w:w="18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0" w:type="dxa"/>
            <w:vAlign w:val="bottom"/>
          </w:tcPr>
          <w:p>
            <w:pPr>
              <w:spacing w:after="0"/>
              <w:rPr>
                <w:sz w:val="18"/>
                <w:szCs w:val="18"/>
                <w:color w:val="auto"/>
              </w:rPr>
            </w:pPr>
          </w:p>
        </w:tc>
      </w:tr>
      <w:tr>
        <w:trPr>
          <w:trHeight w:val="230"/>
        </w:trPr>
        <w:tc>
          <w:tcPr>
            <w:tcW w:w="7140" w:type="dxa"/>
            <w:vAlign w:val="bottom"/>
            <w:shd w:val="clear" w:color="auto" w:fill="CCEEFF"/>
          </w:tcPr>
          <w:p>
            <w:pPr>
              <w:ind w:left="20"/>
              <w:spacing w:after="0"/>
              <w:rPr>
                <w:sz w:val="20"/>
                <w:szCs w:val="20"/>
                <w:color w:val="auto"/>
              </w:rPr>
            </w:pPr>
            <w:r>
              <w:rPr>
                <w:rFonts w:ascii="Arial" w:cs="Arial" w:eastAsia="Arial" w:hAnsi="Arial"/>
                <w:sz w:val="18"/>
                <w:szCs w:val="18"/>
                <w:color w:val="auto"/>
              </w:rPr>
              <w:t>Equity:</w:t>
            </w:r>
          </w:p>
        </w:tc>
        <w:tc>
          <w:tcPr>
            <w:tcW w:w="180" w:type="dxa"/>
            <w:vAlign w:val="bottom"/>
            <w:shd w:val="clear" w:color="auto" w:fill="CCEEFF"/>
          </w:tcPr>
          <w:p>
            <w:pPr>
              <w:spacing w:after="0"/>
              <w:rPr>
                <w:sz w:val="19"/>
                <w:szCs w:val="19"/>
                <w:color w:val="auto"/>
              </w:rPr>
            </w:pPr>
          </w:p>
        </w:tc>
        <w:tc>
          <w:tcPr>
            <w:tcW w:w="18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800" w:type="dxa"/>
            <w:vAlign w:val="bottom"/>
            <w:shd w:val="clear" w:color="auto" w:fill="CCEEFF"/>
          </w:tcPr>
          <w:p>
            <w:pPr>
              <w:spacing w:after="0"/>
              <w:rPr>
                <w:sz w:val="19"/>
                <w:szCs w:val="19"/>
                <w:color w:val="auto"/>
              </w:rPr>
            </w:pPr>
          </w:p>
        </w:tc>
      </w:tr>
      <w:tr>
        <w:trPr>
          <w:trHeight w:val="175"/>
        </w:trPr>
        <w:tc>
          <w:tcPr>
            <w:tcW w:w="7140" w:type="dxa"/>
            <w:vAlign w:val="bottom"/>
          </w:tcPr>
          <w:p>
            <w:pPr>
              <w:ind w:left="140"/>
              <w:spacing w:after="0" w:line="176" w:lineRule="exact"/>
              <w:rPr>
                <w:sz w:val="20"/>
                <w:szCs w:val="20"/>
                <w:color w:val="auto"/>
              </w:rPr>
            </w:pPr>
            <w:r>
              <w:rPr>
                <w:rFonts w:ascii="Arial" w:cs="Arial" w:eastAsia="Arial" w:hAnsi="Arial"/>
                <w:sz w:val="18"/>
                <w:szCs w:val="18"/>
                <w:color w:val="auto"/>
                <w:w w:val="91"/>
              </w:rPr>
              <w:t>Common stock, $0.001 par value; 100,000 shares authorized; 30,146 and 29,665 shares issued</w:t>
            </w:r>
          </w:p>
        </w:tc>
        <w:tc>
          <w:tcPr>
            <w:tcW w:w="180" w:type="dxa"/>
            <w:vAlign w:val="bottom"/>
          </w:tcPr>
          <w:p>
            <w:pPr>
              <w:spacing w:after="0"/>
              <w:rPr>
                <w:sz w:val="15"/>
                <w:szCs w:val="15"/>
                <w:color w:val="auto"/>
              </w:rPr>
            </w:pPr>
          </w:p>
        </w:tc>
        <w:tc>
          <w:tcPr>
            <w:tcW w:w="18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800" w:type="dxa"/>
            <w:vAlign w:val="bottom"/>
          </w:tcPr>
          <w:p>
            <w:pPr>
              <w:spacing w:after="0"/>
              <w:rPr>
                <w:sz w:val="15"/>
                <w:szCs w:val="15"/>
                <w:color w:val="auto"/>
              </w:rPr>
            </w:pPr>
          </w:p>
        </w:tc>
      </w:tr>
      <w:tr>
        <w:trPr>
          <w:trHeight w:val="188"/>
        </w:trPr>
        <w:tc>
          <w:tcPr>
            <w:tcW w:w="7140" w:type="dxa"/>
            <w:vAlign w:val="bottom"/>
          </w:tcPr>
          <w:p>
            <w:pPr>
              <w:ind w:left="140"/>
              <w:spacing w:after="0" w:line="189" w:lineRule="exact"/>
              <w:rPr>
                <w:sz w:val="20"/>
                <w:szCs w:val="20"/>
                <w:color w:val="auto"/>
              </w:rPr>
            </w:pPr>
            <w:r>
              <w:rPr>
                <w:rFonts w:ascii="Arial" w:cs="Arial" w:eastAsia="Arial" w:hAnsi="Arial"/>
                <w:sz w:val="18"/>
                <w:szCs w:val="18"/>
                <w:color w:val="auto"/>
                <w:w w:val="90"/>
              </w:rPr>
              <w:t>and outstanding, respectively, at September 30, 2022; and 28,826 and 28,499 shares issued and</w:t>
            </w:r>
          </w:p>
        </w:tc>
        <w:tc>
          <w:tcPr>
            <w:tcW w:w="180" w:type="dxa"/>
            <w:vAlign w:val="bottom"/>
          </w:tcPr>
          <w:p>
            <w:pPr>
              <w:spacing w:after="0"/>
              <w:rPr>
                <w:sz w:val="16"/>
                <w:szCs w:val="16"/>
                <w:color w:val="auto"/>
              </w:rPr>
            </w:pPr>
          </w:p>
        </w:tc>
        <w:tc>
          <w:tcPr>
            <w:tcW w:w="1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800" w:type="dxa"/>
            <w:vAlign w:val="bottom"/>
          </w:tcPr>
          <w:p>
            <w:pPr>
              <w:spacing w:after="0"/>
              <w:rPr>
                <w:sz w:val="16"/>
                <w:szCs w:val="16"/>
                <w:color w:val="auto"/>
              </w:rPr>
            </w:pPr>
          </w:p>
        </w:tc>
      </w:tr>
      <w:tr>
        <w:trPr>
          <w:trHeight w:val="230"/>
        </w:trPr>
        <w:tc>
          <w:tcPr>
            <w:tcW w:w="7140" w:type="dxa"/>
            <w:vAlign w:val="bottom"/>
          </w:tcPr>
          <w:p>
            <w:pPr>
              <w:ind w:left="140"/>
              <w:spacing w:after="0"/>
              <w:rPr>
                <w:sz w:val="20"/>
                <w:szCs w:val="20"/>
                <w:color w:val="auto"/>
              </w:rPr>
            </w:pPr>
            <w:r>
              <w:rPr>
                <w:rFonts w:ascii="Arial" w:cs="Arial" w:eastAsia="Arial" w:hAnsi="Arial"/>
                <w:sz w:val="18"/>
                <w:szCs w:val="18"/>
                <w:color w:val="auto"/>
              </w:rPr>
              <w:t>outstanding, respectively, at December 31, 2021</w:t>
            </w:r>
          </w:p>
        </w:tc>
        <w:tc>
          <w:tcPr>
            <w:tcW w:w="180" w:type="dxa"/>
            <w:vAlign w:val="bottom"/>
          </w:tcPr>
          <w:p>
            <w:pPr>
              <w:spacing w:after="0"/>
              <w:rPr>
                <w:sz w:val="20"/>
                <w:szCs w:val="20"/>
                <w:color w:val="auto"/>
              </w:rPr>
            </w:pPr>
          </w:p>
        </w:tc>
        <w:tc>
          <w:tcPr>
            <w:tcW w:w="1820" w:type="dxa"/>
            <w:vAlign w:val="bottom"/>
          </w:tcPr>
          <w:p>
            <w:pPr>
              <w:jc w:val="right"/>
              <w:spacing w:after="0"/>
              <w:rPr>
                <w:sz w:val="20"/>
                <w:szCs w:val="20"/>
                <w:color w:val="auto"/>
              </w:rPr>
            </w:pPr>
            <w:r>
              <w:rPr>
                <w:rFonts w:ascii="Arial" w:cs="Arial" w:eastAsia="Arial" w:hAnsi="Arial"/>
                <w:sz w:val="18"/>
                <w:szCs w:val="18"/>
                <w:color w:val="auto"/>
              </w:rPr>
              <w:t>29</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800" w:type="dxa"/>
            <w:vAlign w:val="bottom"/>
          </w:tcPr>
          <w:p>
            <w:pPr>
              <w:jc w:val="right"/>
              <w:spacing w:after="0"/>
              <w:rPr>
                <w:sz w:val="20"/>
                <w:szCs w:val="20"/>
                <w:color w:val="auto"/>
              </w:rPr>
            </w:pPr>
            <w:r>
              <w:rPr>
                <w:rFonts w:ascii="Arial" w:cs="Arial" w:eastAsia="Arial" w:hAnsi="Arial"/>
                <w:sz w:val="18"/>
                <w:szCs w:val="18"/>
                <w:color w:val="auto"/>
              </w:rPr>
              <w:t>28</w:t>
            </w:r>
          </w:p>
        </w:tc>
      </w:tr>
      <w:tr>
        <w:trPr>
          <w:trHeight w:val="229"/>
        </w:trPr>
        <w:tc>
          <w:tcPr>
            <w:tcW w:w="71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Additional paid-in capital</w:t>
            </w:r>
          </w:p>
        </w:tc>
        <w:tc>
          <w:tcPr>
            <w:tcW w:w="180" w:type="dxa"/>
            <w:vAlign w:val="bottom"/>
            <w:shd w:val="clear" w:color="auto" w:fill="CCEEFF"/>
          </w:tcPr>
          <w:p>
            <w:pPr>
              <w:spacing w:after="0"/>
              <w:rPr>
                <w:sz w:val="19"/>
                <w:szCs w:val="19"/>
                <w:color w:val="auto"/>
              </w:rPr>
            </w:pPr>
          </w:p>
        </w:tc>
        <w:tc>
          <w:tcPr>
            <w:tcW w:w="1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98,634</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95,595</w:t>
            </w:r>
          </w:p>
        </w:tc>
      </w:tr>
      <w:tr>
        <w:trPr>
          <w:trHeight w:val="230"/>
        </w:trPr>
        <w:tc>
          <w:tcPr>
            <w:tcW w:w="7140" w:type="dxa"/>
            <w:vAlign w:val="bottom"/>
          </w:tcPr>
          <w:p>
            <w:pPr>
              <w:ind w:left="140"/>
              <w:spacing w:after="0"/>
              <w:rPr>
                <w:sz w:val="20"/>
                <w:szCs w:val="20"/>
                <w:color w:val="auto"/>
              </w:rPr>
            </w:pPr>
            <w:r>
              <w:rPr>
                <w:rFonts w:ascii="Arial" w:cs="Arial" w:eastAsia="Arial" w:hAnsi="Arial"/>
                <w:sz w:val="18"/>
                <w:szCs w:val="18"/>
                <w:color w:val="auto"/>
              </w:rPr>
              <w:t>Retained earnings</w:t>
            </w:r>
          </w:p>
        </w:tc>
        <w:tc>
          <w:tcPr>
            <w:tcW w:w="180" w:type="dxa"/>
            <w:vAlign w:val="bottom"/>
          </w:tcPr>
          <w:p>
            <w:pPr>
              <w:spacing w:after="0"/>
              <w:rPr>
                <w:sz w:val="19"/>
                <w:szCs w:val="19"/>
                <w:color w:val="auto"/>
              </w:rPr>
            </w:pPr>
          </w:p>
        </w:tc>
        <w:tc>
          <w:tcPr>
            <w:tcW w:w="1820" w:type="dxa"/>
            <w:vAlign w:val="bottom"/>
          </w:tcPr>
          <w:p>
            <w:pPr>
              <w:jc w:val="right"/>
              <w:spacing w:after="0"/>
              <w:rPr>
                <w:sz w:val="20"/>
                <w:szCs w:val="20"/>
                <w:color w:val="auto"/>
              </w:rPr>
            </w:pPr>
            <w:r>
              <w:rPr>
                <w:rFonts w:ascii="Arial" w:cs="Arial" w:eastAsia="Arial" w:hAnsi="Arial"/>
                <w:sz w:val="18"/>
                <w:szCs w:val="18"/>
                <w:color w:val="auto"/>
              </w:rPr>
              <w:t>17,810</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800" w:type="dxa"/>
            <w:vAlign w:val="bottom"/>
          </w:tcPr>
          <w:p>
            <w:pPr>
              <w:jc w:val="right"/>
              <w:spacing w:after="0"/>
              <w:rPr>
                <w:sz w:val="20"/>
                <w:szCs w:val="20"/>
                <w:color w:val="auto"/>
              </w:rPr>
            </w:pPr>
            <w:r>
              <w:rPr>
                <w:rFonts w:ascii="Arial" w:cs="Arial" w:eastAsia="Arial" w:hAnsi="Arial"/>
                <w:sz w:val="18"/>
                <w:szCs w:val="18"/>
                <w:color w:val="auto"/>
              </w:rPr>
              <w:t>14,641</w:t>
            </w:r>
          </w:p>
        </w:tc>
      </w:tr>
      <w:tr>
        <w:trPr>
          <w:trHeight w:val="230"/>
        </w:trPr>
        <w:tc>
          <w:tcPr>
            <w:tcW w:w="71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Treasury stock, at cost, 3 shares at September 30, 2022 and December 31, 2021</w:t>
            </w:r>
          </w:p>
        </w:tc>
        <w:tc>
          <w:tcPr>
            <w:tcW w:w="180" w:type="dxa"/>
            <w:vAlign w:val="bottom"/>
            <w:tcBorders>
              <w:bottom w:val="single" w:sz="8" w:color="auto"/>
            </w:tcBorders>
            <w:shd w:val="clear" w:color="auto" w:fill="CCEEFF"/>
          </w:tcPr>
          <w:p>
            <w:pPr>
              <w:spacing w:after="0"/>
              <w:rPr>
                <w:sz w:val="19"/>
                <w:szCs w:val="19"/>
                <w:color w:val="auto"/>
              </w:rPr>
            </w:pPr>
          </w:p>
        </w:tc>
        <w:tc>
          <w:tcPr>
            <w:tcW w:w="1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w:t>
            </w:r>
          </w:p>
        </w:tc>
      </w:tr>
      <w:tr>
        <w:trPr>
          <w:trHeight w:val="223"/>
        </w:trPr>
        <w:tc>
          <w:tcPr>
            <w:tcW w:w="7140" w:type="dxa"/>
            <w:vAlign w:val="bottom"/>
            <w:tcBorders>
              <w:bottom w:val="single" w:sz="8" w:color="CCEEFF"/>
            </w:tcBorders>
          </w:tcPr>
          <w:p>
            <w:pPr>
              <w:ind w:left="260"/>
              <w:spacing w:after="0"/>
              <w:rPr>
                <w:sz w:val="20"/>
                <w:szCs w:val="20"/>
                <w:color w:val="auto"/>
              </w:rPr>
            </w:pPr>
            <w:r>
              <w:rPr>
                <w:rFonts w:ascii="Arial" w:cs="Arial" w:eastAsia="Arial" w:hAnsi="Arial"/>
                <w:sz w:val="18"/>
                <w:szCs w:val="18"/>
                <w:color w:val="auto"/>
              </w:rPr>
              <w:t>Total Pennant Group, Inc. stockholders’ equity</w:t>
            </w:r>
          </w:p>
        </w:tc>
        <w:tc>
          <w:tcPr>
            <w:tcW w:w="180" w:type="dxa"/>
            <w:vAlign w:val="bottom"/>
            <w:tcBorders>
              <w:bottom w:val="single" w:sz="8" w:color="auto"/>
            </w:tcBorders>
          </w:tcPr>
          <w:p>
            <w:pPr>
              <w:spacing w:after="0"/>
              <w:rPr>
                <w:sz w:val="19"/>
                <w:szCs w:val="19"/>
                <w:color w:val="auto"/>
              </w:rPr>
            </w:pPr>
          </w:p>
        </w:tc>
        <w:tc>
          <w:tcPr>
            <w:tcW w:w="1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116,408</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110,199</w:t>
            </w:r>
          </w:p>
        </w:tc>
      </w:tr>
      <w:tr>
        <w:trPr>
          <w:trHeight w:val="223"/>
        </w:trPr>
        <w:tc>
          <w:tcPr>
            <w:tcW w:w="7140" w:type="dxa"/>
            <w:vAlign w:val="bottom"/>
            <w:shd w:val="clear" w:color="auto" w:fill="CCEEFF"/>
          </w:tcPr>
          <w:p>
            <w:pPr>
              <w:ind w:left="260"/>
              <w:spacing w:after="0"/>
              <w:rPr>
                <w:sz w:val="20"/>
                <w:szCs w:val="20"/>
                <w:color w:val="auto"/>
              </w:rPr>
            </w:pPr>
            <w:r>
              <w:rPr>
                <w:rFonts w:ascii="Arial" w:cs="Arial" w:eastAsia="Arial" w:hAnsi="Arial"/>
                <w:sz w:val="18"/>
                <w:szCs w:val="18"/>
                <w:color w:val="auto"/>
              </w:rPr>
              <w:t>Noncontrolling interest</w:t>
            </w:r>
          </w:p>
        </w:tc>
        <w:tc>
          <w:tcPr>
            <w:tcW w:w="180" w:type="dxa"/>
            <w:vAlign w:val="bottom"/>
            <w:tcBorders>
              <w:bottom w:val="single" w:sz="8" w:color="auto"/>
            </w:tcBorders>
            <w:shd w:val="clear" w:color="auto" w:fill="CCEEFF"/>
          </w:tcPr>
          <w:p>
            <w:pPr>
              <w:spacing w:after="0"/>
              <w:rPr>
                <w:sz w:val="19"/>
                <w:szCs w:val="19"/>
                <w:color w:val="auto"/>
              </w:rPr>
            </w:pPr>
          </w:p>
        </w:tc>
        <w:tc>
          <w:tcPr>
            <w:tcW w:w="1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4,432</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4,045</w:t>
            </w:r>
          </w:p>
        </w:tc>
      </w:tr>
      <w:tr>
        <w:trPr>
          <w:trHeight w:val="223"/>
        </w:trPr>
        <w:tc>
          <w:tcPr>
            <w:tcW w:w="7140" w:type="dxa"/>
            <w:vAlign w:val="bottom"/>
            <w:tcBorders>
              <w:bottom w:val="single" w:sz="8" w:color="CCEEFF"/>
            </w:tcBorders>
          </w:tcPr>
          <w:p>
            <w:pPr>
              <w:ind w:left="260"/>
              <w:spacing w:after="0"/>
              <w:rPr>
                <w:sz w:val="20"/>
                <w:szCs w:val="20"/>
                <w:color w:val="auto"/>
              </w:rPr>
            </w:pPr>
            <w:r>
              <w:rPr>
                <w:rFonts w:ascii="Arial" w:cs="Arial" w:eastAsia="Arial" w:hAnsi="Arial"/>
                <w:sz w:val="18"/>
                <w:szCs w:val="18"/>
                <w:color w:val="auto"/>
              </w:rPr>
              <w:t>Total equity</w:t>
            </w:r>
          </w:p>
        </w:tc>
        <w:tc>
          <w:tcPr>
            <w:tcW w:w="180" w:type="dxa"/>
            <w:vAlign w:val="bottom"/>
            <w:tcBorders>
              <w:bottom w:val="single" w:sz="8" w:color="auto"/>
            </w:tcBorders>
          </w:tcPr>
          <w:p>
            <w:pPr>
              <w:spacing w:after="0"/>
              <w:rPr>
                <w:sz w:val="19"/>
                <w:szCs w:val="19"/>
                <w:color w:val="auto"/>
              </w:rPr>
            </w:pPr>
          </w:p>
        </w:tc>
        <w:tc>
          <w:tcPr>
            <w:tcW w:w="1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120,840</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114,244</w:t>
            </w:r>
          </w:p>
        </w:tc>
      </w:tr>
      <w:tr>
        <w:trPr>
          <w:trHeight w:val="248"/>
        </w:trPr>
        <w:tc>
          <w:tcPr>
            <w:tcW w:w="7140" w:type="dxa"/>
            <w:vAlign w:val="bottom"/>
            <w:tcBorders>
              <w:bottom w:val="single" w:sz="8" w:color="CCEEFF"/>
            </w:tcBorders>
            <w:shd w:val="clear" w:color="auto" w:fill="CCEEFF"/>
          </w:tcPr>
          <w:p>
            <w:pPr>
              <w:ind w:left="460"/>
              <w:spacing w:after="0"/>
              <w:rPr>
                <w:sz w:val="20"/>
                <w:szCs w:val="20"/>
                <w:color w:val="auto"/>
              </w:rPr>
            </w:pPr>
            <w:r>
              <w:rPr>
                <w:rFonts w:ascii="Arial" w:cs="Arial" w:eastAsia="Arial" w:hAnsi="Arial"/>
                <w:sz w:val="18"/>
                <w:szCs w:val="18"/>
                <w:color w:val="auto"/>
              </w:rPr>
              <w:t>Total liabilities and equity</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504,880</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530,297</w:t>
            </w:r>
          </w:p>
        </w:tc>
      </w:tr>
      <w:tr>
        <w:trPr>
          <w:trHeight w:val="20"/>
        </w:trPr>
        <w:tc>
          <w:tcPr>
            <w:tcW w:w="71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8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800" w:type="dxa"/>
            <w:vAlign w:val="bottom"/>
            <w:tcBorders>
              <w:top w:val="single" w:sz="8" w:color="CCEEFF"/>
              <w:bottom w:val="single" w:sz="8" w:color="auto"/>
            </w:tcBorders>
          </w:tcPr>
          <w:p>
            <w:pPr>
              <w:spacing w:after="0" w:line="20" w:lineRule="exact"/>
              <w:rPr>
                <w:sz w:val="1"/>
                <w:szCs w:val="1"/>
                <w:color w:val="auto"/>
              </w:rPr>
            </w:pPr>
          </w:p>
        </w:tc>
      </w:tr>
    </w:tbl>
    <w:p>
      <w:pPr>
        <w:spacing w:after="0" w:line="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8" w:right="339" w:bottom="1440" w:gutter="0" w:footer="0" w:header="0"/>
        </w:sectPr>
      </w:pPr>
    </w:p>
    <w:bookmarkStart w:id="3" w:name="page4"/>
    <w:bookmarkEnd w:id="3"/>
    <w:p>
      <w:pPr>
        <w:spacing w:after="0"/>
        <w:rPr>
          <w:sz w:val="20"/>
          <w:szCs w:val="20"/>
          <w:color w:val="auto"/>
        </w:rPr>
      </w:pPr>
      <w:r>
        <w:rPr>
          <w:rFonts w:ascii="Arial" w:cs="Arial" w:eastAsia="Arial" w:hAnsi="Arial"/>
          <w:sz w:val="18"/>
          <w:szCs w:val="18"/>
          <w:u w:val="single" w:color="auto"/>
          <w:color w:val="0000FF"/>
        </w:rPr>
        <w:t>Table of Contents</w:t>
      </w:r>
    </w:p>
    <w:p>
      <w:pPr>
        <w:spacing w:after="0" w:line="316"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THE PENNANT GROUP, INC.</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CONDENSED CONSOLIDATED STATEMENTS OF INCOME</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(unaudited, in thousands, except for per-share amounts)</w:t>
      </w:r>
    </w:p>
    <w:p>
      <w:pPr>
        <w:spacing w:after="0" w:line="274" w:lineRule="exact"/>
        <w:rPr>
          <w:sz w:val="20"/>
          <w:szCs w:val="20"/>
          <w:color w:val="auto"/>
        </w:rPr>
      </w:pPr>
    </w:p>
    <w:tbl>
      <w:tblPr>
        <w:tblLayout w:type="fixed"/>
        <w:tblInd w:w="60" w:type="dxa"/>
        <w:tblCellMar>
          <w:top w:w="0" w:type="dxa"/>
          <w:left w:w="0" w:type="dxa"/>
          <w:bottom w:w="0" w:type="dxa"/>
          <w:right w:w="0" w:type="dxa"/>
        </w:tblCellMar>
      </w:tblPr>
      <w:tr>
        <w:trPr>
          <w:trHeight w:val="234"/>
        </w:trPr>
        <w:tc>
          <w:tcPr>
            <w:tcW w:w="5400" w:type="dxa"/>
            <w:vAlign w:val="bottom"/>
          </w:tcPr>
          <w:p>
            <w:pPr>
              <w:spacing w:after="0"/>
              <w:rPr>
                <w:sz w:val="20"/>
                <w:szCs w:val="20"/>
                <w:color w:val="auto"/>
              </w:rPr>
            </w:pPr>
          </w:p>
        </w:tc>
        <w:tc>
          <w:tcPr>
            <w:tcW w:w="2920" w:type="dxa"/>
            <w:vAlign w:val="bottom"/>
            <w:gridSpan w:val="6"/>
          </w:tcPr>
          <w:p>
            <w:pPr>
              <w:ind w:left="20"/>
              <w:spacing w:after="0"/>
              <w:rPr>
                <w:sz w:val="20"/>
                <w:szCs w:val="20"/>
                <w:color w:val="auto"/>
              </w:rPr>
            </w:pPr>
            <w:r>
              <w:rPr>
                <w:rFonts w:ascii="Arial" w:cs="Arial" w:eastAsia="Arial" w:hAnsi="Arial"/>
                <w:sz w:val="18"/>
                <w:szCs w:val="18"/>
                <w:b w:val="1"/>
                <w:bCs w:val="1"/>
                <w:color w:val="auto"/>
                <w:w w:val="94"/>
              </w:rPr>
              <w:t>Three Months Ended September 30,</w:t>
            </w:r>
          </w:p>
        </w:tc>
        <w:tc>
          <w:tcPr>
            <w:tcW w:w="2820" w:type="dxa"/>
            <w:vAlign w:val="bottom"/>
            <w:gridSpan w:val="5"/>
          </w:tcPr>
          <w:p>
            <w:pPr>
              <w:jc w:val="right"/>
              <w:spacing w:after="0"/>
              <w:rPr>
                <w:sz w:val="20"/>
                <w:szCs w:val="20"/>
                <w:color w:val="auto"/>
              </w:rPr>
            </w:pPr>
            <w:r>
              <w:rPr>
                <w:rFonts w:ascii="Arial" w:cs="Arial" w:eastAsia="Arial" w:hAnsi="Arial"/>
                <w:sz w:val="18"/>
                <w:szCs w:val="18"/>
                <w:b w:val="1"/>
                <w:bCs w:val="1"/>
                <w:color w:val="auto"/>
                <w:w w:val="91"/>
              </w:rPr>
              <w:t>Nine Months Ended September 30,</w:t>
            </w:r>
          </w:p>
        </w:tc>
        <w:tc>
          <w:tcPr>
            <w:tcW w:w="0" w:type="dxa"/>
            <w:vAlign w:val="bottom"/>
          </w:tcPr>
          <w:p>
            <w:pPr>
              <w:spacing w:after="0"/>
              <w:rPr>
                <w:sz w:val="1"/>
                <w:szCs w:val="1"/>
                <w:color w:val="auto"/>
              </w:rPr>
            </w:pPr>
          </w:p>
        </w:tc>
      </w:tr>
      <w:tr>
        <w:trPr>
          <w:trHeight w:val="223"/>
        </w:trPr>
        <w:tc>
          <w:tcPr>
            <w:tcW w:w="5400" w:type="dxa"/>
            <w:vAlign w:val="bottom"/>
            <w:tcBorders>
              <w:bottom w:val="single" w:sz="8" w:color="CCEEFF"/>
            </w:tcBorders>
          </w:tcPr>
          <w:p>
            <w:pPr>
              <w:spacing w:after="0"/>
              <w:rPr>
                <w:sz w:val="19"/>
                <w:szCs w:val="19"/>
                <w:color w:val="auto"/>
              </w:rPr>
            </w:pPr>
          </w:p>
        </w:tc>
        <w:tc>
          <w:tcPr>
            <w:tcW w:w="300" w:type="dxa"/>
            <w:vAlign w:val="bottom"/>
            <w:tcBorders>
              <w:top w:val="single" w:sz="8" w:color="auto"/>
              <w:bottom w:val="single" w:sz="8" w:color="auto"/>
            </w:tcBorders>
          </w:tcPr>
          <w:p>
            <w:pPr>
              <w:spacing w:after="0"/>
              <w:rPr>
                <w:sz w:val="19"/>
                <w:szCs w:val="19"/>
                <w:color w:val="auto"/>
              </w:rPr>
            </w:pPr>
          </w:p>
        </w:tc>
        <w:tc>
          <w:tcPr>
            <w:tcW w:w="1060" w:type="dxa"/>
            <w:vAlign w:val="bottom"/>
            <w:tcBorders>
              <w:top w:val="single" w:sz="8" w:color="auto"/>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2022</w:t>
            </w:r>
          </w:p>
        </w:tc>
        <w:tc>
          <w:tcPr>
            <w:tcW w:w="100" w:type="dxa"/>
            <w:vAlign w:val="bottom"/>
            <w:tcBorders>
              <w:top w:val="single" w:sz="8" w:color="auto"/>
              <w:bottom w:val="single" w:sz="8" w:color="CCEEFF"/>
            </w:tcBorders>
          </w:tcPr>
          <w:p>
            <w:pPr>
              <w:spacing w:after="0"/>
              <w:rPr>
                <w:sz w:val="19"/>
                <w:szCs w:val="19"/>
                <w:color w:val="auto"/>
              </w:rPr>
            </w:pPr>
          </w:p>
        </w:tc>
        <w:tc>
          <w:tcPr>
            <w:tcW w:w="300" w:type="dxa"/>
            <w:vAlign w:val="bottom"/>
            <w:tcBorders>
              <w:top w:val="single" w:sz="8" w:color="auto"/>
              <w:bottom w:val="single" w:sz="8" w:color="auto"/>
            </w:tcBorders>
          </w:tcPr>
          <w:p>
            <w:pPr>
              <w:spacing w:after="0"/>
              <w:rPr>
                <w:sz w:val="19"/>
                <w:szCs w:val="19"/>
                <w:color w:val="auto"/>
              </w:rPr>
            </w:pPr>
          </w:p>
        </w:tc>
        <w:tc>
          <w:tcPr>
            <w:tcW w:w="1060" w:type="dxa"/>
            <w:vAlign w:val="bottom"/>
            <w:tcBorders>
              <w:top w:val="single" w:sz="8" w:color="auto"/>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2021</w:t>
            </w:r>
          </w:p>
        </w:tc>
        <w:tc>
          <w:tcPr>
            <w:tcW w:w="100" w:type="dxa"/>
            <w:vAlign w:val="bottom"/>
            <w:tcBorders>
              <w:bottom w:val="single" w:sz="8" w:color="CCEEFF"/>
            </w:tcBorders>
          </w:tcPr>
          <w:p>
            <w:pPr>
              <w:spacing w:after="0"/>
              <w:rPr>
                <w:sz w:val="19"/>
                <w:szCs w:val="19"/>
                <w:color w:val="auto"/>
              </w:rPr>
            </w:pPr>
          </w:p>
        </w:tc>
        <w:tc>
          <w:tcPr>
            <w:tcW w:w="300" w:type="dxa"/>
            <w:vAlign w:val="bottom"/>
            <w:tcBorders>
              <w:top w:val="single" w:sz="8" w:color="auto"/>
              <w:bottom w:val="single" w:sz="8" w:color="auto"/>
            </w:tcBorders>
          </w:tcPr>
          <w:p>
            <w:pPr>
              <w:spacing w:after="0"/>
              <w:rPr>
                <w:sz w:val="19"/>
                <w:szCs w:val="19"/>
                <w:color w:val="auto"/>
              </w:rPr>
            </w:pPr>
          </w:p>
        </w:tc>
        <w:tc>
          <w:tcPr>
            <w:tcW w:w="1060" w:type="dxa"/>
            <w:vAlign w:val="bottom"/>
            <w:tcBorders>
              <w:top w:val="single" w:sz="8" w:color="auto"/>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2022</w:t>
            </w:r>
          </w:p>
        </w:tc>
        <w:tc>
          <w:tcPr>
            <w:tcW w:w="100" w:type="dxa"/>
            <w:vAlign w:val="bottom"/>
            <w:tcBorders>
              <w:top w:val="single" w:sz="8" w:color="auto"/>
              <w:bottom w:val="single" w:sz="8" w:color="CCEEFF"/>
            </w:tcBorders>
          </w:tcPr>
          <w:p>
            <w:pPr>
              <w:spacing w:after="0"/>
              <w:rPr>
                <w:sz w:val="19"/>
                <w:szCs w:val="19"/>
                <w:color w:val="auto"/>
              </w:rPr>
            </w:pPr>
          </w:p>
        </w:tc>
        <w:tc>
          <w:tcPr>
            <w:tcW w:w="300" w:type="dxa"/>
            <w:vAlign w:val="bottom"/>
            <w:tcBorders>
              <w:top w:val="single" w:sz="8" w:color="auto"/>
              <w:bottom w:val="single" w:sz="8" w:color="auto"/>
            </w:tcBorders>
          </w:tcPr>
          <w:p>
            <w:pPr>
              <w:spacing w:after="0"/>
              <w:rPr>
                <w:sz w:val="19"/>
                <w:szCs w:val="19"/>
                <w:color w:val="auto"/>
              </w:rPr>
            </w:pPr>
          </w:p>
        </w:tc>
        <w:tc>
          <w:tcPr>
            <w:tcW w:w="1060" w:type="dxa"/>
            <w:vAlign w:val="bottom"/>
            <w:tcBorders>
              <w:top w:val="single" w:sz="8" w:color="auto"/>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2021</w:t>
            </w:r>
          </w:p>
        </w:tc>
        <w:tc>
          <w:tcPr>
            <w:tcW w:w="0" w:type="dxa"/>
            <w:vAlign w:val="bottom"/>
          </w:tcPr>
          <w:p>
            <w:pPr>
              <w:spacing w:after="0"/>
              <w:rPr>
                <w:sz w:val="1"/>
                <w:szCs w:val="1"/>
                <w:color w:val="auto"/>
              </w:rPr>
            </w:pPr>
          </w:p>
        </w:tc>
      </w:tr>
      <w:tr>
        <w:trPr>
          <w:trHeight w:val="223"/>
        </w:trPr>
        <w:tc>
          <w:tcPr>
            <w:tcW w:w="5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Revenue</w:t>
            </w:r>
          </w:p>
        </w:tc>
        <w:tc>
          <w:tcPr>
            <w:tcW w:w="30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118,350</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111,921</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348,576</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327,929</w:t>
            </w:r>
          </w:p>
        </w:tc>
        <w:tc>
          <w:tcPr>
            <w:tcW w:w="0" w:type="dxa"/>
            <w:vAlign w:val="bottom"/>
          </w:tcPr>
          <w:p>
            <w:pPr>
              <w:spacing w:after="0"/>
              <w:rPr>
                <w:sz w:val="1"/>
                <w:szCs w:val="1"/>
                <w:color w:val="auto"/>
              </w:rPr>
            </w:pPr>
          </w:p>
        </w:tc>
      </w:tr>
      <w:tr>
        <w:trPr>
          <w:trHeight w:val="270"/>
        </w:trPr>
        <w:tc>
          <w:tcPr>
            <w:tcW w:w="54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29"/>
        </w:trPr>
        <w:tc>
          <w:tcPr>
            <w:tcW w:w="5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Expense</w:t>
            </w: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400" w:type="dxa"/>
            <w:vAlign w:val="bottom"/>
          </w:tcPr>
          <w:p>
            <w:pPr>
              <w:ind w:left="140"/>
              <w:spacing w:after="0"/>
              <w:rPr>
                <w:sz w:val="20"/>
                <w:szCs w:val="20"/>
                <w:color w:val="auto"/>
              </w:rPr>
            </w:pPr>
            <w:r>
              <w:rPr>
                <w:rFonts w:ascii="Arial" w:cs="Arial" w:eastAsia="Arial" w:hAnsi="Arial"/>
                <w:sz w:val="18"/>
                <w:szCs w:val="18"/>
                <w:color w:val="auto"/>
              </w:rPr>
              <w:t>Cost of services</w:t>
            </w: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94,680</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89,619</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277,658</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259,908</w:t>
            </w:r>
          </w:p>
        </w:tc>
        <w:tc>
          <w:tcPr>
            <w:tcW w:w="0" w:type="dxa"/>
            <w:vAlign w:val="bottom"/>
          </w:tcPr>
          <w:p>
            <w:pPr>
              <w:spacing w:after="0"/>
              <w:rPr>
                <w:sz w:val="1"/>
                <w:szCs w:val="1"/>
                <w:color w:val="auto"/>
              </w:rPr>
            </w:pPr>
          </w:p>
        </w:tc>
      </w:tr>
      <w:tr>
        <w:trPr>
          <w:trHeight w:val="230"/>
        </w:trPr>
        <w:tc>
          <w:tcPr>
            <w:tcW w:w="54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Rent—cost of services</w:t>
            </w: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9,391</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10,334</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28,520</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30,455</w:t>
            </w:r>
          </w:p>
        </w:tc>
        <w:tc>
          <w:tcPr>
            <w:tcW w:w="0" w:type="dxa"/>
            <w:vAlign w:val="bottom"/>
          </w:tcPr>
          <w:p>
            <w:pPr>
              <w:spacing w:after="0"/>
              <w:rPr>
                <w:sz w:val="1"/>
                <w:szCs w:val="1"/>
                <w:color w:val="auto"/>
              </w:rPr>
            </w:pPr>
          </w:p>
        </w:tc>
      </w:tr>
      <w:tr>
        <w:trPr>
          <w:trHeight w:val="229"/>
        </w:trPr>
        <w:tc>
          <w:tcPr>
            <w:tcW w:w="5400" w:type="dxa"/>
            <w:vAlign w:val="bottom"/>
          </w:tcPr>
          <w:p>
            <w:pPr>
              <w:ind w:left="140"/>
              <w:spacing w:after="0"/>
              <w:rPr>
                <w:sz w:val="20"/>
                <w:szCs w:val="20"/>
                <w:color w:val="auto"/>
              </w:rPr>
            </w:pPr>
            <w:r>
              <w:rPr>
                <w:rFonts w:ascii="Arial" w:cs="Arial" w:eastAsia="Arial" w:hAnsi="Arial"/>
                <w:sz w:val="18"/>
                <w:szCs w:val="18"/>
                <w:color w:val="auto"/>
              </w:rPr>
              <w:t>General and administrative expense</w:t>
            </w: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5,879</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9,066</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25,653</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27,137</w:t>
            </w:r>
          </w:p>
        </w:tc>
        <w:tc>
          <w:tcPr>
            <w:tcW w:w="0" w:type="dxa"/>
            <w:vAlign w:val="bottom"/>
          </w:tcPr>
          <w:p>
            <w:pPr>
              <w:spacing w:after="0"/>
              <w:rPr>
                <w:sz w:val="1"/>
                <w:szCs w:val="1"/>
                <w:color w:val="auto"/>
              </w:rPr>
            </w:pPr>
          </w:p>
        </w:tc>
      </w:tr>
      <w:tr>
        <w:trPr>
          <w:trHeight w:val="230"/>
        </w:trPr>
        <w:tc>
          <w:tcPr>
            <w:tcW w:w="54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Depreciation and amortization</w:t>
            </w: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1,251</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1,200</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3,677</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3,545</w:t>
            </w:r>
          </w:p>
        </w:tc>
        <w:tc>
          <w:tcPr>
            <w:tcW w:w="0" w:type="dxa"/>
            <w:vAlign w:val="bottom"/>
          </w:tcPr>
          <w:p>
            <w:pPr>
              <w:spacing w:after="0"/>
              <w:rPr>
                <w:sz w:val="1"/>
                <w:szCs w:val="1"/>
                <w:color w:val="auto"/>
              </w:rPr>
            </w:pPr>
          </w:p>
        </w:tc>
      </w:tr>
      <w:tr>
        <w:trPr>
          <w:trHeight w:val="229"/>
        </w:trPr>
        <w:tc>
          <w:tcPr>
            <w:tcW w:w="5400" w:type="dxa"/>
            <w:vAlign w:val="bottom"/>
          </w:tcPr>
          <w:p>
            <w:pPr>
              <w:ind w:left="140"/>
              <w:spacing w:after="0"/>
              <w:rPr>
                <w:sz w:val="20"/>
                <w:szCs w:val="20"/>
                <w:color w:val="auto"/>
              </w:rPr>
            </w:pPr>
            <w:r>
              <w:rPr>
                <w:rFonts w:ascii="Arial" w:cs="Arial" w:eastAsia="Arial" w:hAnsi="Arial"/>
                <w:sz w:val="18"/>
                <w:szCs w:val="18"/>
                <w:color w:val="auto"/>
              </w:rPr>
              <w:t>Loss on asset dispositions and impairment, net</w:t>
            </w: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6,713</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5400" w:type="dxa"/>
            <w:vAlign w:val="bottom"/>
            <w:tcBorders>
              <w:top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Total expenses</w:t>
            </w:r>
          </w:p>
        </w:tc>
        <w:tc>
          <w:tcPr>
            <w:tcW w:w="300" w:type="dxa"/>
            <w:vAlign w:val="bottom"/>
            <w:tcBorders>
              <w:top w:val="single" w:sz="8" w:color="auto"/>
            </w:tcBorders>
            <w:shd w:val="clear" w:color="auto" w:fill="CCEEFF"/>
          </w:tcPr>
          <w:p>
            <w:pPr>
              <w:spacing w:after="0"/>
              <w:rPr>
                <w:sz w:val="19"/>
                <w:szCs w:val="19"/>
                <w:color w:val="auto"/>
              </w:rPr>
            </w:pP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111,206</w:t>
            </w:r>
          </w:p>
        </w:tc>
        <w:tc>
          <w:tcPr>
            <w:tcW w:w="10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spacing w:after="0"/>
              <w:rPr>
                <w:sz w:val="19"/>
                <w:szCs w:val="19"/>
                <w:color w:val="auto"/>
              </w:rPr>
            </w:pP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110,219</w:t>
            </w:r>
          </w:p>
        </w:tc>
        <w:tc>
          <w:tcPr>
            <w:tcW w:w="10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spacing w:after="0"/>
              <w:rPr>
                <w:sz w:val="19"/>
                <w:szCs w:val="19"/>
                <w:color w:val="auto"/>
              </w:rPr>
            </w:pP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342,221</w:t>
            </w:r>
          </w:p>
        </w:tc>
        <w:tc>
          <w:tcPr>
            <w:tcW w:w="10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spacing w:after="0"/>
              <w:rPr>
                <w:sz w:val="19"/>
                <w:szCs w:val="19"/>
                <w:color w:val="auto"/>
              </w:rPr>
            </w:pP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321,045</w:t>
            </w:r>
          </w:p>
        </w:tc>
        <w:tc>
          <w:tcPr>
            <w:tcW w:w="0" w:type="dxa"/>
            <w:vAlign w:val="bottom"/>
          </w:tcPr>
          <w:p>
            <w:pPr>
              <w:spacing w:after="0"/>
              <w:rPr>
                <w:sz w:val="1"/>
                <w:szCs w:val="1"/>
                <w:color w:val="auto"/>
              </w:rPr>
            </w:pPr>
          </w:p>
        </w:tc>
      </w:tr>
      <w:tr>
        <w:trPr>
          <w:trHeight w:val="229"/>
        </w:trPr>
        <w:tc>
          <w:tcPr>
            <w:tcW w:w="5400" w:type="dxa"/>
            <w:vAlign w:val="bottom"/>
          </w:tcPr>
          <w:p>
            <w:pPr>
              <w:ind w:left="20"/>
              <w:spacing w:after="0"/>
              <w:rPr>
                <w:sz w:val="20"/>
                <w:szCs w:val="20"/>
                <w:color w:val="auto"/>
              </w:rPr>
            </w:pPr>
            <w:r>
              <w:rPr>
                <w:rFonts w:ascii="Arial" w:cs="Arial" w:eastAsia="Arial" w:hAnsi="Arial"/>
                <w:sz w:val="18"/>
                <w:szCs w:val="18"/>
                <w:color w:val="auto"/>
              </w:rPr>
              <w:t>Income from operations</w:t>
            </w: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7,144</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1,702</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6,355</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6,884</w:t>
            </w:r>
          </w:p>
        </w:tc>
        <w:tc>
          <w:tcPr>
            <w:tcW w:w="0" w:type="dxa"/>
            <w:vAlign w:val="bottom"/>
          </w:tcPr>
          <w:p>
            <w:pPr>
              <w:spacing w:after="0"/>
              <w:rPr>
                <w:sz w:val="1"/>
                <w:szCs w:val="1"/>
                <w:color w:val="auto"/>
              </w:rPr>
            </w:pPr>
          </w:p>
        </w:tc>
      </w:tr>
      <w:tr>
        <w:trPr>
          <w:trHeight w:val="229"/>
        </w:trPr>
        <w:tc>
          <w:tcPr>
            <w:tcW w:w="5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(expense):</w:t>
            </w: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400" w:type="dxa"/>
            <w:vAlign w:val="bottom"/>
          </w:tcPr>
          <w:p>
            <w:pPr>
              <w:ind w:left="120"/>
              <w:spacing w:after="0"/>
              <w:rPr>
                <w:sz w:val="20"/>
                <w:szCs w:val="20"/>
                <w:color w:val="auto"/>
              </w:rPr>
            </w:pPr>
            <w:r>
              <w:rPr>
                <w:rFonts w:ascii="Arial" w:cs="Arial" w:eastAsia="Arial" w:hAnsi="Arial"/>
                <w:sz w:val="18"/>
                <w:szCs w:val="18"/>
                <w:color w:val="auto"/>
              </w:rPr>
              <w:t>Other expense</w:t>
            </w: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(18)</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(50)</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29"/>
        </w:trPr>
        <w:tc>
          <w:tcPr>
            <w:tcW w:w="54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Interest expense, net</w:t>
            </w:r>
          </w:p>
        </w:tc>
        <w:tc>
          <w:tcPr>
            <w:tcW w:w="30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(1,058)</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(512)</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(2,508)</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(1,344)</w:t>
            </w:r>
          </w:p>
        </w:tc>
        <w:tc>
          <w:tcPr>
            <w:tcW w:w="0" w:type="dxa"/>
            <w:vAlign w:val="bottom"/>
          </w:tcPr>
          <w:p>
            <w:pPr>
              <w:spacing w:after="0"/>
              <w:rPr>
                <w:sz w:val="1"/>
                <w:szCs w:val="1"/>
                <w:color w:val="auto"/>
              </w:rPr>
            </w:pPr>
          </w:p>
        </w:tc>
      </w:tr>
      <w:tr>
        <w:trPr>
          <w:trHeight w:val="223"/>
        </w:trPr>
        <w:tc>
          <w:tcPr>
            <w:tcW w:w="540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Other (expense), net</w:t>
            </w:r>
          </w:p>
        </w:tc>
        <w:tc>
          <w:tcPr>
            <w:tcW w:w="3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(1,076)</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(512)</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(2,558)</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(1,368)</w:t>
            </w:r>
          </w:p>
        </w:tc>
        <w:tc>
          <w:tcPr>
            <w:tcW w:w="0" w:type="dxa"/>
            <w:vAlign w:val="bottom"/>
          </w:tcPr>
          <w:p>
            <w:pPr>
              <w:spacing w:after="0"/>
              <w:rPr>
                <w:sz w:val="1"/>
                <w:szCs w:val="1"/>
                <w:color w:val="auto"/>
              </w:rPr>
            </w:pPr>
          </w:p>
        </w:tc>
      </w:tr>
      <w:tr>
        <w:trPr>
          <w:trHeight w:val="223"/>
        </w:trPr>
        <w:tc>
          <w:tcPr>
            <w:tcW w:w="5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Income before provision for income taxes</w:t>
            </w: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6,068</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1,190</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3,797</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5,516</w:t>
            </w:r>
          </w:p>
        </w:tc>
        <w:tc>
          <w:tcPr>
            <w:tcW w:w="0" w:type="dxa"/>
            <w:vAlign w:val="bottom"/>
          </w:tcPr>
          <w:p>
            <w:pPr>
              <w:spacing w:after="0"/>
              <w:rPr>
                <w:sz w:val="1"/>
                <w:szCs w:val="1"/>
                <w:color w:val="auto"/>
              </w:rPr>
            </w:pPr>
          </w:p>
        </w:tc>
      </w:tr>
      <w:tr>
        <w:trPr>
          <w:trHeight w:val="230"/>
        </w:trPr>
        <w:tc>
          <w:tcPr>
            <w:tcW w:w="54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Provision for income taxes</w:t>
            </w:r>
          </w:p>
        </w:tc>
        <w:tc>
          <w:tcPr>
            <w:tcW w:w="3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1,074</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69</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241</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1,013</w:t>
            </w:r>
          </w:p>
        </w:tc>
        <w:tc>
          <w:tcPr>
            <w:tcW w:w="0" w:type="dxa"/>
            <w:vAlign w:val="bottom"/>
          </w:tcPr>
          <w:p>
            <w:pPr>
              <w:spacing w:after="0"/>
              <w:rPr>
                <w:sz w:val="1"/>
                <w:szCs w:val="1"/>
                <w:color w:val="auto"/>
              </w:rPr>
            </w:pPr>
          </w:p>
        </w:tc>
      </w:tr>
      <w:tr>
        <w:trPr>
          <w:trHeight w:val="223"/>
        </w:trPr>
        <w:tc>
          <w:tcPr>
            <w:tcW w:w="5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income</w:t>
            </w: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4,994</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1,121</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3,556</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4,503</w:t>
            </w:r>
          </w:p>
        </w:tc>
        <w:tc>
          <w:tcPr>
            <w:tcW w:w="0" w:type="dxa"/>
            <w:vAlign w:val="bottom"/>
          </w:tcPr>
          <w:p>
            <w:pPr>
              <w:spacing w:after="0"/>
              <w:rPr>
                <w:sz w:val="1"/>
                <w:szCs w:val="1"/>
                <w:color w:val="auto"/>
              </w:rPr>
            </w:pPr>
          </w:p>
        </w:tc>
      </w:tr>
      <w:tr>
        <w:trPr>
          <w:trHeight w:val="230"/>
        </w:trPr>
        <w:tc>
          <w:tcPr>
            <w:tcW w:w="54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Less: net income (loss) attributable to noncontrolling interest</w:t>
            </w:r>
          </w:p>
        </w:tc>
        <w:tc>
          <w:tcPr>
            <w:tcW w:w="3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163</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(124)</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387</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(342)</w:t>
            </w:r>
          </w:p>
        </w:tc>
        <w:tc>
          <w:tcPr>
            <w:tcW w:w="0" w:type="dxa"/>
            <w:vAlign w:val="bottom"/>
          </w:tcPr>
          <w:p>
            <w:pPr>
              <w:spacing w:after="0"/>
              <w:rPr>
                <w:sz w:val="1"/>
                <w:szCs w:val="1"/>
                <w:color w:val="auto"/>
              </w:rPr>
            </w:pPr>
          </w:p>
        </w:tc>
      </w:tr>
      <w:tr>
        <w:trPr>
          <w:trHeight w:val="155"/>
        </w:trPr>
        <w:tc>
          <w:tcPr>
            <w:tcW w:w="5400" w:type="dxa"/>
            <w:vAlign w:val="bottom"/>
            <w:shd w:val="clear" w:color="auto" w:fill="CCEEFF"/>
          </w:tcPr>
          <w:p>
            <w:pPr>
              <w:ind w:left="20"/>
              <w:spacing w:after="0" w:line="156" w:lineRule="exact"/>
              <w:rPr>
                <w:sz w:val="20"/>
                <w:szCs w:val="20"/>
                <w:color w:val="auto"/>
              </w:rPr>
            </w:pPr>
            <w:r>
              <w:rPr>
                <w:rFonts w:ascii="Arial" w:cs="Arial" w:eastAsia="Arial" w:hAnsi="Arial"/>
                <w:sz w:val="18"/>
                <w:szCs w:val="18"/>
                <w:color w:val="auto"/>
                <w:w w:val="91"/>
              </w:rPr>
              <w:t>Net income and other comprehensive income attributable to The Pennant</w:t>
            </w:r>
          </w:p>
        </w:tc>
        <w:tc>
          <w:tcPr>
            <w:tcW w:w="300" w:type="dxa"/>
            <w:vAlign w:val="bottom"/>
            <w:vMerge w:val="restart"/>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0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4,831</w:t>
            </w:r>
          </w:p>
        </w:tc>
        <w:tc>
          <w:tcPr>
            <w:tcW w:w="100" w:type="dxa"/>
            <w:vAlign w:val="bottom"/>
            <w:shd w:val="clear" w:color="auto" w:fill="CCEEFF"/>
          </w:tcPr>
          <w:p>
            <w:pPr>
              <w:spacing w:after="0"/>
              <w:rPr>
                <w:sz w:val="13"/>
                <w:szCs w:val="13"/>
                <w:color w:val="auto"/>
              </w:rPr>
            </w:pPr>
          </w:p>
        </w:tc>
        <w:tc>
          <w:tcPr>
            <w:tcW w:w="300" w:type="dxa"/>
            <w:vAlign w:val="bottom"/>
            <w:vMerge w:val="restart"/>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1,245</w:t>
            </w:r>
          </w:p>
        </w:tc>
        <w:tc>
          <w:tcPr>
            <w:tcW w:w="100" w:type="dxa"/>
            <w:vAlign w:val="bottom"/>
            <w:shd w:val="clear" w:color="auto" w:fill="CCEEFF"/>
          </w:tcPr>
          <w:p>
            <w:pPr>
              <w:spacing w:after="0"/>
              <w:rPr>
                <w:sz w:val="13"/>
                <w:szCs w:val="13"/>
                <w:color w:val="auto"/>
              </w:rPr>
            </w:pPr>
          </w:p>
        </w:tc>
        <w:tc>
          <w:tcPr>
            <w:tcW w:w="300" w:type="dxa"/>
            <w:vAlign w:val="bottom"/>
            <w:vMerge w:val="restart"/>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3,169</w:t>
            </w:r>
          </w:p>
        </w:tc>
        <w:tc>
          <w:tcPr>
            <w:tcW w:w="100" w:type="dxa"/>
            <w:vAlign w:val="bottom"/>
            <w:shd w:val="clear" w:color="auto" w:fill="CCEEFF"/>
          </w:tcPr>
          <w:p>
            <w:pPr>
              <w:spacing w:after="0"/>
              <w:rPr>
                <w:sz w:val="13"/>
                <w:szCs w:val="13"/>
                <w:color w:val="auto"/>
              </w:rPr>
            </w:pPr>
          </w:p>
        </w:tc>
        <w:tc>
          <w:tcPr>
            <w:tcW w:w="300" w:type="dxa"/>
            <w:vAlign w:val="bottom"/>
            <w:vMerge w:val="restart"/>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4,845</w:t>
            </w:r>
          </w:p>
        </w:tc>
        <w:tc>
          <w:tcPr>
            <w:tcW w:w="0" w:type="dxa"/>
            <w:vAlign w:val="bottom"/>
          </w:tcPr>
          <w:p>
            <w:pPr>
              <w:spacing w:after="0"/>
              <w:rPr>
                <w:sz w:val="1"/>
                <w:szCs w:val="1"/>
                <w:color w:val="auto"/>
              </w:rPr>
            </w:pPr>
          </w:p>
        </w:tc>
      </w:tr>
      <w:tr>
        <w:trPr>
          <w:trHeight w:val="236"/>
        </w:trPr>
        <w:tc>
          <w:tcPr>
            <w:tcW w:w="54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Group, Inc.</w:t>
            </w:r>
          </w:p>
        </w:tc>
        <w:tc>
          <w:tcPr>
            <w:tcW w:w="300" w:type="dxa"/>
            <w:vAlign w:val="bottom"/>
            <w:tcBorders>
              <w:bottom w:val="single" w:sz="8" w:color="auto"/>
            </w:tcBorders>
            <w:vMerge w:val="continue"/>
            <w:shd w:val="clear" w:color="auto" w:fill="CCEEFF"/>
          </w:tcPr>
          <w:p>
            <w:pPr>
              <w:spacing w:after="0"/>
              <w:rPr>
                <w:sz w:val="20"/>
                <w:szCs w:val="20"/>
                <w:color w:val="auto"/>
              </w:rPr>
            </w:pPr>
          </w:p>
        </w:tc>
        <w:tc>
          <w:tcPr>
            <w:tcW w:w="106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auto"/>
            </w:tcBorders>
            <w:vMerge w:val="continue"/>
            <w:shd w:val="clear" w:color="auto" w:fill="CCEEFF"/>
          </w:tcPr>
          <w:p>
            <w:pPr>
              <w:spacing w:after="0"/>
              <w:rPr>
                <w:sz w:val="20"/>
                <w:szCs w:val="20"/>
                <w:color w:val="auto"/>
              </w:rPr>
            </w:pPr>
          </w:p>
        </w:tc>
        <w:tc>
          <w:tcPr>
            <w:tcW w:w="106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auto"/>
            </w:tcBorders>
            <w:vMerge w:val="continue"/>
            <w:shd w:val="clear" w:color="auto" w:fill="CCEEFF"/>
          </w:tcPr>
          <w:p>
            <w:pPr>
              <w:spacing w:after="0"/>
              <w:rPr>
                <w:sz w:val="20"/>
                <w:szCs w:val="20"/>
                <w:color w:val="auto"/>
              </w:rPr>
            </w:pPr>
          </w:p>
        </w:tc>
        <w:tc>
          <w:tcPr>
            <w:tcW w:w="106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auto"/>
            </w:tcBorders>
            <w:vMerge w:val="continue"/>
            <w:shd w:val="clear" w:color="auto" w:fill="CCEEFF"/>
          </w:tcPr>
          <w:p>
            <w:pPr>
              <w:spacing w:after="0"/>
              <w:rPr>
                <w:sz w:val="20"/>
                <w:szCs w:val="20"/>
                <w:color w:val="auto"/>
              </w:rPr>
            </w:pPr>
          </w:p>
        </w:tc>
        <w:tc>
          <w:tcPr>
            <w:tcW w:w="1060" w:type="dxa"/>
            <w:vAlign w:val="bottom"/>
            <w:tcBorders>
              <w:bottom w:val="single" w:sz="8" w:color="auto"/>
            </w:tcBorders>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540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color w:val="auto"/>
              </w:rPr>
              <w:t>Earnings per share:</w:t>
            </w: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5400" w:type="dxa"/>
            <w:vAlign w:val="bottom"/>
            <w:vMerge w:val="continue"/>
          </w:tcPr>
          <w:p>
            <w:pPr>
              <w:spacing w:after="0"/>
              <w:rPr>
                <w:sz w:val="15"/>
                <w:szCs w:val="15"/>
                <w:color w:val="auto"/>
              </w:rPr>
            </w:pPr>
          </w:p>
        </w:tc>
        <w:tc>
          <w:tcPr>
            <w:tcW w:w="3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5400" w:type="dxa"/>
            <w:vAlign w:val="bottom"/>
            <w:shd w:val="clear" w:color="auto" w:fill="CCEEFF"/>
          </w:tcPr>
          <w:p>
            <w:pPr>
              <w:ind w:left="100"/>
              <w:spacing w:after="0"/>
              <w:rPr>
                <w:sz w:val="20"/>
                <w:szCs w:val="20"/>
                <w:color w:val="auto"/>
              </w:rPr>
            </w:pPr>
            <w:r>
              <w:rPr>
                <w:rFonts w:ascii="Arial" w:cs="Arial" w:eastAsia="Arial" w:hAnsi="Arial"/>
                <w:sz w:val="18"/>
                <w:szCs w:val="18"/>
                <w:color w:val="auto"/>
              </w:rPr>
              <w:t>Basic</w:t>
            </w:r>
          </w:p>
        </w:tc>
        <w:tc>
          <w:tcPr>
            <w:tcW w:w="30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0.16</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0.04</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0.11</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0.17</w:t>
            </w:r>
          </w:p>
        </w:tc>
        <w:tc>
          <w:tcPr>
            <w:tcW w:w="0" w:type="dxa"/>
            <w:vAlign w:val="bottom"/>
          </w:tcPr>
          <w:p>
            <w:pPr>
              <w:spacing w:after="0"/>
              <w:rPr>
                <w:sz w:val="1"/>
                <w:szCs w:val="1"/>
                <w:color w:val="auto"/>
              </w:rPr>
            </w:pPr>
          </w:p>
        </w:tc>
      </w:tr>
      <w:tr>
        <w:trPr>
          <w:trHeight w:val="230"/>
        </w:trPr>
        <w:tc>
          <w:tcPr>
            <w:tcW w:w="5400" w:type="dxa"/>
            <w:vAlign w:val="bottom"/>
          </w:tcPr>
          <w:p>
            <w:pPr>
              <w:ind w:left="100"/>
              <w:spacing w:after="0"/>
              <w:rPr>
                <w:sz w:val="20"/>
                <w:szCs w:val="20"/>
                <w:color w:val="auto"/>
              </w:rPr>
            </w:pPr>
            <w:r>
              <w:rPr>
                <w:rFonts w:ascii="Arial" w:cs="Arial" w:eastAsia="Arial" w:hAnsi="Arial"/>
                <w:sz w:val="18"/>
                <w:szCs w:val="18"/>
                <w:color w:val="auto"/>
              </w:rPr>
              <w:t>Diluted</w:t>
            </w:r>
          </w:p>
        </w:tc>
        <w:tc>
          <w:tcPr>
            <w:tcW w:w="300" w:type="dxa"/>
            <w:vAlign w:val="bottom"/>
          </w:tcPr>
          <w:p>
            <w:pPr>
              <w:ind w:left="20"/>
              <w:spacing w:after="0"/>
              <w:rPr>
                <w:sz w:val="20"/>
                <w:szCs w:val="20"/>
                <w:color w:val="auto"/>
              </w:rPr>
            </w:pPr>
            <w:r>
              <w:rPr>
                <w:rFonts w:ascii="Arial" w:cs="Arial" w:eastAsia="Arial" w:hAnsi="Arial"/>
                <w:sz w:val="18"/>
                <w:szCs w:val="18"/>
                <w:color w:val="auto"/>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0.16</w:t>
            </w:r>
          </w:p>
        </w:tc>
        <w:tc>
          <w:tcPr>
            <w:tcW w:w="100" w:type="dxa"/>
            <w:vAlign w:val="bottom"/>
          </w:tcPr>
          <w:p>
            <w:pPr>
              <w:spacing w:after="0"/>
              <w:rPr>
                <w:sz w:val="19"/>
                <w:szCs w:val="19"/>
                <w:color w:val="auto"/>
              </w:rPr>
            </w:pP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0.04</w:t>
            </w:r>
          </w:p>
        </w:tc>
        <w:tc>
          <w:tcPr>
            <w:tcW w:w="100" w:type="dxa"/>
            <w:vAlign w:val="bottom"/>
          </w:tcPr>
          <w:p>
            <w:pPr>
              <w:spacing w:after="0"/>
              <w:rPr>
                <w:sz w:val="19"/>
                <w:szCs w:val="19"/>
                <w:color w:val="auto"/>
              </w:rPr>
            </w:pP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0.10</w:t>
            </w:r>
          </w:p>
        </w:tc>
        <w:tc>
          <w:tcPr>
            <w:tcW w:w="100" w:type="dxa"/>
            <w:vAlign w:val="bottom"/>
          </w:tcPr>
          <w:p>
            <w:pPr>
              <w:spacing w:after="0"/>
              <w:rPr>
                <w:sz w:val="19"/>
                <w:szCs w:val="19"/>
                <w:color w:val="auto"/>
              </w:rPr>
            </w:pP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0.16</w:t>
            </w:r>
          </w:p>
        </w:tc>
        <w:tc>
          <w:tcPr>
            <w:tcW w:w="0" w:type="dxa"/>
            <w:vAlign w:val="bottom"/>
          </w:tcPr>
          <w:p>
            <w:pPr>
              <w:spacing w:after="0"/>
              <w:rPr>
                <w:sz w:val="1"/>
                <w:szCs w:val="1"/>
                <w:color w:val="auto"/>
              </w:rPr>
            </w:pPr>
          </w:p>
        </w:tc>
      </w:tr>
      <w:tr>
        <w:trPr>
          <w:trHeight w:val="230"/>
        </w:trPr>
        <w:tc>
          <w:tcPr>
            <w:tcW w:w="5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Weighted average common shares outstanding:</w:t>
            </w: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400" w:type="dxa"/>
            <w:vAlign w:val="bottom"/>
          </w:tcPr>
          <w:p>
            <w:pPr>
              <w:ind w:left="100"/>
              <w:spacing w:after="0"/>
              <w:rPr>
                <w:sz w:val="20"/>
                <w:szCs w:val="20"/>
                <w:color w:val="auto"/>
              </w:rPr>
            </w:pPr>
            <w:r>
              <w:rPr>
                <w:rFonts w:ascii="Arial" w:cs="Arial" w:eastAsia="Arial" w:hAnsi="Arial"/>
                <w:sz w:val="18"/>
                <w:szCs w:val="18"/>
                <w:color w:val="auto"/>
              </w:rPr>
              <w:t>Basic</w:t>
            </w: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29,335</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28,444</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28,840</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28,364</w:t>
            </w:r>
          </w:p>
        </w:tc>
        <w:tc>
          <w:tcPr>
            <w:tcW w:w="0" w:type="dxa"/>
            <w:vAlign w:val="bottom"/>
          </w:tcPr>
          <w:p>
            <w:pPr>
              <w:spacing w:after="0"/>
              <w:rPr>
                <w:sz w:val="1"/>
                <w:szCs w:val="1"/>
                <w:color w:val="auto"/>
              </w:rPr>
            </w:pPr>
          </w:p>
        </w:tc>
      </w:tr>
      <w:tr>
        <w:trPr>
          <w:trHeight w:val="230"/>
        </w:trPr>
        <w:tc>
          <w:tcPr>
            <w:tcW w:w="5400" w:type="dxa"/>
            <w:vAlign w:val="bottom"/>
            <w:shd w:val="clear" w:color="auto" w:fill="CCEEFF"/>
          </w:tcPr>
          <w:p>
            <w:pPr>
              <w:ind w:left="100"/>
              <w:spacing w:after="0"/>
              <w:rPr>
                <w:sz w:val="20"/>
                <w:szCs w:val="20"/>
                <w:color w:val="auto"/>
              </w:rPr>
            </w:pPr>
            <w:r>
              <w:rPr>
                <w:rFonts w:ascii="Arial" w:cs="Arial" w:eastAsia="Arial" w:hAnsi="Arial"/>
                <w:sz w:val="18"/>
                <w:szCs w:val="18"/>
                <w:color w:val="auto"/>
              </w:rPr>
              <w:t>Diluted</w:t>
            </w: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30,172</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30,556</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30,182</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30,719</w:t>
            </w:r>
          </w:p>
        </w:tc>
        <w:tc>
          <w:tcPr>
            <w:tcW w:w="0" w:type="dxa"/>
            <w:vAlign w:val="bottom"/>
          </w:tcPr>
          <w:p>
            <w:pPr>
              <w:spacing w:after="0"/>
              <w:rPr>
                <w:sz w:val="1"/>
                <w:szCs w:val="1"/>
                <w:color w:val="auto"/>
              </w:rPr>
            </w:pPr>
          </w:p>
        </w:tc>
      </w:tr>
    </w:tbl>
    <w:p>
      <w:pPr>
        <w:spacing w:after="0" w:line="32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See accompanying notes to condensed consolidated financial statements.</w:t>
      </w:r>
    </w:p>
    <w:p>
      <w:pPr>
        <w:spacing w:after="0" w:line="200" w:lineRule="exact"/>
        <w:rPr>
          <w:sz w:val="20"/>
          <w:szCs w:val="20"/>
          <w:color w:val="auto"/>
        </w:rPr>
      </w:pPr>
    </w:p>
    <w:p>
      <w:pPr>
        <w:spacing w:after="0" w:line="36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368" w:right="379" w:bottom="1440" w:gutter="0" w:footer="0" w:header="0"/>
        </w:sectPr>
      </w:pPr>
    </w:p>
    <w:bookmarkStart w:id="4" w:name="page5"/>
    <w:bookmarkEnd w:id="4"/>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PENNANT GROUP,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STOCKHOLDERS' EQUITY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in thousands)</w:t>
      </w:r>
    </w:p>
    <w:p>
      <w:pPr>
        <w:spacing w:after="0" w:line="55"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2780" w:type="dxa"/>
            <w:vAlign w:val="bottom"/>
          </w:tcPr>
          <w:p>
            <w:pPr>
              <w:spacing w:after="0"/>
              <w:rPr>
                <w:sz w:val="16"/>
                <w:szCs w:val="16"/>
                <w:color w:val="auto"/>
              </w:rPr>
            </w:pPr>
          </w:p>
        </w:tc>
        <w:tc>
          <w:tcPr>
            <w:tcW w:w="1840" w:type="dxa"/>
            <w:vAlign w:val="bottom"/>
            <w:gridSpan w:val="4"/>
            <w:vMerge w:val="restart"/>
          </w:tcPr>
          <w:p>
            <w:pPr>
              <w:jc w:val="right"/>
              <w:ind w:right="299"/>
              <w:spacing w:after="0"/>
              <w:rPr>
                <w:sz w:val="20"/>
                <w:szCs w:val="20"/>
                <w:color w:val="auto"/>
              </w:rPr>
            </w:pPr>
            <w:r>
              <w:rPr>
                <w:rFonts w:ascii="Arial" w:cs="Arial" w:eastAsia="Arial" w:hAnsi="Arial"/>
                <w:sz w:val="16"/>
                <w:szCs w:val="16"/>
                <w:b w:val="1"/>
                <w:bCs w:val="1"/>
                <w:color w:val="auto"/>
              </w:rPr>
              <w:t>Common Stock</w:t>
            </w:r>
          </w:p>
        </w:tc>
        <w:tc>
          <w:tcPr>
            <w:tcW w:w="80" w:type="dxa"/>
            <w:vAlign w:val="bottom"/>
            <w:vMerge w:val="restart"/>
          </w:tcPr>
          <w:p>
            <w:pPr>
              <w:spacing w:after="0"/>
              <w:rPr>
                <w:sz w:val="16"/>
                <w:szCs w:val="16"/>
                <w:color w:val="auto"/>
              </w:rPr>
            </w:pPr>
          </w:p>
        </w:tc>
        <w:tc>
          <w:tcPr>
            <w:tcW w:w="140" w:type="dxa"/>
            <w:vAlign w:val="bottom"/>
          </w:tcPr>
          <w:p>
            <w:pPr>
              <w:spacing w:after="0"/>
              <w:rPr>
                <w:sz w:val="16"/>
                <w:szCs w:val="16"/>
                <w:color w:val="auto"/>
              </w:rPr>
            </w:pPr>
          </w:p>
        </w:tc>
        <w:tc>
          <w:tcPr>
            <w:tcW w:w="106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94"/>
              </w:rPr>
              <w:t>Additional</w:t>
            </w:r>
          </w:p>
        </w:tc>
        <w:tc>
          <w:tcPr>
            <w:tcW w:w="2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20" w:type="dxa"/>
            <w:vAlign w:val="bottom"/>
            <w:gridSpan w:val="4"/>
            <w:vMerge w:val="restart"/>
          </w:tcPr>
          <w:p>
            <w:pPr>
              <w:ind w:left="380"/>
              <w:spacing w:after="0"/>
              <w:rPr>
                <w:sz w:val="20"/>
                <w:szCs w:val="20"/>
                <w:color w:val="auto"/>
              </w:rPr>
            </w:pPr>
            <w:r>
              <w:rPr>
                <w:rFonts w:ascii="Arial" w:cs="Arial" w:eastAsia="Arial" w:hAnsi="Arial"/>
                <w:sz w:val="16"/>
                <w:szCs w:val="16"/>
                <w:b w:val="1"/>
                <w:bCs w:val="1"/>
                <w:color w:val="auto"/>
              </w:rPr>
              <w:t>Treasury Stock</w:t>
            </w:r>
          </w:p>
        </w:tc>
        <w:tc>
          <w:tcPr>
            <w:tcW w:w="100" w:type="dxa"/>
            <w:vAlign w:val="bottom"/>
            <w:vMerge w:val="restart"/>
          </w:tcPr>
          <w:p>
            <w:pPr>
              <w:spacing w:after="0"/>
              <w:rPr>
                <w:sz w:val="16"/>
                <w:szCs w:val="16"/>
                <w:color w:val="auto"/>
              </w:rPr>
            </w:pPr>
          </w:p>
        </w:tc>
        <w:tc>
          <w:tcPr>
            <w:tcW w:w="120" w:type="dxa"/>
            <w:vAlign w:val="bottom"/>
          </w:tcPr>
          <w:p>
            <w:pPr>
              <w:spacing w:after="0"/>
              <w:rPr>
                <w:sz w:val="16"/>
                <w:szCs w:val="16"/>
                <w:color w:val="auto"/>
              </w:rPr>
            </w:pPr>
          </w:p>
        </w:tc>
        <w:tc>
          <w:tcPr>
            <w:tcW w:w="1060" w:type="dxa"/>
            <w:vAlign w:val="bottom"/>
            <w:gridSpan w:val="2"/>
          </w:tcPr>
          <w:p>
            <w:pPr>
              <w:jc w:val="center"/>
              <w:ind w:right="200"/>
              <w:spacing w:after="0"/>
              <w:rPr>
                <w:sz w:val="20"/>
                <w:szCs w:val="20"/>
                <w:color w:val="auto"/>
              </w:rPr>
            </w:pPr>
            <w:r>
              <w:rPr>
                <w:rFonts w:ascii="Arial" w:cs="Arial" w:eastAsia="Arial" w:hAnsi="Arial"/>
                <w:sz w:val="16"/>
                <w:szCs w:val="16"/>
                <w:b w:val="1"/>
                <w:bCs w:val="1"/>
                <w:color w:val="auto"/>
                <w:w w:val="93"/>
              </w:rPr>
              <w:t>Non-</w:t>
            </w:r>
          </w:p>
        </w:tc>
        <w:tc>
          <w:tcPr>
            <w:tcW w:w="1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4"/>
        </w:trPr>
        <w:tc>
          <w:tcPr>
            <w:tcW w:w="2780" w:type="dxa"/>
            <w:vAlign w:val="bottom"/>
          </w:tcPr>
          <w:p>
            <w:pPr>
              <w:spacing w:after="0"/>
              <w:rPr>
                <w:sz w:val="10"/>
                <w:szCs w:val="10"/>
                <w:color w:val="auto"/>
              </w:rPr>
            </w:pPr>
          </w:p>
        </w:tc>
        <w:tc>
          <w:tcPr>
            <w:tcW w:w="1840" w:type="dxa"/>
            <w:vAlign w:val="bottom"/>
            <w:tcBorders>
              <w:bottom w:val="single" w:sz="8" w:color="auto"/>
            </w:tcBorders>
            <w:gridSpan w:val="4"/>
            <w:vMerge w:val="continue"/>
          </w:tcPr>
          <w:p>
            <w:pPr>
              <w:spacing w:after="0"/>
              <w:rPr>
                <w:sz w:val="10"/>
                <w:szCs w:val="10"/>
                <w:color w:val="auto"/>
              </w:rPr>
            </w:pPr>
          </w:p>
        </w:tc>
        <w:tc>
          <w:tcPr>
            <w:tcW w:w="80" w:type="dxa"/>
            <w:vAlign w:val="bottom"/>
            <w:vMerge w:val="continue"/>
          </w:tcPr>
          <w:p>
            <w:pPr>
              <w:spacing w:after="0"/>
              <w:rPr>
                <w:sz w:val="10"/>
                <w:szCs w:val="10"/>
                <w:color w:val="auto"/>
              </w:rPr>
            </w:pPr>
          </w:p>
        </w:tc>
        <w:tc>
          <w:tcPr>
            <w:tcW w:w="140" w:type="dxa"/>
            <w:vAlign w:val="bottom"/>
          </w:tcPr>
          <w:p>
            <w:pPr>
              <w:spacing w:after="0"/>
              <w:rPr>
                <w:sz w:val="10"/>
                <w:szCs w:val="10"/>
                <w:color w:val="auto"/>
              </w:rPr>
            </w:pPr>
          </w:p>
        </w:tc>
        <w:tc>
          <w:tcPr>
            <w:tcW w:w="1060" w:type="dxa"/>
            <w:vAlign w:val="bottom"/>
            <w:gridSpan w:val="2"/>
            <w:vMerge w:val="restart"/>
          </w:tcPr>
          <w:p>
            <w:pPr>
              <w:jc w:val="center"/>
              <w:ind w:right="220"/>
              <w:spacing w:after="0" w:line="162" w:lineRule="exact"/>
              <w:rPr>
                <w:sz w:val="20"/>
                <w:szCs w:val="20"/>
                <w:color w:val="auto"/>
              </w:rPr>
            </w:pPr>
            <w:r>
              <w:rPr>
                <w:rFonts w:ascii="Arial" w:cs="Arial" w:eastAsia="Arial" w:hAnsi="Arial"/>
                <w:sz w:val="16"/>
                <w:szCs w:val="16"/>
                <w:b w:val="1"/>
                <w:bCs w:val="1"/>
                <w:color w:val="auto"/>
                <w:w w:val="97"/>
              </w:rPr>
              <w:t>Paid-In</w:t>
            </w:r>
          </w:p>
        </w:tc>
        <w:tc>
          <w:tcPr>
            <w:tcW w:w="200" w:type="dxa"/>
            <w:vAlign w:val="bottom"/>
          </w:tcPr>
          <w:p>
            <w:pPr>
              <w:spacing w:after="0"/>
              <w:rPr>
                <w:sz w:val="10"/>
                <w:szCs w:val="10"/>
                <w:color w:val="auto"/>
              </w:rPr>
            </w:pPr>
          </w:p>
        </w:tc>
        <w:tc>
          <w:tcPr>
            <w:tcW w:w="1160" w:type="dxa"/>
            <w:vAlign w:val="bottom"/>
            <w:gridSpan w:val="2"/>
            <w:vMerge w:val="restart"/>
          </w:tcPr>
          <w:p>
            <w:pPr>
              <w:ind w:left="120"/>
              <w:spacing w:after="0" w:line="162" w:lineRule="exact"/>
              <w:rPr>
                <w:sz w:val="20"/>
                <w:szCs w:val="20"/>
                <w:color w:val="auto"/>
              </w:rPr>
            </w:pPr>
            <w:r>
              <w:rPr>
                <w:rFonts w:ascii="Arial" w:cs="Arial" w:eastAsia="Arial" w:hAnsi="Arial"/>
                <w:sz w:val="16"/>
                <w:szCs w:val="16"/>
                <w:b w:val="1"/>
                <w:bCs w:val="1"/>
                <w:color w:val="auto"/>
              </w:rPr>
              <w:t>Retained</w:t>
            </w:r>
          </w:p>
        </w:tc>
        <w:tc>
          <w:tcPr>
            <w:tcW w:w="1820" w:type="dxa"/>
            <w:vAlign w:val="bottom"/>
            <w:tcBorders>
              <w:bottom w:val="single" w:sz="8" w:color="auto"/>
            </w:tcBorders>
            <w:gridSpan w:val="4"/>
            <w:vMerge w:val="continue"/>
          </w:tcPr>
          <w:p>
            <w:pPr>
              <w:spacing w:after="0"/>
              <w:rPr>
                <w:sz w:val="10"/>
                <w:szCs w:val="10"/>
                <w:color w:val="auto"/>
              </w:rPr>
            </w:pPr>
          </w:p>
        </w:tc>
        <w:tc>
          <w:tcPr>
            <w:tcW w:w="100" w:type="dxa"/>
            <w:vAlign w:val="bottom"/>
            <w:vMerge w:val="continue"/>
          </w:tcPr>
          <w:p>
            <w:pPr>
              <w:spacing w:after="0"/>
              <w:rPr>
                <w:sz w:val="10"/>
                <w:szCs w:val="10"/>
                <w:color w:val="auto"/>
              </w:rPr>
            </w:pPr>
          </w:p>
        </w:tc>
        <w:tc>
          <w:tcPr>
            <w:tcW w:w="120" w:type="dxa"/>
            <w:vAlign w:val="bottom"/>
          </w:tcPr>
          <w:p>
            <w:pPr>
              <w:spacing w:after="0"/>
              <w:rPr>
                <w:sz w:val="10"/>
                <w:szCs w:val="10"/>
                <w:color w:val="auto"/>
              </w:rPr>
            </w:pPr>
          </w:p>
        </w:tc>
        <w:tc>
          <w:tcPr>
            <w:tcW w:w="1060" w:type="dxa"/>
            <w:vAlign w:val="bottom"/>
            <w:gridSpan w:val="2"/>
            <w:vMerge w:val="restart"/>
          </w:tcPr>
          <w:p>
            <w:pPr>
              <w:jc w:val="center"/>
              <w:ind w:right="220"/>
              <w:spacing w:after="0" w:line="162" w:lineRule="exact"/>
              <w:rPr>
                <w:sz w:val="20"/>
                <w:szCs w:val="20"/>
                <w:color w:val="auto"/>
              </w:rPr>
            </w:pPr>
            <w:r>
              <w:rPr>
                <w:rFonts w:ascii="Arial" w:cs="Arial" w:eastAsia="Arial" w:hAnsi="Arial"/>
                <w:sz w:val="16"/>
                <w:szCs w:val="16"/>
                <w:b w:val="1"/>
                <w:bCs w:val="1"/>
                <w:color w:val="auto"/>
                <w:w w:val="93"/>
              </w:rPr>
              <w:t>Controlling</w:t>
            </w:r>
          </w:p>
        </w:tc>
        <w:tc>
          <w:tcPr>
            <w:tcW w:w="1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2780" w:type="dxa"/>
            <w:vAlign w:val="bottom"/>
          </w:tcPr>
          <w:p>
            <w:pPr>
              <w:spacing w:after="0"/>
              <w:rPr>
                <w:sz w:val="2"/>
                <w:szCs w:val="2"/>
                <w:color w:val="auto"/>
              </w:rPr>
            </w:pPr>
          </w:p>
        </w:tc>
        <w:tc>
          <w:tcPr>
            <w:tcW w:w="960" w:type="dxa"/>
            <w:vAlign w:val="bottom"/>
            <w:gridSpan w:val="2"/>
            <w:vMerge w:val="restart"/>
          </w:tcPr>
          <w:p>
            <w:pPr>
              <w:ind w:left="200"/>
              <w:spacing w:after="0"/>
              <w:rPr>
                <w:sz w:val="20"/>
                <w:szCs w:val="20"/>
                <w:color w:val="auto"/>
              </w:rPr>
            </w:pPr>
            <w:r>
              <w:rPr>
                <w:rFonts w:ascii="Arial" w:cs="Arial" w:eastAsia="Arial" w:hAnsi="Arial"/>
                <w:sz w:val="16"/>
                <w:szCs w:val="16"/>
                <w:b w:val="1"/>
                <w:bCs w:val="1"/>
                <w:color w:val="auto"/>
              </w:rPr>
              <w:t>Shares</w:t>
            </w:r>
          </w:p>
        </w:tc>
        <w:tc>
          <w:tcPr>
            <w:tcW w:w="140" w:type="dxa"/>
            <w:vAlign w:val="bottom"/>
          </w:tcPr>
          <w:p>
            <w:pPr>
              <w:spacing w:after="0"/>
              <w:rPr>
                <w:sz w:val="2"/>
                <w:szCs w:val="2"/>
                <w:color w:val="auto"/>
              </w:rPr>
            </w:pPr>
          </w:p>
        </w:tc>
        <w:tc>
          <w:tcPr>
            <w:tcW w:w="820" w:type="dxa"/>
            <w:vAlign w:val="bottom"/>
            <w:gridSpan w:val="2"/>
            <w:vMerge w:val="restart"/>
          </w:tcPr>
          <w:p>
            <w:pPr>
              <w:ind w:left="20"/>
              <w:spacing w:after="0"/>
              <w:rPr>
                <w:sz w:val="20"/>
                <w:szCs w:val="20"/>
                <w:color w:val="auto"/>
              </w:rPr>
            </w:pPr>
            <w:r>
              <w:rPr>
                <w:rFonts w:ascii="Arial" w:cs="Arial" w:eastAsia="Arial" w:hAnsi="Arial"/>
                <w:sz w:val="16"/>
                <w:szCs w:val="16"/>
                <w:b w:val="1"/>
                <w:bCs w:val="1"/>
                <w:color w:val="auto"/>
              </w:rPr>
              <w:t>Amount</w:t>
            </w:r>
          </w:p>
        </w:tc>
        <w:tc>
          <w:tcPr>
            <w:tcW w:w="140" w:type="dxa"/>
            <w:vAlign w:val="bottom"/>
          </w:tcPr>
          <w:p>
            <w:pPr>
              <w:spacing w:after="0"/>
              <w:rPr>
                <w:sz w:val="2"/>
                <w:szCs w:val="2"/>
                <w:color w:val="auto"/>
              </w:rPr>
            </w:pPr>
          </w:p>
        </w:tc>
        <w:tc>
          <w:tcPr>
            <w:tcW w:w="1060" w:type="dxa"/>
            <w:vAlign w:val="bottom"/>
            <w:gridSpan w:val="2"/>
            <w:vMerge w:val="continue"/>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gridSpan w:val="2"/>
            <w:vMerge w:val="continue"/>
          </w:tcPr>
          <w:p>
            <w:pPr>
              <w:spacing w:after="0"/>
              <w:rPr>
                <w:sz w:val="2"/>
                <w:szCs w:val="2"/>
                <w:color w:val="auto"/>
              </w:rPr>
            </w:pPr>
          </w:p>
        </w:tc>
        <w:tc>
          <w:tcPr>
            <w:tcW w:w="960" w:type="dxa"/>
            <w:vAlign w:val="bottom"/>
            <w:gridSpan w:val="2"/>
            <w:vMerge w:val="restart"/>
          </w:tcPr>
          <w:p>
            <w:pPr>
              <w:ind w:left="200"/>
              <w:spacing w:after="0"/>
              <w:rPr>
                <w:sz w:val="20"/>
                <w:szCs w:val="20"/>
                <w:color w:val="auto"/>
              </w:rPr>
            </w:pPr>
            <w:r>
              <w:rPr>
                <w:rFonts w:ascii="Arial" w:cs="Arial" w:eastAsia="Arial" w:hAnsi="Arial"/>
                <w:sz w:val="16"/>
                <w:szCs w:val="16"/>
                <w:b w:val="1"/>
                <w:bCs w:val="1"/>
                <w:color w:val="auto"/>
              </w:rPr>
              <w:t>Shares</w:t>
            </w:r>
          </w:p>
        </w:tc>
        <w:tc>
          <w:tcPr>
            <w:tcW w:w="120" w:type="dxa"/>
            <w:vAlign w:val="bottom"/>
          </w:tcPr>
          <w:p>
            <w:pPr>
              <w:spacing w:after="0"/>
              <w:rPr>
                <w:sz w:val="2"/>
                <w:szCs w:val="2"/>
                <w:color w:val="auto"/>
              </w:rPr>
            </w:pPr>
          </w:p>
        </w:tc>
        <w:tc>
          <w:tcPr>
            <w:tcW w:w="840" w:type="dxa"/>
            <w:vAlign w:val="bottom"/>
            <w:gridSpan w:val="2"/>
            <w:vMerge w:val="restart"/>
          </w:tcPr>
          <w:p>
            <w:pPr>
              <w:ind w:left="20"/>
              <w:spacing w:after="0"/>
              <w:rPr>
                <w:sz w:val="20"/>
                <w:szCs w:val="20"/>
                <w:color w:val="auto"/>
              </w:rPr>
            </w:pPr>
            <w:r>
              <w:rPr>
                <w:rFonts w:ascii="Arial" w:cs="Arial" w:eastAsia="Arial" w:hAnsi="Arial"/>
                <w:sz w:val="16"/>
                <w:szCs w:val="16"/>
                <w:b w:val="1"/>
                <w:bCs w:val="1"/>
                <w:color w:val="auto"/>
              </w:rPr>
              <w:t>Amount</w:t>
            </w:r>
          </w:p>
        </w:tc>
        <w:tc>
          <w:tcPr>
            <w:tcW w:w="120" w:type="dxa"/>
            <w:vAlign w:val="bottom"/>
          </w:tcPr>
          <w:p>
            <w:pPr>
              <w:spacing w:after="0"/>
              <w:rPr>
                <w:sz w:val="2"/>
                <w:szCs w:val="2"/>
                <w:color w:val="auto"/>
              </w:rPr>
            </w:pPr>
          </w:p>
        </w:tc>
        <w:tc>
          <w:tcPr>
            <w:tcW w:w="1060" w:type="dxa"/>
            <w:vAlign w:val="bottom"/>
            <w:gridSpan w:val="2"/>
            <w:vMerge w:val="continue"/>
          </w:tcPr>
          <w:p>
            <w:pPr>
              <w:spacing w:after="0"/>
              <w:rPr>
                <w:sz w:val="2"/>
                <w:szCs w:val="2"/>
                <w:color w:val="auto"/>
              </w:rPr>
            </w:pPr>
          </w:p>
        </w:tc>
        <w:tc>
          <w:tcPr>
            <w:tcW w:w="180" w:type="dxa"/>
            <w:vAlign w:val="bottom"/>
          </w:tcPr>
          <w:p>
            <w:pPr>
              <w:spacing w:after="0"/>
              <w:rPr>
                <w:sz w:val="2"/>
                <w:szCs w:val="2"/>
                <w:color w:val="auto"/>
              </w:rPr>
            </w:pPr>
          </w:p>
        </w:tc>
        <w:tc>
          <w:tcPr>
            <w:tcW w:w="700" w:type="dxa"/>
            <w:vAlign w:val="bottom"/>
            <w:vMerge w:val="restart"/>
          </w:tcPr>
          <w:p>
            <w:pPr>
              <w:jc w:val="right"/>
              <w:ind w:right="179"/>
              <w:spacing w:after="0"/>
              <w:rPr>
                <w:sz w:val="20"/>
                <w:szCs w:val="20"/>
                <w:color w:val="auto"/>
              </w:rPr>
            </w:pPr>
            <w:r>
              <w:rPr>
                <w:rFonts w:ascii="Arial" w:cs="Arial" w:eastAsia="Arial" w:hAnsi="Arial"/>
                <w:sz w:val="16"/>
                <w:szCs w:val="16"/>
                <w:b w:val="1"/>
                <w:bCs w:val="1"/>
                <w:color w:val="auto"/>
              </w:rPr>
              <w:t>Total</w:t>
            </w:r>
          </w:p>
        </w:tc>
        <w:tc>
          <w:tcPr>
            <w:tcW w:w="0" w:type="dxa"/>
            <w:vAlign w:val="bottom"/>
          </w:tcPr>
          <w:p>
            <w:pPr>
              <w:spacing w:after="0" w:line="20" w:lineRule="exact"/>
              <w:rPr>
                <w:sz w:val="1"/>
                <w:szCs w:val="1"/>
                <w:color w:val="auto"/>
              </w:rPr>
            </w:pPr>
          </w:p>
        </w:tc>
      </w:tr>
      <w:tr>
        <w:trPr>
          <w:trHeight w:val="213"/>
        </w:trPr>
        <w:tc>
          <w:tcPr>
            <w:tcW w:w="2780" w:type="dxa"/>
            <w:vAlign w:val="bottom"/>
          </w:tcPr>
          <w:p>
            <w:pPr>
              <w:spacing w:after="0"/>
              <w:rPr>
                <w:sz w:val="18"/>
                <w:szCs w:val="18"/>
                <w:color w:val="auto"/>
              </w:rPr>
            </w:pPr>
          </w:p>
        </w:tc>
        <w:tc>
          <w:tcPr>
            <w:tcW w:w="96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93"/>
              </w:rPr>
              <w:t>Capital</w:t>
            </w:r>
          </w:p>
        </w:tc>
        <w:tc>
          <w:tcPr>
            <w:tcW w:w="200" w:type="dxa"/>
            <w:vAlign w:val="bottom"/>
          </w:tcPr>
          <w:p>
            <w:pPr>
              <w:spacing w:after="0"/>
              <w:rPr>
                <w:sz w:val="18"/>
                <w:szCs w:val="18"/>
                <w:color w:val="auto"/>
              </w:rPr>
            </w:pPr>
          </w:p>
        </w:tc>
        <w:tc>
          <w:tcPr>
            <w:tcW w:w="1160" w:type="dxa"/>
            <w:vAlign w:val="bottom"/>
            <w:gridSpan w:val="2"/>
          </w:tcPr>
          <w:p>
            <w:pPr>
              <w:ind w:left="120"/>
              <w:spacing w:after="0"/>
              <w:rPr>
                <w:sz w:val="20"/>
                <w:szCs w:val="20"/>
                <w:color w:val="auto"/>
              </w:rPr>
            </w:pPr>
            <w:r>
              <w:rPr>
                <w:rFonts w:ascii="Arial" w:cs="Arial" w:eastAsia="Arial" w:hAnsi="Arial"/>
                <w:sz w:val="16"/>
                <w:szCs w:val="16"/>
                <w:b w:val="1"/>
                <w:bCs w:val="1"/>
                <w:color w:val="auto"/>
              </w:rPr>
              <w:t>Earnings</w:t>
            </w:r>
          </w:p>
        </w:tc>
        <w:tc>
          <w:tcPr>
            <w:tcW w:w="96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89"/>
              </w:rPr>
              <w:t>Interest</w:t>
            </w:r>
          </w:p>
        </w:tc>
        <w:tc>
          <w:tcPr>
            <w:tcW w:w="180" w:type="dxa"/>
            <w:vAlign w:val="bottom"/>
          </w:tcPr>
          <w:p>
            <w:pPr>
              <w:spacing w:after="0"/>
              <w:rPr>
                <w:sz w:val="18"/>
                <w:szCs w:val="18"/>
                <w:color w:val="auto"/>
              </w:rPr>
            </w:pPr>
          </w:p>
        </w:tc>
        <w:tc>
          <w:tcPr>
            <w:tcW w:w="7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53"/>
        </w:trPr>
        <w:tc>
          <w:tcPr>
            <w:tcW w:w="2780" w:type="dxa"/>
            <w:vAlign w:val="bottom"/>
          </w:tcPr>
          <w:p>
            <w:pPr>
              <w:spacing w:after="0"/>
              <w:rPr>
                <w:sz w:val="21"/>
                <w:szCs w:val="21"/>
                <w:color w:val="auto"/>
              </w:rPr>
            </w:pPr>
          </w:p>
        </w:tc>
        <w:tc>
          <w:tcPr>
            <w:tcW w:w="880" w:type="dxa"/>
            <w:vAlign w:val="bottom"/>
            <w:tcBorders>
              <w:top w:val="single" w:sz="8" w:color="auto"/>
            </w:tcBorders>
          </w:tcPr>
          <w:p>
            <w:pPr>
              <w:spacing w:after="0"/>
              <w:rPr>
                <w:sz w:val="21"/>
                <w:szCs w:val="21"/>
                <w:color w:val="auto"/>
              </w:rPr>
            </w:pPr>
          </w:p>
        </w:tc>
        <w:tc>
          <w:tcPr>
            <w:tcW w:w="80" w:type="dxa"/>
            <w:vAlign w:val="bottom"/>
          </w:tcPr>
          <w:p>
            <w:pPr>
              <w:spacing w:after="0"/>
              <w:rPr>
                <w:sz w:val="21"/>
                <w:szCs w:val="21"/>
                <w:color w:val="auto"/>
              </w:rPr>
            </w:pPr>
          </w:p>
        </w:tc>
        <w:tc>
          <w:tcPr>
            <w:tcW w:w="140" w:type="dxa"/>
            <w:vAlign w:val="bottom"/>
            <w:tcBorders>
              <w:top w:val="single" w:sz="8" w:color="auto"/>
            </w:tcBorders>
          </w:tcPr>
          <w:p>
            <w:pPr>
              <w:spacing w:after="0"/>
              <w:rPr>
                <w:sz w:val="21"/>
                <w:szCs w:val="21"/>
                <w:color w:val="auto"/>
              </w:rPr>
            </w:pPr>
          </w:p>
        </w:tc>
        <w:tc>
          <w:tcPr>
            <w:tcW w:w="740" w:type="dxa"/>
            <w:vAlign w:val="bottom"/>
            <w:tcBorders>
              <w:top w:val="single" w:sz="8" w:color="auto"/>
            </w:tcBorders>
          </w:tcPr>
          <w:p>
            <w:pPr>
              <w:spacing w:after="0"/>
              <w:rPr>
                <w:sz w:val="21"/>
                <w:szCs w:val="21"/>
                <w:color w:val="auto"/>
              </w:rPr>
            </w:pPr>
          </w:p>
        </w:tc>
        <w:tc>
          <w:tcPr>
            <w:tcW w:w="80" w:type="dxa"/>
            <w:vAlign w:val="bottom"/>
          </w:tcPr>
          <w:p>
            <w:pPr>
              <w:spacing w:after="0"/>
              <w:rPr>
                <w:sz w:val="21"/>
                <w:szCs w:val="21"/>
                <w:color w:val="auto"/>
              </w:rPr>
            </w:pPr>
          </w:p>
        </w:tc>
        <w:tc>
          <w:tcPr>
            <w:tcW w:w="140" w:type="dxa"/>
            <w:vAlign w:val="bottom"/>
            <w:tcBorders>
              <w:top w:val="single" w:sz="8" w:color="auto"/>
            </w:tcBorders>
          </w:tcPr>
          <w:p>
            <w:pPr>
              <w:spacing w:after="0"/>
              <w:rPr>
                <w:sz w:val="21"/>
                <w:szCs w:val="21"/>
                <w:color w:val="auto"/>
              </w:rPr>
            </w:pPr>
          </w:p>
        </w:tc>
        <w:tc>
          <w:tcPr>
            <w:tcW w:w="96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Borders>
              <w:top w:val="single" w:sz="8" w:color="auto"/>
            </w:tcBorders>
          </w:tcPr>
          <w:p>
            <w:pPr>
              <w:spacing w:after="0"/>
              <w:rPr>
                <w:sz w:val="21"/>
                <w:szCs w:val="21"/>
                <w:color w:val="auto"/>
              </w:rPr>
            </w:pPr>
          </w:p>
        </w:tc>
        <w:tc>
          <w:tcPr>
            <w:tcW w:w="106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86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Borders>
              <w:top w:val="single" w:sz="8" w:color="auto"/>
            </w:tcBorders>
          </w:tcPr>
          <w:p>
            <w:pPr>
              <w:spacing w:after="0"/>
              <w:rPr>
                <w:sz w:val="21"/>
                <w:szCs w:val="21"/>
                <w:color w:val="auto"/>
              </w:rPr>
            </w:pPr>
          </w:p>
        </w:tc>
        <w:tc>
          <w:tcPr>
            <w:tcW w:w="74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Borders>
              <w:top w:val="single" w:sz="8" w:color="auto"/>
            </w:tcBorders>
          </w:tcPr>
          <w:p>
            <w:pPr>
              <w:spacing w:after="0"/>
              <w:rPr>
                <w:sz w:val="21"/>
                <w:szCs w:val="21"/>
                <w:color w:val="auto"/>
              </w:rPr>
            </w:pPr>
          </w:p>
        </w:tc>
        <w:tc>
          <w:tcPr>
            <w:tcW w:w="96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Borders>
              <w:top w:val="single" w:sz="8" w:color="auto"/>
            </w:tcBorders>
          </w:tcPr>
          <w:p>
            <w:pPr>
              <w:spacing w:after="0"/>
              <w:rPr>
                <w:sz w:val="21"/>
                <w:szCs w:val="21"/>
                <w:color w:val="auto"/>
              </w:rPr>
            </w:pPr>
          </w:p>
        </w:tc>
        <w:tc>
          <w:tcPr>
            <w:tcW w:w="700" w:type="dxa"/>
            <w:vAlign w:val="bottom"/>
            <w:tcBorders>
              <w:top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78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Balance at December 31, 2021</w:t>
            </w: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28,826</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95,595</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14,641</w:t>
            </w: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40" w:type="dxa"/>
            <w:vAlign w:val="bottom"/>
            <w:shd w:val="clear" w:color="auto" w:fill="CCEEFF"/>
          </w:tcPr>
          <w:p>
            <w:pPr>
              <w:jc w:val="center"/>
              <w:ind w:left="339"/>
              <w:spacing w:after="0"/>
              <w:rPr>
                <w:sz w:val="20"/>
                <w:szCs w:val="20"/>
                <w:color w:val="auto"/>
              </w:rPr>
            </w:pPr>
            <w:r>
              <w:rPr>
                <w:rFonts w:ascii="Arial" w:cs="Arial" w:eastAsia="Arial" w:hAnsi="Arial"/>
                <w:sz w:val="16"/>
                <w:szCs w:val="16"/>
                <w:color w:val="auto"/>
                <w:w w:val="98"/>
              </w:rPr>
              <w:t>(65)</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4,045</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114,244</w:t>
            </w:r>
          </w:p>
        </w:tc>
        <w:tc>
          <w:tcPr>
            <w:tcW w:w="0" w:type="dxa"/>
            <w:vAlign w:val="bottom"/>
          </w:tcPr>
          <w:p>
            <w:pPr>
              <w:spacing w:after="0"/>
              <w:rPr>
                <w:sz w:val="1"/>
                <w:szCs w:val="1"/>
                <w:color w:val="auto"/>
              </w:rPr>
            </w:pPr>
          </w:p>
        </w:tc>
      </w:tr>
      <w:tr>
        <w:trPr>
          <w:trHeight w:val="166"/>
        </w:trPr>
        <w:tc>
          <w:tcPr>
            <w:tcW w:w="2780" w:type="dxa"/>
            <w:vAlign w:val="bottom"/>
          </w:tcPr>
          <w:p>
            <w:pPr>
              <w:ind w:left="20"/>
              <w:spacing w:after="0" w:line="166" w:lineRule="exact"/>
              <w:rPr>
                <w:sz w:val="20"/>
                <w:szCs w:val="20"/>
                <w:color w:val="auto"/>
              </w:rPr>
            </w:pPr>
            <w:r>
              <w:rPr>
                <w:rFonts w:ascii="Arial" w:cs="Arial" w:eastAsia="Arial" w:hAnsi="Arial"/>
                <w:sz w:val="16"/>
                <w:szCs w:val="16"/>
                <w:color w:val="auto"/>
                <w:w w:val="98"/>
              </w:rPr>
              <w:t>Net income attributable to The Pennant</w:t>
            </w:r>
          </w:p>
        </w:tc>
        <w:tc>
          <w:tcPr>
            <w:tcW w:w="960" w:type="dxa"/>
            <w:vAlign w:val="bottom"/>
            <w:gridSpan w:val="2"/>
            <w:vMerge w:val="restart"/>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4"/>
                <w:szCs w:val="14"/>
                <w:color w:val="auto"/>
              </w:rPr>
            </w:pPr>
          </w:p>
        </w:tc>
        <w:tc>
          <w:tcPr>
            <w:tcW w:w="820" w:type="dxa"/>
            <w:vAlign w:val="bottom"/>
            <w:gridSpan w:val="2"/>
            <w:vMerge w:val="restart"/>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4"/>
                <w:szCs w:val="14"/>
                <w:color w:val="auto"/>
              </w:rPr>
            </w:pPr>
          </w:p>
        </w:tc>
        <w:tc>
          <w:tcPr>
            <w:tcW w:w="1060" w:type="dxa"/>
            <w:vAlign w:val="bottom"/>
            <w:gridSpan w:val="2"/>
            <w:vMerge w:val="restart"/>
          </w:tcPr>
          <w:p>
            <w:pPr>
              <w:jc w:val="right"/>
              <w:ind w:right="16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4"/>
                <w:szCs w:val="14"/>
                <w:color w:val="auto"/>
              </w:rPr>
            </w:pPr>
          </w:p>
        </w:tc>
        <w:tc>
          <w:tcPr>
            <w:tcW w:w="1060" w:type="dxa"/>
            <w:vAlign w:val="bottom"/>
            <w:vMerge w:val="restart"/>
          </w:tcPr>
          <w:p>
            <w:pPr>
              <w:jc w:val="right"/>
              <w:spacing w:after="0"/>
              <w:rPr>
                <w:sz w:val="20"/>
                <w:szCs w:val="20"/>
                <w:color w:val="auto"/>
              </w:rPr>
            </w:pPr>
            <w:r>
              <w:rPr>
                <w:rFonts w:ascii="Arial" w:cs="Arial" w:eastAsia="Arial" w:hAnsi="Arial"/>
                <w:sz w:val="16"/>
                <w:szCs w:val="16"/>
                <w:color w:val="auto"/>
              </w:rPr>
              <w:t>1,014</w:t>
            </w:r>
          </w:p>
        </w:tc>
        <w:tc>
          <w:tcPr>
            <w:tcW w:w="100" w:type="dxa"/>
            <w:vAlign w:val="bottom"/>
          </w:tcPr>
          <w:p>
            <w:pPr>
              <w:spacing w:after="0"/>
              <w:rPr>
                <w:sz w:val="14"/>
                <w:szCs w:val="14"/>
                <w:color w:val="auto"/>
              </w:rPr>
            </w:pPr>
          </w:p>
        </w:tc>
        <w:tc>
          <w:tcPr>
            <w:tcW w:w="960" w:type="dxa"/>
            <w:vAlign w:val="bottom"/>
            <w:gridSpan w:val="2"/>
            <w:vMerge w:val="restart"/>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4"/>
                <w:szCs w:val="14"/>
                <w:color w:val="auto"/>
              </w:rPr>
            </w:pPr>
          </w:p>
        </w:tc>
        <w:tc>
          <w:tcPr>
            <w:tcW w:w="840" w:type="dxa"/>
            <w:vAlign w:val="bottom"/>
            <w:gridSpan w:val="2"/>
            <w:vMerge w:val="restart"/>
          </w:tcPr>
          <w:p>
            <w:pPr>
              <w:jc w:val="center"/>
              <w:ind w:left="279"/>
              <w:spacing w:after="0"/>
              <w:rPr>
                <w:sz w:val="20"/>
                <w:szCs w:val="20"/>
                <w:color w:val="auto"/>
              </w:rPr>
            </w:pPr>
            <w:r>
              <w:rPr>
                <w:rFonts w:ascii="Arial" w:cs="Arial" w:eastAsia="Arial" w:hAnsi="Arial"/>
                <w:sz w:val="16"/>
                <w:szCs w:val="16"/>
                <w:color w:val="auto"/>
                <w:w w:val="99"/>
              </w:rPr>
              <w:t>—</w:t>
            </w:r>
          </w:p>
        </w:tc>
        <w:tc>
          <w:tcPr>
            <w:tcW w:w="120" w:type="dxa"/>
            <w:vAlign w:val="bottom"/>
          </w:tcPr>
          <w:p>
            <w:pPr>
              <w:spacing w:after="0"/>
              <w:rPr>
                <w:sz w:val="14"/>
                <w:szCs w:val="14"/>
                <w:color w:val="auto"/>
              </w:rPr>
            </w:pPr>
          </w:p>
        </w:tc>
        <w:tc>
          <w:tcPr>
            <w:tcW w:w="1060" w:type="dxa"/>
            <w:vAlign w:val="bottom"/>
            <w:gridSpan w:val="2"/>
            <w:vMerge w:val="restart"/>
          </w:tcPr>
          <w:p>
            <w:pPr>
              <w:jc w:val="right"/>
              <w:ind w:right="16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4"/>
                <w:szCs w:val="14"/>
                <w:color w:val="auto"/>
              </w:rPr>
            </w:pPr>
          </w:p>
        </w:tc>
        <w:tc>
          <w:tcPr>
            <w:tcW w:w="700" w:type="dxa"/>
            <w:vAlign w:val="bottom"/>
            <w:vMerge w:val="restart"/>
          </w:tcPr>
          <w:p>
            <w:pPr>
              <w:jc w:val="right"/>
              <w:spacing w:after="0"/>
              <w:rPr>
                <w:sz w:val="20"/>
                <w:szCs w:val="20"/>
                <w:color w:val="auto"/>
              </w:rPr>
            </w:pPr>
            <w:r>
              <w:rPr>
                <w:rFonts w:ascii="Arial" w:cs="Arial" w:eastAsia="Arial" w:hAnsi="Arial"/>
                <w:sz w:val="16"/>
                <w:szCs w:val="16"/>
                <w:color w:val="auto"/>
              </w:rPr>
              <w:t>1,014</w:t>
            </w:r>
          </w:p>
        </w:tc>
        <w:tc>
          <w:tcPr>
            <w:tcW w:w="0" w:type="dxa"/>
            <w:vAlign w:val="bottom"/>
          </w:tcPr>
          <w:p>
            <w:pPr>
              <w:spacing w:after="0"/>
              <w:rPr>
                <w:sz w:val="1"/>
                <w:szCs w:val="1"/>
                <w:color w:val="auto"/>
              </w:rPr>
            </w:pPr>
          </w:p>
        </w:tc>
      </w:tr>
      <w:tr>
        <w:trPr>
          <w:trHeight w:val="209"/>
        </w:trPr>
        <w:tc>
          <w:tcPr>
            <w:tcW w:w="2780" w:type="dxa"/>
            <w:vAlign w:val="bottom"/>
          </w:tcPr>
          <w:p>
            <w:pPr>
              <w:ind w:left="20"/>
              <w:spacing w:after="0"/>
              <w:rPr>
                <w:sz w:val="20"/>
                <w:szCs w:val="20"/>
                <w:color w:val="auto"/>
              </w:rPr>
            </w:pPr>
            <w:r>
              <w:rPr>
                <w:rFonts w:ascii="Arial" w:cs="Arial" w:eastAsia="Arial" w:hAnsi="Arial"/>
                <w:sz w:val="16"/>
                <w:szCs w:val="16"/>
                <w:color w:val="auto"/>
              </w:rPr>
              <w:t>Group, Inc.</w:t>
            </w:r>
          </w:p>
        </w:tc>
        <w:tc>
          <w:tcPr>
            <w:tcW w:w="96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gridSpan w:val="2"/>
            <w:vMerge w:val="continue"/>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gridSpan w:val="2"/>
            <w:vMerge w:val="continue"/>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69"/>
        </w:trPr>
        <w:tc>
          <w:tcPr>
            <w:tcW w:w="2780" w:type="dxa"/>
            <w:vAlign w:val="bottom"/>
            <w:shd w:val="clear" w:color="auto" w:fill="CCEEFF"/>
          </w:tcPr>
          <w:p>
            <w:pPr>
              <w:ind w:left="20"/>
              <w:spacing w:after="0" w:line="169" w:lineRule="exact"/>
              <w:rPr>
                <w:sz w:val="20"/>
                <w:szCs w:val="20"/>
                <w:color w:val="auto"/>
              </w:rPr>
            </w:pPr>
            <w:r>
              <w:rPr>
                <w:rFonts w:ascii="Arial" w:cs="Arial" w:eastAsia="Arial" w:hAnsi="Arial"/>
                <w:sz w:val="16"/>
                <w:szCs w:val="16"/>
                <w:color w:val="auto"/>
              </w:rPr>
              <w:t>Net income attributable to Non-</w:t>
            </w:r>
          </w:p>
        </w:tc>
        <w:tc>
          <w:tcPr>
            <w:tcW w:w="96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4"/>
                <w:szCs w:val="14"/>
                <w:color w:val="auto"/>
              </w:rPr>
            </w:pPr>
          </w:p>
        </w:tc>
        <w:tc>
          <w:tcPr>
            <w:tcW w:w="82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4"/>
                <w:szCs w:val="14"/>
                <w:color w:val="auto"/>
              </w:rPr>
            </w:pPr>
          </w:p>
        </w:tc>
        <w:tc>
          <w:tcPr>
            <w:tcW w:w="106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4"/>
                <w:szCs w:val="14"/>
                <w:color w:val="auto"/>
              </w:rPr>
            </w:pPr>
          </w:p>
        </w:tc>
        <w:tc>
          <w:tcPr>
            <w:tcW w:w="116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96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4"/>
                <w:szCs w:val="14"/>
                <w:color w:val="auto"/>
              </w:rPr>
            </w:pPr>
          </w:p>
        </w:tc>
        <w:tc>
          <w:tcPr>
            <w:tcW w:w="840" w:type="dxa"/>
            <w:vAlign w:val="bottom"/>
            <w:gridSpan w:val="2"/>
            <w:vMerge w:val="restart"/>
            <w:shd w:val="clear" w:color="auto" w:fill="CCEEFF"/>
          </w:tcPr>
          <w:p>
            <w:pPr>
              <w:jc w:val="center"/>
              <w:ind w:left="279"/>
              <w:spacing w:after="0"/>
              <w:rPr>
                <w:sz w:val="20"/>
                <w:szCs w:val="20"/>
                <w:color w:val="auto"/>
              </w:rPr>
            </w:pPr>
            <w:r>
              <w:rPr>
                <w:rFonts w:ascii="Arial" w:cs="Arial" w:eastAsia="Arial" w:hAnsi="Arial"/>
                <w:sz w:val="16"/>
                <w:szCs w:val="16"/>
                <w:color w:val="auto"/>
                <w:w w:val="99"/>
              </w:rPr>
              <w:t>—</w:t>
            </w:r>
          </w:p>
        </w:tc>
        <w:tc>
          <w:tcPr>
            <w:tcW w:w="120" w:type="dxa"/>
            <w:vAlign w:val="bottom"/>
            <w:shd w:val="clear" w:color="auto" w:fill="CCEEFF"/>
          </w:tcPr>
          <w:p>
            <w:pPr>
              <w:spacing w:after="0"/>
              <w:rPr>
                <w:sz w:val="14"/>
                <w:szCs w:val="14"/>
                <w:color w:val="auto"/>
              </w:rPr>
            </w:pPr>
          </w:p>
        </w:tc>
        <w:tc>
          <w:tcPr>
            <w:tcW w:w="9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144</w:t>
            </w: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144</w:t>
            </w:r>
          </w:p>
        </w:tc>
        <w:tc>
          <w:tcPr>
            <w:tcW w:w="0" w:type="dxa"/>
            <w:vAlign w:val="bottom"/>
          </w:tcPr>
          <w:p>
            <w:pPr>
              <w:spacing w:after="0"/>
              <w:rPr>
                <w:sz w:val="1"/>
                <w:szCs w:val="1"/>
                <w:color w:val="auto"/>
              </w:rPr>
            </w:pPr>
          </w:p>
        </w:tc>
      </w:tr>
      <w:tr>
        <w:trPr>
          <w:trHeight w:val="212"/>
        </w:trPr>
        <w:tc>
          <w:tcPr>
            <w:tcW w:w="2780" w:type="dxa"/>
            <w:vAlign w:val="bottom"/>
            <w:shd w:val="clear" w:color="auto" w:fill="CCEEFF"/>
          </w:tcPr>
          <w:p>
            <w:pPr>
              <w:ind w:left="20"/>
              <w:spacing w:after="0"/>
              <w:rPr>
                <w:sz w:val="20"/>
                <w:szCs w:val="20"/>
                <w:color w:val="auto"/>
              </w:rPr>
            </w:pPr>
            <w:r>
              <w:rPr>
                <w:rFonts w:ascii="Arial" w:cs="Arial" w:eastAsia="Arial" w:hAnsi="Arial"/>
                <w:sz w:val="16"/>
                <w:szCs w:val="16"/>
                <w:color w:val="auto"/>
              </w:rPr>
              <w:t>Controlling Interests</w:t>
            </w:r>
          </w:p>
        </w:tc>
        <w:tc>
          <w:tcPr>
            <w:tcW w:w="960" w:type="dxa"/>
            <w:vAlign w:val="bottom"/>
            <w:gridSpan w:val="2"/>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gridSpan w:val="2"/>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60" w:type="dxa"/>
            <w:vAlign w:val="bottom"/>
            <w:gridSpan w:val="2"/>
            <w:vMerge w:val="continue"/>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60" w:type="dxa"/>
            <w:vAlign w:val="bottom"/>
            <w:gridSpan w:val="2"/>
            <w:vMerge w:val="continue"/>
            <w:shd w:val="clear" w:color="auto" w:fill="CCEEFF"/>
          </w:tcPr>
          <w:p>
            <w:pPr>
              <w:spacing w:after="0"/>
              <w:rPr>
                <w:sz w:val="18"/>
                <w:szCs w:val="18"/>
                <w:color w:val="auto"/>
              </w:rPr>
            </w:pPr>
          </w:p>
        </w:tc>
        <w:tc>
          <w:tcPr>
            <w:tcW w:w="960" w:type="dxa"/>
            <w:vAlign w:val="bottom"/>
            <w:gridSpan w:val="2"/>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gridSpan w:val="2"/>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780" w:type="dxa"/>
            <w:vAlign w:val="bottom"/>
          </w:tcPr>
          <w:p>
            <w:pPr>
              <w:ind w:left="20"/>
              <w:spacing w:after="0"/>
              <w:rPr>
                <w:sz w:val="20"/>
                <w:szCs w:val="20"/>
                <w:color w:val="auto"/>
              </w:rPr>
            </w:pPr>
            <w:r>
              <w:rPr>
                <w:rFonts w:ascii="Arial" w:cs="Arial" w:eastAsia="Arial" w:hAnsi="Arial"/>
                <w:sz w:val="16"/>
                <w:szCs w:val="16"/>
                <w:color w:val="auto"/>
              </w:rPr>
              <w:t>Share-based compensation</w:t>
            </w:r>
          </w:p>
        </w:tc>
        <w:tc>
          <w:tcPr>
            <w:tcW w:w="9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2,440</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9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840" w:type="dxa"/>
            <w:vAlign w:val="bottom"/>
            <w:gridSpan w:val="2"/>
          </w:tcPr>
          <w:p>
            <w:pPr>
              <w:jc w:val="center"/>
              <w:ind w:left="279"/>
              <w:spacing w:after="0"/>
              <w:rPr>
                <w:sz w:val="20"/>
                <w:szCs w:val="20"/>
                <w:color w:val="auto"/>
              </w:rPr>
            </w:pPr>
            <w:r>
              <w:rPr>
                <w:rFonts w:ascii="Arial" w:cs="Arial" w:eastAsia="Arial" w:hAnsi="Arial"/>
                <w:sz w:val="16"/>
                <w:szCs w:val="16"/>
                <w:color w:val="auto"/>
                <w:w w:val="99"/>
              </w:rPr>
              <w:t>—</w:t>
            </w:r>
          </w:p>
        </w:tc>
        <w:tc>
          <w:tcPr>
            <w:tcW w:w="120" w:type="dxa"/>
            <w:vAlign w:val="bottom"/>
          </w:tcPr>
          <w:p>
            <w:pPr>
              <w:spacing w:after="0"/>
              <w:rPr>
                <w:sz w:val="18"/>
                <w:szCs w:val="18"/>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2,440</w:t>
            </w:r>
          </w:p>
        </w:tc>
        <w:tc>
          <w:tcPr>
            <w:tcW w:w="0" w:type="dxa"/>
            <w:vAlign w:val="bottom"/>
          </w:tcPr>
          <w:p>
            <w:pPr>
              <w:spacing w:after="0"/>
              <w:rPr>
                <w:sz w:val="1"/>
                <w:szCs w:val="1"/>
                <w:color w:val="auto"/>
              </w:rPr>
            </w:pPr>
          </w:p>
        </w:tc>
      </w:tr>
      <w:tr>
        <w:trPr>
          <w:trHeight w:val="169"/>
        </w:trPr>
        <w:tc>
          <w:tcPr>
            <w:tcW w:w="2780" w:type="dxa"/>
            <w:vAlign w:val="bottom"/>
            <w:shd w:val="clear" w:color="auto" w:fill="CCEEFF"/>
          </w:tcPr>
          <w:p>
            <w:pPr>
              <w:ind w:left="20"/>
              <w:spacing w:after="0" w:line="169" w:lineRule="exact"/>
              <w:rPr>
                <w:sz w:val="20"/>
                <w:szCs w:val="20"/>
                <w:color w:val="auto"/>
              </w:rPr>
            </w:pPr>
            <w:r>
              <w:rPr>
                <w:rFonts w:ascii="Arial" w:cs="Arial" w:eastAsia="Arial" w:hAnsi="Arial"/>
                <w:sz w:val="16"/>
                <w:szCs w:val="16"/>
                <w:color w:val="auto"/>
              </w:rPr>
              <w:t>Issuance of common stock from the</w:t>
            </w:r>
          </w:p>
        </w:tc>
        <w:tc>
          <w:tcPr>
            <w:tcW w:w="8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21</w:t>
            </w: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9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89</w:t>
            </w: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16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96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4"/>
                <w:szCs w:val="14"/>
                <w:color w:val="auto"/>
              </w:rPr>
            </w:pPr>
          </w:p>
        </w:tc>
        <w:tc>
          <w:tcPr>
            <w:tcW w:w="840" w:type="dxa"/>
            <w:vAlign w:val="bottom"/>
            <w:gridSpan w:val="2"/>
            <w:vMerge w:val="restart"/>
            <w:shd w:val="clear" w:color="auto" w:fill="CCEEFF"/>
          </w:tcPr>
          <w:p>
            <w:pPr>
              <w:jc w:val="center"/>
              <w:ind w:left="279"/>
              <w:spacing w:after="0"/>
              <w:rPr>
                <w:sz w:val="20"/>
                <w:szCs w:val="20"/>
                <w:color w:val="auto"/>
              </w:rPr>
            </w:pPr>
            <w:r>
              <w:rPr>
                <w:rFonts w:ascii="Arial" w:cs="Arial" w:eastAsia="Arial" w:hAnsi="Arial"/>
                <w:sz w:val="16"/>
                <w:szCs w:val="16"/>
                <w:color w:val="auto"/>
                <w:w w:val="99"/>
              </w:rPr>
              <w:t>—</w:t>
            </w:r>
          </w:p>
        </w:tc>
        <w:tc>
          <w:tcPr>
            <w:tcW w:w="120" w:type="dxa"/>
            <w:vAlign w:val="bottom"/>
            <w:shd w:val="clear" w:color="auto" w:fill="CCEEFF"/>
          </w:tcPr>
          <w:p>
            <w:pPr>
              <w:spacing w:after="0"/>
              <w:rPr>
                <w:sz w:val="14"/>
                <w:szCs w:val="14"/>
                <w:color w:val="auto"/>
              </w:rPr>
            </w:pPr>
          </w:p>
        </w:tc>
        <w:tc>
          <w:tcPr>
            <w:tcW w:w="106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4"/>
                <w:szCs w:val="14"/>
                <w:color w:val="auto"/>
              </w:rPr>
            </w:pPr>
          </w:p>
        </w:tc>
        <w:tc>
          <w:tcPr>
            <w:tcW w:w="7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90</w:t>
            </w:r>
          </w:p>
        </w:tc>
        <w:tc>
          <w:tcPr>
            <w:tcW w:w="0" w:type="dxa"/>
            <w:vAlign w:val="bottom"/>
          </w:tcPr>
          <w:p>
            <w:pPr>
              <w:spacing w:after="0"/>
              <w:rPr>
                <w:sz w:val="1"/>
                <w:szCs w:val="1"/>
                <w:color w:val="auto"/>
              </w:rPr>
            </w:pPr>
          </w:p>
        </w:tc>
      </w:tr>
      <w:tr>
        <w:trPr>
          <w:trHeight w:val="212"/>
        </w:trPr>
        <w:tc>
          <w:tcPr>
            <w:tcW w:w="2780" w:type="dxa"/>
            <w:vAlign w:val="bottom"/>
            <w:shd w:val="clear" w:color="auto" w:fill="CCEEFF"/>
          </w:tcPr>
          <w:p>
            <w:pPr>
              <w:ind w:left="20"/>
              <w:spacing w:after="0"/>
              <w:rPr>
                <w:sz w:val="20"/>
                <w:szCs w:val="20"/>
                <w:color w:val="auto"/>
              </w:rPr>
            </w:pPr>
            <w:r>
              <w:rPr>
                <w:rFonts w:ascii="Arial" w:cs="Arial" w:eastAsia="Arial" w:hAnsi="Arial"/>
                <w:sz w:val="16"/>
                <w:szCs w:val="16"/>
                <w:color w:val="auto"/>
              </w:rPr>
              <w:t>exercise of stock options</w:t>
            </w:r>
          </w:p>
        </w:tc>
        <w:tc>
          <w:tcPr>
            <w:tcW w:w="88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60" w:type="dxa"/>
            <w:vAlign w:val="bottom"/>
            <w:gridSpan w:val="2"/>
            <w:vMerge w:val="continue"/>
            <w:shd w:val="clear" w:color="auto" w:fill="CCEEFF"/>
          </w:tcPr>
          <w:p>
            <w:pPr>
              <w:spacing w:after="0"/>
              <w:rPr>
                <w:sz w:val="18"/>
                <w:szCs w:val="18"/>
                <w:color w:val="auto"/>
              </w:rPr>
            </w:pPr>
          </w:p>
        </w:tc>
        <w:tc>
          <w:tcPr>
            <w:tcW w:w="960" w:type="dxa"/>
            <w:vAlign w:val="bottom"/>
            <w:gridSpan w:val="2"/>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gridSpan w:val="2"/>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gridSpan w:val="2"/>
            <w:vMerge w:val="continue"/>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780" w:type="dxa"/>
            <w:vAlign w:val="bottom"/>
          </w:tcPr>
          <w:p>
            <w:pPr>
              <w:ind w:left="20"/>
              <w:spacing w:after="0"/>
              <w:rPr>
                <w:sz w:val="20"/>
                <w:szCs w:val="20"/>
                <w:color w:val="auto"/>
              </w:rPr>
            </w:pPr>
            <w:r>
              <w:rPr>
                <w:rFonts w:ascii="Arial" w:cs="Arial" w:eastAsia="Arial" w:hAnsi="Arial"/>
                <w:sz w:val="16"/>
                <w:szCs w:val="16"/>
                <w:color w:val="auto"/>
              </w:rPr>
              <w:t>Net issuance of restricted stock</w:t>
            </w:r>
          </w:p>
        </w:tc>
        <w:tc>
          <w:tcPr>
            <w:tcW w:w="880" w:type="dxa"/>
            <w:vAlign w:val="bottom"/>
          </w:tcPr>
          <w:p>
            <w:pPr>
              <w:jc w:val="right"/>
              <w:spacing w:after="0"/>
              <w:rPr>
                <w:sz w:val="20"/>
                <w:szCs w:val="20"/>
                <w:color w:val="auto"/>
              </w:rPr>
            </w:pPr>
            <w:r>
              <w:rPr>
                <w:rFonts w:ascii="Arial" w:cs="Arial" w:eastAsia="Arial" w:hAnsi="Arial"/>
                <w:sz w:val="16"/>
                <w:szCs w:val="16"/>
                <w:color w:val="auto"/>
              </w:rPr>
              <w:t>2</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8"/>
                <w:szCs w:val="18"/>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9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840" w:type="dxa"/>
            <w:vAlign w:val="bottom"/>
            <w:gridSpan w:val="2"/>
          </w:tcPr>
          <w:p>
            <w:pPr>
              <w:jc w:val="center"/>
              <w:ind w:left="279"/>
              <w:spacing w:after="0"/>
              <w:rPr>
                <w:sz w:val="20"/>
                <w:szCs w:val="20"/>
                <w:color w:val="auto"/>
              </w:rPr>
            </w:pPr>
            <w:r>
              <w:rPr>
                <w:rFonts w:ascii="Arial" w:cs="Arial" w:eastAsia="Arial" w:hAnsi="Arial"/>
                <w:sz w:val="16"/>
                <w:szCs w:val="16"/>
                <w:color w:val="auto"/>
                <w:w w:val="99"/>
              </w:rPr>
              <w:t>—</w:t>
            </w:r>
          </w:p>
        </w:tc>
        <w:tc>
          <w:tcPr>
            <w:tcW w:w="120" w:type="dxa"/>
            <w:vAlign w:val="bottom"/>
          </w:tcPr>
          <w:p>
            <w:pPr>
              <w:spacing w:after="0"/>
              <w:rPr>
                <w:sz w:val="18"/>
                <w:szCs w:val="18"/>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8"/>
        </w:trPr>
        <w:tc>
          <w:tcPr>
            <w:tcW w:w="27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Balance at March 31, 2022</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28,849</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29</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98,124</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00" w:type="dxa"/>
            <w:vAlign w:val="bottom"/>
            <w:tcBorders>
              <w:top w:val="single" w:sz="8" w:color="auto"/>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15,655</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40" w:type="dxa"/>
            <w:vAlign w:val="bottom"/>
            <w:tcBorders>
              <w:top w:val="single" w:sz="8" w:color="auto"/>
              <w:bottom w:val="single" w:sz="8" w:color="auto"/>
            </w:tcBorders>
            <w:shd w:val="clear" w:color="auto" w:fill="CCEEFF"/>
          </w:tcPr>
          <w:p>
            <w:pPr>
              <w:jc w:val="center"/>
              <w:ind w:left="339"/>
              <w:spacing w:after="0"/>
              <w:rPr>
                <w:sz w:val="20"/>
                <w:szCs w:val="20"/>
                <w:color w:val="auto"/>
              </w:rPr>
            </w:pPr>
            <w:r>
              <w:rPr>
                <w:rFonts w:ascii="Arial" w:cs="Arial" w:eastAsia="Arial" w:hAnsi="Arial"/>
                <w:sz w:val="16"/>
                <w:szCs w:val="16"/>
                <w:color w:val="auto"/>
                <w:w w:val="98"/>
              </w:rPr>
              <w:t>(65)</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4,189</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117,932</w:t>
            </w:r>
          </w:p>
        </w:tc>
        <w:tc>
          <w:tcPr>
            <w:tcW w:w="0" w:type="dxa"/>
            <w:vAlign w:val="bottom"/>
          </w:tcPr>
          <w:p>
            <w:pPr>
              <w:spacing w:after="0"/>
              <w:rPr>
                <w:sz w:val="1"/>
                <w:szCs w:val="1"/>
                <w:color w:val="auto"/>
              </w:rPr>
            </w:pPr>
          </w:p>
        </w:tc>
      </w:tr>
      <w:tr>
        <w:trPr>
          <w:trHeight w:val="20"/>
        </w:trPr>
        <w:tc>
          <w:tcPr>
            <w:tcW w:w="2780" w:type="dxa"/>
            <w:vAlign w:val="bottom"/>
            <w:tcBorders>
              <w:top w:val="single" w:sz="8" w:color="CCEEFF"/>
              <w:bottom w:val="single" w:sz="8" w:color="CCEEFF"/>
            </w:tcBorders>
            <w:vMerge w:val="restart"/>
          </w:tcPr>
          <w:p>
            <w:pPr>
              <w:ind w:left="20"/>
              <w:spacing w:after="0" w:line="153" w:lineRule="exact"/>
              <w:rPr>
                <w:sz w:val="20"/>
                <w:szCs w:val="20"/>
                <w:color w:val="auto"/>
              </w:rPr>
            </w:pPr>
            <w:r>
              <w:rPr>
                <w:rFonts w:ascii="Arial" w:cs="Arial" w:eastAsia="Arial" w:hAnsi="Arial"/>
                <w:sz w:val="16"/>
                <w:szCs w:val="16"/>
                <w:color w:val="auto"/>
              </w:rPr>
              <w:t>Net loss attributable to The Pennant</w:t>
            </w: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3"/>
        </w:trPr>
        <w:tc>
          <w:tcPr>
            <w:tcW w:w="2780" w:type="dxa"/>
            <w:vAlign w:val="bottom"/>
            <w:vMerge w:val="continue"/>
          </w:tcPr>
          <w:p>
            <w:pPr>
              <w:spacing w:after="0"/>
              <w:rPr>
                <w:sz w:val="9"/>
                <w:szCs w:val="9"/>
                <w:color w:val="auto"/>
              </w:rPr>
            </w:pPr>
          </w:p>
        </w:tc>
        <w:tc>
          <w:tcPr>
            <w:tcW w:w="960" w:type="dxa"/>
            <w:vAlign w:val="bottom"/>
            <w:gridSpan w:val="2"/>
            <w:vMerge w:val="restart"/>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9"/>
                <w:szCs w:val="9"/>
                <w:color w:val="auto"/>
              </w:rPr>
            </w:pPr>
          </w:p>
        </w:tc>
        <w:tc>
          <w:tcPr>
            <w:tcW w:w="820" w:type="dxa"/>
            <w:vAlign w:val="bottom"/>
            <w:gridSpan w:val="2"/>
            <w:vMerge w:val="restart"/>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9"/>
                <w:szCs w:val="9"/>
                <w:color w:val="auto"/>
              </w:rPr>
            </w:pPr>
          </w:p>
        </w:tc>
        <w:tc>
          <w:tcPr>
            <w:tcW w:w="1060" w:type="dxa"/>
            <w:vAlign w:val="bottom"/>
            <w:gridSpan w:val="2"/>
            <w:vMerge w:val="restart"/>
          </w:tcPr>
          <w:p>
            <w:pPr>
              <w:jc w:val="right"/>
              <w:ind w:right="16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9"/>
                <w:szCs w:val="9"/>
                <w:color w:val="auto"/>
              </w:rPr>
            </w:pPr>
          </w:p>
        </w:tc>
        <w:tc>
          <w:tcPr>
            <w:tcW w:w="1060" w:type="dxa"/>
            <w:vAlign w:val="bottom"/>
            <w:vMerge w:val="restart"/>
          </w:tcPr>
          <w:p>
            <w:pPr>
              <w:jc w:val="right"/>
              <w:spacing w:after="0"/>
              <w:rPr>
                <w:sz w:val="20"/>
                <w:szCs w:val="20"/>
                <w:color w:val="auto"/>
              </w:rPr>
            </w:pPr>
            <w:r>
              <w:rPr>
                <w:rFonts w:ascii="Arial" w:cs="Arial" w:eastAsia="Arial" w:hAnsi="Arial"/>
                <w:sz w:val="16"/>
                <w:szCs w:val="16"/>
                <w:color w:val="auto"/>
              </w:rPr>
              <w:t>(2,676)</w:t>
            </w:r>
          </w:p>
        </w:tc>
        <w:tc>
          <w:tcPr>
            <w:tcW w:w="100" w:type="dxa"/>
            <w:vAlign w:val="bottom"/>
          </w:tcPr>
          <w:p>
            <w:pPr>
              <w:spacing w:after="0"/>
              <w:rPr>
                <w:sz w:val="9"/>
                <w:szCs w:val="9"/>
                <w:color w:val="auto"/>
              </w:rPr>
            </w:pPr>
          </w:p>
        </w:tc>
        <w:tc>
          <w:tcPr>
            <w:tcW w:w="960" w:type="dxa"/>
            <w:vAlign w:val="bottom"/>
            <w:gridSpan w:val="2"/>
            <w:vMerge w:val="restart"/>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9"/>
                <w:szCs w:val="9"/>
                <w:color w:val="auto"/>
              </w:rPr>
            </w:pPr>
          </w:p>
        </w:tc>
        <w:tc>
          <w:tcPr>
            <w:tcW w:w="840" w:type="dxa"/>
            <w:vAlign w:val="bottom"/>
            <w:gridSpan w:val="2"/>
            <w:vMerge w:val="restart"/>
          </w:tcPr>
          <w:p>
            <w:pPr>
              <w:jc w:val="center"/>
              <w:ind w:left="279"/>
              <w:spacing w:after="0"/>
              <w:rPr>
                <w:sz w:val="20"/>
                <w:szCs w:val="20"/>
                <w:color w:val="auto"/>
              </w:rPr>
            </w:pPr>
            <w:r>
              <w:rPr>
                <w:rFonts w:ascii="Arial" w:cs="Arial" w:eastAsia="Arial" w:hAnsi="Arial"/>
                <w:sz w:val="16"/>
                <w:szCs w:val="16"/>
                <w:color w:val="auto"/>
                <w:w w:val="99"/>
              </w:rPr>
              <w:t>—</w:t>
            </w:r>
          </w:p>
        </w:tc>
        <w:tc>
          <w:tcPr>
            <w:tcW w:w="120" w:type="dxa"/>
            <w:vAlign w:val="bottom"/>
          </w:tcPr>
          <w:p>
            <w:pPr>
              <w:spacing w:after="0"/>
              <w:rPr>
                <w:sz w:val="9"/>
                <w:szCs w:val="9"/>
                <w:color w:val="auto"/>
              </w:rPr>
            </w:pPr>
          </w:p>
        </w:tc>
        <w:tc>
          <w:tcPr>
            <w:tcW w:w="1060" w:type="dxa"/>
            <w:vAlign w:val="bottom"/>
            <w:gridSpan w:val="2"/>
            <w:vMerge w:val="restart"/>
          </w:tcPr>
          <w:p>
            <w:pPr>
              <w:jc w:val="right"/>
              <w:ind w:right="16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9"/>
                <w:szCs w:val="9"/>
                <w:color w:val="auto"/>
              </w:rPr>
            </w:pPr>
          </w:p>
        </w:tc>
        <w:tc>
          <w:tcPr>
            <w:tcW w:w="700" w:type="dxa"/>
            <w:vAlign w:val="bottom"/>
            <w:vMerge w:val="restart"/>
          </w:tcPr>
          <w:p>
            <w:pPr>
              <w:jc w:val="right"/>
              <w:spacing w:after="0"/>
              <w:rPr>
                <w:sz w:val="20"/>
                <w:szCs w:val="20"/>
                <w:color w:val="auto"/>
              </w:rPr>
            </w:pPr>
            <w:r>
              <w:rPr>
                <w:rFonts w:ascii="Arial" w:cs="Arial" w:eastAsia="Arial" w:hAnsi="Arial"/>
                <w:sz w:val="16"/>
                <w:szCs w:val="16"/>
                <w:color w:val="auto"/>
              </w:rPr>
              <w:t>(2,676)</w:t>
            </w:r>
          </w:p>
        </w:tc>
        <w:tc>
          <w:tcPr>
            <w:tcW w:w="0" w:type="dxa"/>
            <w:vAlign w:val="bottom"/>
          </w:tcPr>
          <w:p>
            <w:pPr>
              <w:spacing w:after="0"/>
              <w:rPr>
                <w:sz w:val="1"/>
                <w:szCs w:val="1"/>
                <w:color w:val="auto"/>
              </w:rPr>
            </w:pPr>
          </w:p>
        </w:tc>
      </w:tr>
      <w:tr>
        <w:trPr>
          <w:trHeight w:val="209"/>
        </w:trPr>
        <w:tc>
          <w:tcPr>
            <w:tcW w:w="2780" w:type="dxa"/>
            <w:vAlign w:val="bottom"/>
          </w:tcPr>
          <w:p>
            <w:pPr>
              <w:ind w:left="20"/>
              <w:spacing w:after="0"/>
              <w:rPr>
                <w:sz w:val="20"/>
                <w:szCs w:val="20"/>
                <w:color w:val="auto"/>
              </w:rPr>
            </w:pPr>
            <w:r>
              <w:rPr>
                <w:rFonts w:ascii="Arial" w:cs="Arial" w:eastAsia="Arial" w:hAnsi="Arial"/>
                <w:sz w:val="16"/>
                <w:szCs w:val="16"/>
                <w:color w:val="auto"/>
              </w:rPr>
              <w:t>Group, Inc.</w:t>
            </w:r>
          </w:p>
        </w:tc>
        <w:tc>
          <w:tcPr>
            <w:tcW w:w="96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gridSpan w:val="2"/>
            <w:vMerge w:val="continue"/>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gridSpan w:val="2"/>
            <w:vMerge w:val="continue"/>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69"/>
        </w:trPr>
        <w:tc>
          <w:tcPr>
            <w:tcW w:w="2780" w:type="dxa"/>
            <w:vAlign w:val="bottom"/>
            <w:shd w:val="clear" w:color="auto" w:fill="CCEEFF"/>
          </w:tcPr>
          <w:p>
            <w:pPr>
              <w:ind w:left="20"/>
              <w:spacing w:after="0" w:line="169" w:lineRule="exact"/>
              <w:rPr>
                <w:sz w:val="20"/>
                <w:szCs w:val="20"/>
                <w:color w:val="auto"/>
              </w:rPr>
            </w:pPr>
            <w:r>
              <w:rPr>
                <w:rFonts w:ascii="Arial" w:cs="Arial" w:eastAsia="Arial" w:hAnsi="Arial"/>
                <w:sz w:val="16"/>
                <w:szCs w:val="16"/>
                <w:color w:val="auto"/>
              </w:rPr>
              <w:t>Net income attributable to Non-</w:t>
            </w:r>
          </w:p>
        </w:tc>
        <w:tc>
          <w:tcPr>
            <w:tcW w:w="96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4"/>
                <w:szCs w:val="14"/>
                <w:color w:val="auto"/>
              </w:rPr>
            </w:pPr>
          </w:p>
        </w:tc>
        <w:tc>
          <w:tcPr>
            <w:tcW w:w="82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4"/>
                <w:szCs w:val="14"/>
                <w:color w:val="auto"/>
              </w:rPr>
            </w:pPr>
          </w:p>
        </w:tc>
        <w:tc>
          <w:tcPr>
            <w:tcW w:w="106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4"/>
                <w:szCs w:val="14"/>
                <w:color w:val="auto"/>
              </w:rPr>
            </w:pPr>
          </w:p>
        </w:tc>
        <w:tc>
          <w:tcPr>
            <w:tcW w:w="116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96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4"/>
                <w:szCs w:val="14"/>
                <w:color w:val="auto"/>
              </w:rPr>
            </w:pPr>
          </w:p>
        </w:tc>
        <w:tc>
          <w:tcPr>
            <w:tcW w:w="840" w:type="dxa"/>
            <w:vAlign w:val="bottom"/>
            <w:gridSpan w:val="2"/>
            <w:vMerge w:val="restart"/>
            <w:shd w:val="clear" w:color="auto" w:fill="CCEEFF"/>
          </w:tcPr>
          <w:p>
            <w:pPr>
              <w:jc w:val="center"/>
              <w:ind w:left="279"/>
              <w:spacing w:after="0"/>
              <w:rPr>
                <w:sz w:val="20"/>
                <w:szCs w:val="20"/>
                <w:color w:val="auto"/>
              </w:rPr>
            </w:pPr>
            <w:r>
              <w:rPr>
                <w:rFonts w:ascii="Arial" w:cs="Arial" w:eastAsia="Arial" w:hAnsi="Arial"/>
                <w:sz w:val="16"/>
                <w:szCs w:val="16"/>
                <w:color w:val="auto"/>
                <w:w w:val="99"/>
              </w:rPr>
              <w:t>—</w:t>
            </w:r>
          </w:p>
        </w:tc>
        <w:tc>
          <w:tcPr>
            <w:tcW w:w="120" w:type="dxa"/>
            <w:vAlign w:val="bottom"/>
            <w:shd w:val="clear" w:color="auto" w:fill="CCEEFF"/>
          </w:tcPr>
          <w:p>
            <w:pPr>
              <w:spacing w:after="0"/>
              <w:rPr>
                <w:sz w:val="14"/>
                <w:szCs w:val="14"/>
                <w:color w:val="auto"/>
              </w:rPr>
            </w:pPr>
          </w:p>
        </w:tc>
        <w:tc>
          <w:tcPr>
            <w:tcW w:w="9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80</w:t>
            </w: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80</w:t>
            </w:r>
          </w:p>
        </w:tc>
        <w:tc>
          <w:tcPr>
            <w:tcW w:w="0" w:type="dxa"/>
            <w:vAlign w:val="bottom"/>
          </w:tcPr>
          <w:p>
            <w:pPr>
              <w:spacing w:after="0"/>
              <w:rPr>
                <w:sz w:val="1"/>
                <w:szCs w:val="1"/>
                <w:color w:val="auto"/>
              </w:rPr>
            </w:pPr>
          </w:p>
        </w:tc>
      </w:tr>
      <w:tr>
        <w:trPr>
          <w:trHeight w:val="212"/>
        </w:trPr>
        <w:tc>
          <w:tcPr>
            <w:tcW w:w="2780" w:type="dxa"/>
            <w:vAlign w:val="bottom"/>
            <w:shd w:val="clear" w:color="auto" w:fill="CCEEFF"/>
          </w:tcPr>
          <w:p>
            <w:pPr>
              <w:ind w:left="20"/>
              <w:spacing w:after="0"/>
              <w:rPr>
                <w:sz w:val="20"/>
                <w:szCs w:val="20"/>
                <w:color w:val="auto"/>
              </w:rPr>
            </w:pPr>
            <w:r>
              <w:rPr>
                <w:rFonts w:ascii="Arial" w:cs="Arial" w:eastAsia="Arial" w:hAnsi="Arial"/>
                <w:sz w:val="16"/>
                <w:szCs w:val="16"/>
                <w:color w:val="auto"/>
              </w:rPr>
              <w:t>Controlling Interests</w:t>
            </w:r>
          </w:p>
        </w:tc>
        <w:tc>
          <w:tcPr>
            <w:tcW w:w="960" w:type="dxa"/>
            <w:vAlign w:val="bottom"/>
            <w:gridSpan w:val="2"/>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gridSpan w:val="2"/>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60" w:type="dxa"/>
            <w:vAlign w:val="bottom"/>
            <w:gridSpan w:val="2"/>
            <w:vMerge w:val="continue"/>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60" w:type="dxa"/>
            <w:vAlign w:val="bottom"/>
            <w:gridSpan w:val="2"/>
            <w:vMerge w:val="continue"/>
            <w:shd w:val="clear" w:color="auto" w:fill="CCEEFF"/>
          </w:tcPr>
          <w:p>
            <w:pPr>
              <w:spacing w:after="0"/>
              <w:rPr>
                <w:sz w:val="18"/>
                <w:szCs w:val="18"/>
                <w:color w:val="auto"/>
              </w:rPr>
            </w:pPr>
          </w:p>
        </w:tc>
        <w:tc>
          <w:tcPr>
            <w:tcW w:w="960" w:type="dxa"/>
            <w:vAlign w:val="bottom"/>
            <w:gridSpan w:val="2"/>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gridSpan w:val="2"/>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780" w:type="dxa"/>
            <w:vAlign w:val="bottom"/>
          </w:tcPr>
          <w:p>
            <w:pPr>
              <w:ind w:left="20"/>
              <w:spacing w:after="0"/>
              <w:rPr>
                <w:sz w:val="20"/>
                <w:szCs w:val="20"/>
                <w:color w:val="auto"/>
              </w:rPr>
            </w:pPr>
            <w:r>
              <w:rPr>
                <w:rFonts w:ascii="Arial" w:cs="Arial" w:eastAsia="Arial" w:hAnsi="Arial"/>
                <w:sz w:val="16"/>
                <w:szCs w:val="16"/>
                <w:color w:val="auto"/>
              </w:rPr>
              <w:t>Stock-based compensation</w:t>
            </w:r>
          </w:p>
        </w:tc>
        <w:tc>
          <w:tcPr>
            <w:tcW w:w="9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2,380</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9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840" w:type="dxa"/>
            <w:vAlign w:val="bottom"/>
            <w:gridSpan w:val="2"/>
          </w:tcPr>
          <w:p>
            <w:pPr>
              <w:jc w:val="center"/>
              <w:ind w:left="279"/>
              <w:spacing w:after="0"/>
              <w:rPr>
                <w:sz w:val="20"/>
                <w:szCs w:val="20"/>
                <w:color w:val="auto"/>
              </w:rPr>
            </w:pPr>
            <w:r>
              <w:rPr>
                <w:rFonts w:ascii="Arial" w:cs="Arial" w:eastAsia="Arial" w:hAnsi="Arial"/>
                <w:sz w:val="16"/>
                <w:szCs w:val="16"/>
                <w:color w:val="auto"/>
                <w:w w:val="99"/>
              </w:rPr>
              <w:t>—</w:t>
            </w:r>
          </w:p>
        </w:tc>
        <w:tc>
          <w:tcPr>
            <w:tcW w:w="120" w:type="dxa"/>
            <w:vAlign w:val="bottom"/>
          </w:tcPr>
          <w:p>
            <w:pPr>
              <w:spacing w:after="0"/>
              <w:rPr>
                <w:sz w:val="18"/>
                <w:szCs w:val="18"/>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2,380</w:t>
            </w:r>
          </w:p>
        </w:tc>
        <w:tc>
          <w:tcPr>
            <w:tcW w:w="0" w:type="dxa"/>
            <w:vAlign w:val="bottom"/>
          </w:tcPr>
          <w:p>
            <w:pPr>
              <w:spacing w:after="0"/>
              <w:rPr>
                <w:sz w:val="1"/>
                <w:szCs w:val="1"/>
                <w:color w:val="auto"/>
              </w:rPr>
            </w:pPr>
          </w:p>
        </w:tc>
      </w:tr>
      <w:tr>
        <w:trPr>
          <w:trHeight w:val="169"/>
        </w:trPr>
        <w:tc>
          <w:tcPr>
            <w:tcW w:w="2780" w:type="dxa"/>
            <w:vAlign w:val="bottom"/>
            <w:shd w:val="clear" w:color="auto" w:fill="CCEEFF"/>
          </w:tcPr>
          <w:p>
            <w:pPr>
              <w:ind w:left="20"/>
              <w:spacing w:after="0" w:line="169" w:lineRule="exact"/>
              <w:rPr>
                <w:sz w:val="20"/>
                <w:szCs w:val="20"/>
                <w:color w:val="auto"/>
              </w:rPr>
            </w:pPr>
            <w:r>
              <w:rPr>
                <w:rFonts w:ascii="Arial" w:cs="Arial" w:eastAsia="Arial" w:hAnsi="Arial"/>
                <w:sz w:val="16"/>
                <w:szCs w:val="16"/>
                <w:color w:val="auto"/>
              </w:rPr>
              <w:t>Issuance of common stock from the</w:t>
            </w:r>
          </w:p>
        </w:tc>
        <w:tc>
          <w:tcPr>
            <w:tcW w:w="8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33</w:t>
            </w: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2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4"/>
                <w:szCs w:val="14"/>
                <w:color w:val="auto"/>
              </w:rPr>
            </w:pPr>
          </w:p>
        </w:tc>
        <w:tc>
          <w:tcPr>
            <w:tcW w:w="9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271</w:t>
            </w: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16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96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4"/>
                <w:szCs w:val="14"/>
                <w:color w:val="auto"/>
              </w:rPr>
            </w:pPr>
          </w:p>
        </w:tc>
        <w:tc>
          <w:tcPr>
            <w:tcW w:w="840" w:type="dxa"/>
            <w:vAlign w:val="bottom"/>
            <w:gridSpan w:val="2"/>
            <w:vMerge w:val="restart"/>
            <w:shd w:val="clear" w:color="auto" w:fill="CCEEFF"/>
          </w:tcPr>
          <w:p>
            <w:pPr>
              <w:jc w:val="center"/>
              <w:ind w:left="279"/>
              <w:spacing w:after="0"/>
              <w:rPr>
                <w:sz w:val="20"/>
                <w:szCs w:val="20"/>
                <w:color w:val="auto"/>
              </w:rPr>
            </w:pPr>
            <w:r>
              <w:rPr>
                <w:rFonts w:ascii="Arial" w:cs="Arial" w:eastAsia="Arial" w:hAnsi="Arial"/>
                <w:sz w:val="16"/>
                <w:szCs w:val="16"/>
                <w:color w:val="auto"/>
                <w:w w:val="99"/>
              </w:rPr>
              <w:t>—</w:t>
            </w:r>
          </w:p>
        </w:tc>
        <w:tc>
          <w:tcPr>
            <w:tcW w:w="120" w:type="dxa"/>
            <w:vAlign w:val="bottom"/>
            <w:shd w:val="clear" w:color="auto" w:fill="CCEEFF"/>
          </w:tcPr>
          <w:p>
            <w:pPr>
              <w:spacing w:after="0"/>
              <w:rPr>
                <w:sz w:val="14"/>
                <w:szCs w:val="14"/>
                <w:color w:val="auto"/>
              </w:rPr>
            </w:pPr>
          </w:p>
        </w:tc>
        <w:tc>
          <w:tcPr>
            <w:tcW w:w="106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4"/>
                <w:szCs w:val="14"/>
                <w:color w:val="auto"/>
              </w:rPr>
            </w:pPr>
          </w:p>
        </w:tc>
        <w:tc>
          <w:tcPr>
            <w:tcW w:w="7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271</w:t>
            </w:r>
          </w:p>
        </w:tc>
        <w:tc>
          <w:tcPr>
            <w:tcW w:w="0" w:type="dxa"/>
            <w:vAlign w:val="bottom"/>
          </w:tcPr>
          <w:p>
            <w:pPr>
              <w:spacing w:after="0"/>
              <w:rPr>
                <w:sz w:val="1"/>
                <w:szCs w:val="1"/>
                <w:color w:val="auto"/>
              </w:rPr>
            </w:pPr>
          </w:p>
        </w:tc>
      </w:tr>
      <w:tr>
        <w:trPr>
          <w:trHeight w:val="212"/>
        </w:trPr>
        <w:tc>
          <w:tcPr>
            <w:tcW w:w="2780" w:type="dxa"/>
            <w:vAlign w:val="bottom"/>
            <w:shd w:val="clear" w:color="auto" w:fill="CCEEFF"/>
          </w:tcPr>
          <w:p>
            <w:pPr>
              <w:ind w:left="20"/>
              <w:spacing w:after="0"/>
              <w:rPr>
                <w:sz w:val="20"/>
                <w:szCs w:val="20"/>
                <w:color w:val="auto"/>
              </w:rPr>
            </w:pPr>
            <w:r>
              <w:rPr>
                <w:rFonts w:ascii="Arial" w:cs="Arial" w:eastAsia="Arial" w:hAnsi="Arial"/>
                <w:sz w:val="16"/>
                <w:szCs w:val="16"/>
                <w:color w:val="auto"/>
              </w:rPr>
              <w:t>exercise of stock options</w:t>
            </w:r>
          </w:p>
        </w:tc>
        <w:tc>
          <w:tcPr>
            <w:tcW w:w="88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gridSpan w:val="2"/>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60" w:type="dxa"/>
            <w:vAlign w:val="bottom"/>
            <w:gridSpan w:val="2"/>
            <w:vMerge w:val="continue"/>
            <w:shd w:val="clear" w:color="auto" w:fill="CCEEFF"/>
          </w:tcPr>
          <w:p>
            <w:pPr>
              <w:spacing w:after="0"/>
              <w:rPr>
                <w:sz w:val="18"/>
                <w:szCs w:val="18"/>
                <w:color w:val="auto"/>
              </w:rPr>
            </w:pPr>
          </w:p>
        </w:tc>
        <w:tc>
          <w:tcPr>
            <w:tcW w:w="960" w:type="dxa"/>
            <w:vAlign w:val="bottom"/>
            <w:gridSpan w:val="2"/>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gridSpan w:val="2"/>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gridSpan w:val="2"/>
            <w:vMerge w:val="continue"/>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780" w:type="dxa"/>
            <w:vAlign w:val="bottom"/>
          </w:tcPr>
          <w:p>
            <w:pPr>
              <w:ind w:left="20"/>
              <w:spacing w:after="0"/>
              <w:rPr>
                <w:sz w:val="20"/>
                <w:szCs w:val="20"/>
                <w:color w:val="auto"/>
              </w:rPr>
            </w:pPr>
            <w:r>
              <w:rPr>
                <w:rFonts w:ascii="Arial" w:cs="Arial" w:eastAsia="Arial" w:hAnsi="Arial"/>
                <w:sz w:val="16"/>
                <w:szCs w:val="16"/>
                <w:color w:val="auto"/>
              </w:rPr>
              <w:t>Net issuance of restricted stock</w:t>
            </w:r>
          </w:p>
        </w:tc>
        <w:tc>
          <w:tcPr>
            <w:tcW w:w="880" w:type="dxa"/>
            <w:vAlign w:val="bottom"/>
          </w:tcPr>
          <w:p>
            <w:pPr>
              <w:jc w:val="right"/>
              <w:spacing w:after="0"/>
              <w:rPr>
                <w:sz w:val="20"/>
                <w:szCs w:val="20"/>
                <w:color w:val="auto"/>
              </w:rPr>
            </w:pPr>
            <w:r>
              <w:rPr>
                <w:rFonts w:ascii="Arial" w:cs="Arial" w:eastAsia="Arial" w:hAnsi="Arial"/>
                <w:sz w:val="16"/>
                <w:szCs w:val="16"/>
                <w:color w:val="auto"/>
              </w:rPr>
              <w:t>4</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8"/>
                <w:szCs w:val="18"/>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9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840" w:type="dxa"/>
            <w:vAlign w:val="bottom"/>
            <w:gridSpan w:val="2"/>
          </w:tcPr>
          <w:p>
            <w:pPr>
              <w:jc w:val="center"/>
              <w:ind w:left="279"/>
              <w:spacing w:after="0"/>
              <w:rPr>
                <w:sz w:val="20"/>
                <w:szCs w:val="20"/>
                <w:color w:val="auto"/>
              </w:rPr>
            </w:pPr>
            <w:r>
              <w:rPr>
                <w:rFonts w:ascii="Arial" w:cs="Arial" w:eastAsia="Arial" w:hAnsi="Arial"/>
                <w:sz w:val="16"/>
                <w:szCs w:val="16"/>
                <w:color w:val="auto"/>
                <w:w w:val="99"/>
              </w:rPr>
              <w:t>—</w:t>
            </w:r>
          </w:p>
        </w:tc>
        <w:tc>
          <w:tcPr>
            <w:tcW w:w="120" w:type="dxa"/>
            <w:vAlign w:val="bottom"/>
          </w:tcPr>
          <w:p>
            <w:pPr>
              <w:spacing w:after="0"/>
              <w:rPr>
                <w:sz w:val="18"/>
                <w:szCs w:val="18"/>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8"/>
        </w:trPr>
        <w:tc>
          <w:tcPr>
            <w:tcW w:w="27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Balance at June 30, 2022</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28,886</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29</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100,775</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00" w:type="dxa"/>
            <w:vAlign w:val="bottom"/>
            <w:tcBorders>
              <w:top w:val="single" w:sz="8" w:color="auto"/>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12,979</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40" w:type="dxa"/>
            <w:vAlign w:val="bottom"/>
            <w:tcBorders>
              <w:top w:val="single" w:sz="8" w:color="auto"/>
              <w:bottom w:val="single" w:sz="8" w:color="auto"/>
            </w:tcBorders>
            <w:shd w:val="clear" w:color="auto" w:fill="CCEEFF"/>
          </w:tcPr>
          <w:p>
            <w:pPr>
              <w:jc w:val="center"/>
              <w:ind w:left="339"/>
              <w:spacing w:after="0"/>
              <w:rPr>
                <w:sz w:val="20"/>
                <w:szCs w:val="20"/>
                <w:color w:val="auto"/>
              </w:rPr>
            </w:pPr>
            <w:r>
              <w:rPr>
                <w:rFonts w:ascii="Arial" w:cs="Arial" w:eastAsia="Arial" w:hAnsi="Arial"/>
                <w:sz w:val="16"/>
                <w:szCs w:val="16"/>
                <w:color w:val="auto"/>
                <w:w w:val="98"/>
              </w:rPr>
              <w:t>(65)</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4,269</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117,987</w:t>
            </w:r>
          </w:p>
        </w:tc>
        <w:tc>
          <w:tcPr>
            <w:tcW w:w="0" w:type="dxa"/>
            <w:vAlign w:val="bottom"/>
          </w:tcPr>
          <w:p>
            <w:pPr>
              <w:spacing w:after="0"/>
              <w:rPr>
                <w:sz w:val="1"/>
                <w:szCs w:val="1"/>
                <w:color w:val="auto"/>
              </w:rPr>
            </w:pPr>
          </w:p>
        </w:tc>
      </w:tr>
      <w:tr>
        <w:trPr>
          <w:trHeight w:val="20"/>
        </w:trPr>
        <w:tc>
          <w:tcPr>
            <w:tcW w:w="2780" w:type="dxa"/>
            <w:vAlign w:val="bottom"/>
            <w:tcBorders>
              <w:top w:val="single" w:sz="8" w:color="CCEEFF"/>
              <w:bottom w:val="single" w:sz="8" w:color="CCEEFF"/>
            </w:tcBorders>
            <w:vMerge w:val="restart"/>
          </w:tcPr>
          <w:p>
            <w:pPr>
              <w:ind w:left="20"/>
              <w:spacing w:after="0" w:line="153" w:lineRule="exact"/>
              <w:rPr>
                <w:sz w:val="20"/>
                <w:szCs w:val="20"/>
                <w:color w:val="auto"/>
              </w:rPr>
            </w:pPr>
            <w:r>
              <w:rPr>
                <w:rFonts w:ascii="Arial" w:cs="Arial" w:eastAsia="Arial" w:hAnsi="Arial"/>
                <w:sz w:val="16"/>
                <w:szCs w:val="16"/>
                <w:color w:val="auto"/>
                <w:w w:val="98"/>
              </w:rPr>
              <w:t>Net income attributable to The Pennant</w:t>
            </w: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3"/>
        </w:trPr>
        <w:tc>
          <w:tcPr>
            <w:tcW w:w="2780" w:type="dxa"/>
            <w:vAlign w:val="bottom"/>
            <w:vMerge w:val="continue"/>
          </w:tcPr>
          <w:p>
            <w:pPr>
              <w:spacing w:after="0"/>
              <w:rPr>
                <w:sz w:val="9"/>
                <w:szCs w:val="9"/>
                <w:color w:val="auto"/>
              </w:rPr>
            </w:pPr>
          </w:p>
        </w:tc>
        <w:tc>
          <w:tcPr>
            <w:tcW w:w="960" w:type="dxa"/>
            <w:vAlign w:val="bottom"/>
            <w:gridSpan w:val="2"/>
            <w:vMerge w:val="restart"/>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9"/>
                <w:szCs w:val="9"/>
                <w:color w:val="auto"/>
              </w:rPr>
            </w:pPr>
          </w:p>
        </w:tc>
        <w:tc>
          <w:tcPr>
            <w:tcW w:w="820" w:type="dxa"/>
            <w:vAlign w:val="bottom"/>
            <w:gridSpan w:val="2"/>
            <w:vMerge w:val="restart"/>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9"/>
                <w:szCs w:val="9"/>
                <w:color w:val="auto"/>
              </w:rPr>
            </w:pPr>
          </w:p>
        </w:tc>
        <w:tc>
          <w:tcPr>
            <w:tcW w:w="1060" w:type="dxa"/>
            <w:vAlign w:val="bottom"/>
            <w:gridSpan w:val="2"/>
            <w:vMerge w:val="restart"/>
          </w:tcPr>
          <w:p>
            <w:pPr>
              <w:jc w:val="right"/>
              <w:ind w:right="16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9"/>
                <w:szCs w:val="9"/>
                <w:color w:val="auto"/>
              </w:rPr>
            </w:pPr>
          </w:p>
        </w:tc>
        <w:tc>
          <w:tcPr>
            <w:tcW w:w="1060" w:type="dxa"/>
            <w:vAlign w:val="bottom"/>
            <w:vMerge w:val="restart"/>
          </w:tcPr>
          <w:p>
            <w:pPr>
              <w:jc w:val="right"/>
              <w:spacing w:after="0"/>
              <w:rPr>
                <w:sz w:val="20"/>
                <w:szCs w:val="20"/>
                <w:color w:val="auto"/>
              </w:rPr>
            </w:pPr>
            <w:r>
              <w:rPr>
                <w:rFonts w:ascii="Arial" w:cs="Arial" w:eastAsia="Arial" w:hAnsi="Arial"/>
                <w:sz w:val="16"/>
                <w:szCs w:val="16"/>
                <w:color w:val="auto"/>
              </w:rPr>
              <w:t>4,831</w:t>
            </w:r>
          </w:p>
        </w:tc>
        <w:tc>
          <w:tcPr>
            <w:tcW w:w="100" w:type="dxa"/>
            <w:vAlign w:val="bottom"/>
          </w:tcPr>
          <w:p>
            <w:pPr>
              <w:spacing w:after="0"/>
              <w:rPr>
                <w:sz w:val="9"/>
                <w:szCs w:val="9"/>
                <w:color w:val="auto"/>
              </w:rPr>
            </w:pPr>
          </w:p>
        </w:tc>
        <w:tc>
          <w:tcPr>
            <w:tcW w:w="960" w:type="dxa"/>
            <w:vAlign w:val="bottom"/>
            <w:gridSpan w:val="2"/>
            <w:vMerge w:val="restart"/>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9"/>
                <w:szCs w:val="9"/>
                <w:color w:val="auto"/>
              </w:rPr>
            </w:pPr>
          </w:p>
        </w:tc>
        <w:tc>
          <w:tcPr>
            <w:tcW w:w="840" w:type="dxa"/>
            <w:vAlign w:val="bottom"/>
            <w:gridSpan w:val="2"/>
            <w:vMerge w:val="restart"/>
          </w:tcPr>
          <w:p>
            <w:pPr>
              <w:jc w:val="center"/>
              <w:ind w:left="279"/>
              <w:spacing w:after="0"/>
              <w:rPr>
                <w:sz w:val="20"/>
                <w:szCs w:val="20"/>
                <w:color w:val="auto"/>
              </w:rPr>
            </w:pPr>
            <w:r>
              <w:rPr>
                <w:rFonts w:ascii="Arial" w:cs="Arial" w:eastAsia="Arial" w:hAnsi="Arial"/>
                <w:sz w:val="16"/>
                <w:szCs w:val="16"/>
                <w:color w:val="auto"/>
                <w:w w:val="99"/>
              </w:rPr>
              <w:t>—</w:t>
            </w:r>
          </w:p>
        </w:tc>
        <w:tc>
          <w:tcPr>
            <w:tcW w:w="120" w:type="dxa"/>
            <w:vAlign w:val="bottom"/>
          </w:tcPr>
          <w:p>
            <w:pPr>
              <w:spacing w:after="0"/>
              <w:rPr>
                <w:sz w:val="9"/>
                <w:szCs w:val="9"/>
                <w:color w:val="auto"/>
              </w:rPr>
            </w:pPr>
          </w:p>
        </w:tc>
        <w:tc>
          <w:tcPr>
            <w:tcW w:w="1060" w:type="dxa"/>
            <w:vAlign w:val="bottom"/>
            <w:gridSpan w:val="2"/>
            <w:vMerge w:val="restart"/>
          </w:tcPr>
          <w:p>
            <w:pPr>
              <w:jc w:val="right"/>
              <w:ind w:right="16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9"/>
                <w:szCs w:val="9"/>
                <w:color w:val="auto"/>
              </w:rPr>
            </w:pPr>
          </w:p>
        </w:tc>
        <w:tc>
          <w:tcPr>
            <w:tcW w:w="700" w:type="dxa"/>
            <w:vAlign w:val="bottom"/>
            <w:vMerge w:val="restart"/>
          </w:tcPr>
          <w:p>
            <w:pPr>
              <w:jc w:val="right"/>
              <w:spacing w:after="0"/>
              <w:rPr>
                <w:sz w:val="20"/>
                <w:szCs w:val="20"/>
                <w:color w:val="auto"/>
              </w:rPr>
            </w:pPr>
            <w:r>
              <w:rPr>
                <w:rFonts w:ascii="Arial" w:cs="Arial" w:eastAsia="Arial" w:hAnsi="Arial"/>
                <w:sz w:val="16"/>
                <w:szCs w:val="16"/>
                <w:color w:val="auto"/>
              </w:rPr>
              <w:t>4,831</w:t>
            </w:r>
          </w:p>
        </w:tc>
        <w:tc>
          <w:tcPr>
            <w:tcW w:w="0" w:type="dxa"/>
            <w:vAlign w:val="bottom"/>
          </w:tcPr>
          <w:p>
            <w:pPr>
              <w:spacing w:after="0"/>
              <w:rPr>
                <w:sz w:val="1"/>
                <w:szCs w:val="1"/>
                <w:color w:val="auto"/>
              </w:rPr>
            </w:pPr>
          </w:p>
        </w:tc>
      </w:tr>
      <w:tr>
        <w:trPr>
          <w:trHeight w:val="209"/>
        </w:trPr>
        <w:tc>
          <w:tcPr>
            <w:tcW w:w="2780" w:type="dxa"/>
            <w:vAlign w:val="bottom"/>
          </w:tcPr>
          <w:p>
            <w:pPr>
              <w:ind w:left="20"/>
              <w:spacing w:after="0"/>
              <w:rPr>
                <w:sz w:val="20"/>
                <w:szCs w:val="20"/>
                <w:color w:val="auto"/>
              </w:rPr>
            </w:pPr>
            <w:r>
              <w:rPr>
                <w:rFonts w:ascii="Arial" w:cs="Arial" w:eastAsia="Arial" w:hAnsi="Arial"/>
                <w:sz w:val="16"/>
                <w:szCs w:val="16"/>
                <w:color w:val="auto"/>
              </w:rPr>
              <w:t>Group, Inc.</w:t>
            </w:r>
          </w:p>
        </w:tc>
        <w:tc>
          <w:tcPr>
            <w:tcW w:w="96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gridSpan w:val="2"/>
            <w:vMerge w:val="continue"/>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gridSpan w:val="2"/>
            <w:vMerge w:val="continue"/>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69"/>
        </w:trPr>
        <w:tc>
          <w:tcPr>
            <w:tcW w:w="2780" w:type="dxa"/>
            <w:vAlign w:val="bottom"/>
            <w:shd w:val="clear" w:color="auto" w:fill="CCEEFF"/>
          </w:tcPr>
          <w:p>
            <w:pPr>
              <w:ind w:left="20"/>
              <w:spacing w:after="0" w:line="169" w:lineRule="exact"/>
              <w:rPr>
                <w:sz w:val="20"/>
                <w:szCs w:val="20"/>
                <w:color w:val="auto"/>
              </w:rPr>
            </w:pPr>
            <w:r>
              <w:rPr>
                <w:rFonts w:ascii="Arial" w:cs="Arial" w:eastAsia="Arial" w:hAnsi="Arial"/>
                <w:sz w:val="16"/>
                <w:szCs w:val="16"/>
                <w:color w:val="auto"/>
                <w:w w:val="99"/>
              </w:rPr>
              <w:t>Net loss attributable to Non-Controlling</w:t>
            </w:r>
          </w:p>
        </w:tc>
        <w:tc>
          <w:tcPr>
            <w:tcW w:w="96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4"/>
                <w:szCs w:val="14"/>
                <w:color w:val="auto"/>
              </w:rPr>
            </w:pPr>
          </w:p>
        </w:tc>
        <w:tc>
          <w:tcPr>
            <w:tcW w:w="82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4"/>
                <w:szCs w:val="14"/>
                <w:color w:val="auto"/>
              </w:rPr>
            </w:pPr>
          </w:p>
        </w:tc>
        <w:tc>
          <w:tcPr>
            <w:tcW w:w="106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4"/>
                <w:szCs w:val="14"/>
                <w:color w:val="auto"/>
              </w:rPr>
            </w:pPr>
          </w:p>
        </w:tc>
        <w:tc>
          <w:tcPr>
            <w:tcW w:w="116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96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4"/>
                <w:szCs w:val="14"/>
                <w:color w:val="auto"/>
              </w:rPr>
            </w:pPr>
          </w:p>
        </w:tc>
        <w:tc>
          <w:tcPr>
            <w:tcW w:w="840" w:type="dxa"/>
            <w:vAlign w:val="bottom"/>
            <w:gridSpan w:val="2"/>
            <w:vMerge w:val="restart"/>
            <w:shd w:val="clear" w:color="auto" w:fill="CCEEFF"/>
          </w:tcPr>
          <w:p>
            <w:pPr>
              <w:jc w:val="center"/>
              <w:ind w:left="279"/>
              <w:spacing w:after="0"/>
              <w:rPr>
                <w:sz w:val="20"/>
                <w:szCs w:val="20"/>
                <w:color w:val="auto"/>
              </w:rPr>
            </w:pPr>
            <w:r>
              <w:rPr>
                <w:rFonts w:ascii="Arial" w:cs="Arial" w:eastAsia="Arial" w:hAnsi="Arial"/>
                <w:sz w:val="16"/>
                <w:szCs w:val="16"/>
                <w:color w:val="auto"/>
                <w:w w:val="99"/>
              </w:rPr>
              <w:t>—</w:t>
            </w:r>
          </w:p>
        </w:tc>
        <w:tc>
          <w:tcPr>
            <w:tcW w:w="120" w:type="dxa"/>
            <w:vAlign w:val="bottom"/>
            <w:shd w:val="clear" w:color="auto" w:fill="CCEEFF"/>
          </w:tcPr>
          <w:p>
            <w:pPr>
              <w:spacing w:after="0"/>
              <w:rPr>
                <w:sz w:val="14"/>
                <w:szCs w:val="14"/>
                <w:color w:val="auto"/>
              </w:rPr>
            </w:pPr>
          </w:p>
        </w:tc>
        <w:tc>
          <w:tcPr>
            <w:tcW w:w="9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163</w:t>
            </w: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163</w:t>
            </w:r>
          </w:p>
        </w:tc>
        <w:tc>
          <w:tcPr>
            <w:tcW w:w="0" w:type="dxa"/>
            <w:vAlign w:val="bottom"/>
          </w:tcPr>
          <w:p>
            <w:pPr>
              <w:spacing w:after="0"/>
              <w:rPr>
                <w:sz w:val="1"/>
                <w:szCs w:val="1"/>
                <w:color w:val="auto"/>
              </w:rPr>
            </w:pPr>
          </w:p>
        </w:tc>
      </w:tr>
      <w:tr>
        <w:trPr>
          <w:trHeight w:val="212"/>
        </w:trPr>
        <w:tc>
          <w:tcPr>
            <w:tcW w:w="278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Interests</w:t>
            </w:r>
          </w:p>
        </w:tc>
        <w:tc>
          <w:tcPr>
            <w:tcW w:w="960" w:type="dxa"/>
            <w:vAlign w:val="bottom"/>
            <w:gridSpan w:val="2"/>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gridSpan w:val="2"/>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60" w:type="dxa"/>
            <w:vAlign w:val="bottom"/>
            <w:gridSpan w:val="2"/>
            <w:vMerge w:val="continue"/>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60" w:type="dxa"/>
            <w:vAlign w:val="bottom"/>
            <w:gridSpan w:val="2"/>
            <w:vMerge w:val="continue"/>
            <w:shd w:val="clear" w:color="auto" w:fill="CCEEFF"/>
          </w:tcPr>
          <w:p>
            <w:pPr>
              <w:spacing w:after="0"/>
              <w:rPr>
                <w:sz w:val="18"/>
                <w:szCs w:val="18"/>
                <w:color w:val="auto"/>
              </w:rPr>
            </w:pPr>
          </w:p>
        </w:tc>
        <w:tc>
          <w:tcPr>
            <w:tcW w:w="960" w:type="dxa"/>
            <w:vAlign w:val="bottom"/>
            <w:gridSpan w:val="2"/>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gridSpan w:val="2"/>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780" w:type="dxa"/>
            <w:vAlign w:val="bottom"/>
          </w:tcPr>
          <w:p>
            <w:pPr>
              <w:ind w:left="20"/>
              <w:spacing w:after="0"/>
              <w:rPr>
                <w:sz w:val="20"/>
                <w:szCs w:val="20"/>
                <w:color w:val="auto"/>
              </w:rPr>
            </w:pPr>
            <w:r>
              <w:rPr>
                <w:rFonts w:ascii="Arial" w:cs="Arial" w:eastAsia="Arial" w:hAnsi="Arial"/>
                <w:sz w:val="16"/>
                <w:szCs w:val="16"/>
                <w:color w:val="auto"/>
              </w:rPr>
              <w:t>Stock-based compensation</w:t>
            </w:r>
          </w:p>
        </w:tc>
        <w:tc>
          <w:tcPr>
            <w:tcW w:w="9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(2,747)</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9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840" w:type="dxa"/>
            <w:vAlign w:val="bottom"/>
            <w:gridSpan w:val="2"/>
          </w:tcPr>
          <w:p>
            <w:pPr>
              <w:jc w:val="center"/>
              <w:ind w:left="279"/>
              <w:spacing w:after="0"/>
              <w:rPr>
                <w:sz w:val="20"/>
                <w:szCs w:val="20"/>
                <w:color w:val="auto"/>
              </w:rPr>
            </w:pPr>
            <w:r>
              <w:rPr>
                <w:rFonts w:ascii="Arial" w:cs="Arial" w:eastAsia="Arial" w:hAnsi="Arial"/>
                <w:sz w:val="16"/>
                <w:szCs w:val="16"/>
                <w:color w:val="auto"/>
                <w:w w:val="99"/>
              </w:rPr>
              <w:t>—</w:t>
            </w:r>
          </w:p>
        </w:tc>
        <w:tc>
          <w:tcPr>
            <w:tcW w:w="120" w:type="dxa"/>
            <w:vAlign w:val="bottom"/>
          </w:tcPr>
          <w:p>
            <w:pPr>
              <w:spacing w:after="0"/>
              <w:rPr>
                <w:sz w:val="18"/>
                <w:szCs w:val="18"/>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(2,747)</w:t>
            </w:r>
          </w:p>
        </w:tc>
        <w:tc>
          <w:tcPr>
            <w:tcW w:w="0" w:type="dxa"/>
            <w:vAlign w:val="bottom"/>
          </w:tcPr>
          <w:p>
            <w:pPr>
              <w:spacing w:after="0"/>
              <w:rPr>
                <w:sz w:val="1"/>
                <w:szCs w:val="1"/>
                <w:color w:val="auto"/>
              </w:rPr>
            </w:pPr>
          </w:p>
        </w:tc>
      </w:tr>
      <w:tr>
        <w:trPr>
          <w:trHeight w:val="169"/>
        </w:trPr>
        <w:tc>
          <w:tcPr>
            <w:tcW w:w="2780" w:type="dxa"/>
            <w:vAlign w:val="bottom"/>
            <w:shd w:val="clear" w:color="auto" w:fill="CCEEFF"/>
          </w:tcPr>
          <w:p>
            <w:pPr>
              <w:ind w:left="20"/>
              <w:spacing w:after="0" w:line="169" w:lineRule="exact"/>
              <w:rPr>
                <w:sz w:val="20"/>
                <w:szCs w:val="20"/>
                <w:color w:val="auto"/>
              </w:rPr>
            </w:pPr>
            <w:r>
              <w:rPr>
                <w:rFonts w:ascii="Arial" w:cs="Arial" w:eastAsia="Arial" w:hAnsi="Arial"/>
                <w:sz w:val="16"/>
                <w:szCs w:val="16"/>
                <w:color w:val="auto"/>
              </w:rPr>
              <w:t>Issuance of common stock from the</w:t>
            </w:r>
          </w:p>
        </w:tc>
        <w:tc>
          <w:tcPr>
            <w:tcW w:w="8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52</w:t>
            </w: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2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4"/>
                <w:szCs w:val="14"/>
                <w:color w:val="auto"/>
              </w:rPr>
            </w:pPr>
          </w:p>
        </w:tc>
        <w:tc>
          <w:tcPr>
            <w:tcW w:w="9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606</w:t>
            </w: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16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96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4"/>
                <w:szCs w:val="14"/>
                <w:color w:val="auto"/>
              </w:rPr>
            </w:pPr>
          </w:p>
        </w:tc>
        <w:tc>
          <w:tcPr>
            <w:tcW w:w="840" w:type="dxa"/>
            <w:vAlign w:val="bottom"/>
            <w:gridSpan w:val="2"/>
            <w:vMerge w:val="restart"/>
            <w:shd w:val="clear" w:color="auto" w:fill="CCEEFF"/>
          </w:tcPr>
          <w:p>
            <w:pPr>
              <w:jc w:val="center"/>
              <w:ind w:left="279"/>
              <w:spacing w:after="0"/>
              <w:rPr>
                <w:sz w:val="20"/>
                <w:szCs w:val="20"/>
                <w:color w:val="auto"/>
              </w:rPr>
            </w:pPr>
            <w:r>
              <w:rPr>
                <w:rFonts w:ascii="Arial" w:cs="Arial" w:eastAsia="Arial" w:hAnsi="Arial"/>
                <w:sz w:val="16"/>
                <w:szCs w:val="16"/>
                <w:color w:val="auto"/>
                <w:w w:val="99"/>
              </w:rPr>
              <w:t>—</w:t>
            </w:r>
          </w:p>
        </w:tc>
        <w:tc>
          <w:tcPr>
            <w:tcW w:w="120" w:type="dxa"/>
            <w:vAlign w:val="bottom"/>
            <w:shd w:val="clear" w:color="auto" w:fill="CCEEFF"/>
          </w:tcPr>
          <w:p>
            <w:pPr>
              <w:spacing w:after="0"/>
              <w:rPr>
                <w:sz w:val="14"/>
                <w:szCs w:val="14"/>
                <w:color w:val="auto"/>
              </w:rPr>
            </w:pPr>
          </w:p>
        </w:tc>
        <w:tc>
          <w:tcPr>
            <w:tcW w:w="106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4"/>
                <w:szCs w:val="14"/>
                <w:color w:val="auto"/>
              </w:rPr>
            </w:pPr>
          </w:p>
        </w:tc>
        <w:tc>
          <w:tcPr>
            <w:tcW w:w="7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606</w:t>
            </w:r>
          </w:p>
        </w:tc>
        <w:tc>
          <w:tcPr>
            <w:tcW w:w="0" w:type="dxa"/>
            <w:vAlign w:val="bottom"/>
          </w:tcPr>
          <w:p>
            <w:pPr>
              <w:spacing w:after="0"/>
              <w:rPr>
                <w:sz w:val="1"/>
                <w:szCs w:val="1"/>
                <w:color w:val="auto"/>
              </w:rPr>
            </w:pPr>
          </w:p>
        </w:tc>
      </w:tr>
      <w:tr>
        <w:trPr>
          <w:trHeight w:val="212"/>
        </w:trPr>
        <w:tc>
          <w:tcPr>
            <w:tcW w:w="2780" w:type="dxa"/>
            <w:vAlign w:val="bottom"/>
            <w:shd w:val="clear" w:color="auto" w:fill="CCEEFF"/>
          </w:tcPr>
          <w:p>
            <w:pPr>
              <w:ind w:left="20"/>
              <w:spacing w:after="0"/>
              <w:rPr>
                <w:sz w:val="20"/>
                <w:szCs w:val="20"/>
                <w:color w:val="auto"/>
              </w:rPr>
            </w:pPr>
            <w:r>
              <w:rPr>
                <w:rFonts w:ascii="Arial" w:cs="Arial" w:eastAsia="Arial" w:hAnsi="Arial"/>
                <w:sz w:val="16"/>
                <w:szCs w:val="16"/>
                <w:color w:val="auto"/>
              </w:rPr>
              <w:t>exercise of stock options</w:t>
            </w:r>
          </w:p>
        </w:tc>
        <w:tc>
          <w:tcPr>
            <w:tcW w:w="88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gridSpan w:val="2"/>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60" w:type="dxa"/>
            <w:vAlign w:val="bottom"/>
            <w:gridSpan w:val="2"/>
            <w:vMerge w:val="continue"/>
            <w:shd w:val="clear" w:color="auto" w:fill="CCEEFF"/>
          </w:tcPr>
          <w:p>
            <w:pPr>
              <w:spacing w:after="0"/>
              <w:rPr>
                <w:sz w:val="18"/>
                <w:szCs w:val="18"/>
                <w:color w:val="auto"/>
              </w:rPr>
            </w:pPr>
          </w:p>
        </w:tc>
        <w:tc>
          <w:tcPr>
            <w:tcW w:w="960" w:type="dxa"/>
            <w:vAlign w:val="bottom"/>
            <w:gridSpan w:val="2"/>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gridSpan w:val="2"/>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gridSpan w:val="2"/>
            <w:vMerge w:val="continue"/>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780" w:type="dxa"/>
            <w:vAlign w:val="bottom"/>
          </w:tcPr>
          <w:p>
            <w:pPr>
              <w:ind w:left="20"/>
              <w:spacing w:after="0"/>
              <w:rPr>
                <w:sz w:val="20"/>
                <w:szCs w:val="20"/>
                <w:color w:val="auto"/>
              </w:rPr>
            </w:pPr>
            <w:r>
              <w:rPr>
                <w:rFonts w:ascii="Arial" w:cs="Arial" w:eastAsia="Arial" w:hAnsi="Arial"/>
                <w:sz w:val="16"/>
                <w:szCs w:val="16"/>
                <w:color w:val="auto"/>
              </w:rPr>
              <w:t>Net issuance of restricted stock</w:t>
            </w:r>
          </w:p>
        </w:tc>
        <w:tc>
          <w:tcPr>
            <w:tcW w:w="880" w:type="dxa"/>
            <w:vAlign w:val="bottom"/>
          </w:tcPr>
          <w:p>
            <w:pPr>
              <w:jc w:val="right"/>
              <w:spacing w:after="0"/>
              <w:rPr>
                <w:sz w:val="20"/>
                <w:szCs w:val="20"/>
                <w:color w:val="auto"/>
              </w:rPr>
            </w:pPr>
            <w:r>
              <w:rPr>
                <w:rFonts w:ascii="Arial" w:cs="Arial" w:eastAsia="Arial" w:hAnsi="Arial"/>
                <w:sz w:val="16"/>
                <w:szCs w:val="16"/>
                <w:color w:val="auto"/>
              </w:rPr>
              <w:t>1,208</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8"/>
                <w:szCs w:val="18"/>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9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840" w:type="dxa"/>
            <w:vAlign w:val="bottom"/>
            <w:gridSpan w:val="2"/>
          </w:tcPr>
          <w:p>
            <w:pPr>
              <w:jc w:val="center"/>
              <w:ind w:left="279"/>
              <w:spacing w:after="0"/>
              <w:rPr>
                <w:sz w:val="20"/>
                <w:szCs w:val="20"/>
                <w:color w:val="auto"/>
              </w:rPr>
            </w:pPr>
            <w:r>
              <w:rPr>
                <w:rFonts w:ascii="Arial" w:cs="Arial" w:eastAsia="Arial" w:hAnsi="Arial"/>
                <w:sz w:val="16"/>
                <w:szCs w:val="16"/>
                <w:color w:val="auto"/>
                <w:w w:val="99"/>
              </w:rPr>
              <w:t>—</w:t>
            </w:r>
          </w:p>
        </w:tc>
        <w:tc>
          <w:tcPr>
            <w:tcW w:w="120" w:type="dxa"/>
            <w:vAlign w:val="bottom"/>
          </w:tcPr>
          <w:p>
            <w:pPr>
              <w:spacing w:after="0"/>
              <w:rPr>
                <w:sz w:val="18"/>
                <w:szCs w:val="18"/>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8"/>
        </w:trPr>
        <w:tc>
          <w:tcPr>
            <w:tcW w:w="27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Balance at September 30, 2022</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30,146</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29</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98,634</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00" w:type="dxa"/>
            <w:vAlign w:val="bottom"/>
            <w:tcBorders>
              <w:top w:val="single" w:sz="8" w:color="auto"/>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17,810</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40" w:type="dxa"/>
            <w:vAlign w:val="bottom"/>
            <w:tcBorders>
              <w:top w:val="single" w:sz="8" w:color="auto"/>
              <w:bottom w:val="single" w:sz="8" w:color="auto"/>
            </w:tcBorders>
            <w:shd w:val="clear" w:color="auto" w:fill="CCEEFF"/>
          </w:tcPr>
          <w:p>
            <w:pPr>
              <w:jc w:val="center"/>
              <w:ind w:left="339"/>
              <w:spacing w:after="0"/>
              <w:rPr>
                <w:sz w:val="20"/>
                <w:szCs w:val="20"/>
                <w:color w:val="auto"/>
              </w:rPr>
            </w:pPr>
            <w:r>
              <w:rPr>
                <w:rFonts w:ascii="Arial" w:cs="Arial" w:eastAsia="Arial" w:hAnsi="Arial"/>
                <w:sz w:val="16"/>
                <w:szCs w:val="16"/>
                <w:color w:val="auto"/>
                <w:w w:val="98"/>
              </w:rPr>
              <w:t>(65)</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4,432</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120,840</w:t>
            </w:r>
          </w:p>
        </w:tc>
        <w:tc>
          <w:tcPr>
            <w:tcW w:w="0" w:type="dxa"/>
            <w:vAlign w:val="bottom"/>
          </w:tcPr>
          <w:p>
            <w:pPr>
              <w:spacing w:after="0"/>
              <w:rPr>
                <w:sz w:val="1"/>
                <w:szCs w:val="1"/>
                <w:color w:val="auto"/>
              </w:rPr>
            </w:pPr>
          </w:p>
        </w:tc>
      </w:tr>
      <w:tr>
        <w:trPr>
          <w:trHeight w:val="20"/>
        </w:trPr>
        <w:tc>
          <w:tcPr>
            <w:tcW w:w="278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8" w:right="339" w:bottom="1440" w:gutter="0" w:footer="0" w:header="0"/>
        </w:sectPr>
      </w:pPr>
    </w:p>
    <w:bookmarkStart w:id="5" w:name="page6"/>
    <w:bookmarkEnd w:id="5"/>
    <w:p>
      <w:pPr>
        <w:spacing w:after="0"/>
        <w:rPr>
          <w:sz w:val="20"/>
          <w:szCs w:val="20"/>
          <w:color w:val="auto"/>
        </w:rPr>
      </w:pPr>
      <w:r>
        <w:rPr>
          <w:rFonts w:ascii="Arial" w:cs="Arial" w:eastAsia="Arial" w:hAnsi="Arial"/>
          <w:sz w:val="18"/>
          <w:szCs w:val="18"/>
          <w:u w:val="single" w:color="auto"/>
          <w:color w:val="0000FF"/>
        </w:rPr>
        <w:t>Table of Contents</w:t>
      </w:r>
    </w:p>
    <w:p>
      <w:pPr>
        <w:spacing w:after="0" w:line="379"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2780" w:type="dxa"/>
            <w:vAlign w:val="bottom"/>
          </w:tcPr>
          <w:p>
            <w:pPr>
              <w:spacing w:after="0"/>
              <w:rPr>
                <w:sz w:val="16"/>
                <w:szCs w:val="16"/>
                <w:color w:val="auto"/>
              </w:rPr>
            </w:pPr>
          </w:p>
        </w:tc>
        <w:tc>
          <w:tcPr>
            <w:tcW w:w="1840" w:type="dxa"/>
            <w:vAlign w:val="bottom"/>
            <w:gridSpan w:val="4"/>
            <w:vMerge w:val="restart"/>
          </w:tcPr>
          <w:p>
            <w:pPr>
              <w:jc w:val="right"/>
              <w:ind w:right="299"/>
              <w:spacing w:after="0"/>
              <w:rPr>
                <w:sz w:val="20"/>
                <w:szCs w:val="20"/>
                <w:color w:val="auto"/>
              </w:rPr>
            </w:pPr>
            <w:r>
              <w:rPr>
                <w:rFonts w:ascii="Arial" w:cs="Arial" w:eastAsia="Arial" w:hAnsi="Arial"/>
                <w:sz w:val="16"/>
                <w:szCs w:val="16"/>
                <w:b w:val="1"/>
                <w:bCs w:val="1"/>
                <w:color w:val="auto"/>
              </w:rPr>
              <w:t>Common Stock</w:t>
            </w:r>
          </w:p>
        </w:tc>
        <w:tc>
          <w:tcPr>
            <w:tcW w:w="80" w:type="dxa"/>
            <w:vAlign w:val="bottom"/>
            <w:vMerge w:val="restart"/>
          </w:tcPr>
          <w:p>
            <w:pPr>
              <w:spacing w:after="0"/>
              <w:rPr>
                <w:sz w:val="16"/>
                <w:szCs w:val="16"/>
                <w:color w:val="auto"/>
              </w:rPr>
            </w:pPr>
          </w:p>
        </w:tc>
        <w:tc>
          <w:tcPr>
            <w:tcW w:w="140" w:type="dxa"/>
            <w:vAlign w:val="bottom"/>
          </w:tcPr>
          <w:p>
            <w:pPr>
              <w:spacing w:after="0"/>
              <w:rPr>
                <w:sz w:val="16"/>
                <w:szCs w:val="16"/>
                <w:color w:val="auto"/>
              </w:rPr>
            </w:pPr>
          </w:p>
        </w:tc>
        <w:tc>
          <w:tcPr>
            <w:tcW w:w="106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94"/>
              </w:rPr>
              <w:t>Additional</w:t>
            </w:r>
          </w:p>
        </w:tc>
        <w:tc>
          <w:tcPr>
            <w:tcW w:w="2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680" w:type="dxa"/>
            <w:vAlign w:val="bottom"/>
            <w:gridSpan w:val="4"/>
            <w:vMerge w:val="restart"/>
          </w:tcPr>
          <w:p>
            <w:pPr>
              <w:ind w:left="240"/>
              <w:spacing w:after="0"/>
              <w:rPr>
                <w:sz w:val="20"/>
                <w:szCs w:val="20"/>
                <w:color w:val="auto"/>
              </w:rPr>
            </w:pPr>
            <w:r>
              <w:rPr>
                <w:rFonts w:ascii="Arial" w:cs="Arial" w:eastAsia="Arial" w:hAnsi="Arial"/>
                <w:sz w:val="16"/>
                <w:szCs w:val="16"/>
                <w:b w:val="1"/>
                <w:bCs w:val="1"/>
                <w:color w:val="auto"/>
              </w:rPr>
              <w:t>Treasury Stock</w:t>
            </w:r>
          </w:p>
        </w:tc>
        <w:tc>
          <w:tcPr>
            <w:tcW w:w="100" w:type="dxa"/>
            <w:vAlign w:val="bottom"/>
            <w:vMerge w:val="restart"/>
          </w:tcPr>
          <w:p>
            <w:pPr>
              <w:spacing w:after="0"/>
              <w:rPr>
                <w:sz w:val="16"/>
                <w:szCs w:val="16"/>
                <w:color w:val="auto"/>
              </w:rPr>
            </w:pPr>
          </w:p>
        </w:tc>
        <w:tc>
          <w:tcPr>
            <w:tcW w:w="120" w:type="dxa"/>
            <w:vAlign w:val="bottom"/>
          </w:tcPr>
          <w:p>
            <w:pPr>
              <w:spacing w:after="0"/>
              <w:rPr>
                <w:sz w:val="16"/>
                <w:szCs w:val="16"/>
                <w:color w:val="auto"/>
              </w:rPr>
            </w:pPr>
          </w:p>
        </w:tc>
        <w:tc>
          <w:tcPr>
            <w:tcW w:w="1060" w:type="dxa"/>
            <w:vAlign w:val="bottom"/>
            <w:gridSpan w:val="2"/>
          </w:tcPr>
          <w:p>
            <w:pPr>
              <w:jc w:val="center"/>
              <w:ind w:right="200"/>
              <w:spacing w:after="0"/>
              <w:rPr>
                <w:sz w:val="20"/>
                <w:szCs w:val="20"/>
                <w:color w:val="auto"/>
              </w:rPr>
            </w:pPr>
            <w:r>
              <w:rPr>
                <w:rFonts w:ascii="Arial" w:cs="Arial" w:eastAsia="Arial" w:hAnsi="Arial"/>
                <w:sz w:val="16"/>
                <w:szCs w:val="16"/>
                <w:b w:val="1"/>
                <w:bCs w:val="1"/>
                <w:color w:val="auto"/>
                <w:w w:val="93"/>
              </w:rPr>
              <w:t>Non-</w:t>
            </w:r>
          </w:p>
        </w:tc>
        <w:tc>
          <w:tcPr>
            <w:tcW w:w="1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19"/>
        </w:trPr>
        <w:tc>
          <w:tcPr>
            <w:tcW w:w="2780" w:type="dxa"/>
            <w:vAlign w:val="bottom"/>
          </w:tcPr>
          <w:p>
            <w:pPr>
              <w:spacing w:after="0"/>
              <w:rPr>
                <w:sz w:val="10"/>
                <w:szCs w:val="10"/>
                <w:color w:val="auto"/>
              </w:rPr>
            </w:pPr>
          </w:p>
        </w:tc>
        <w:tc>
          <w:tcPr>
            <w:tcW w:w="1840" w:type="dxa"/>
            <w:vAlign w:val="bottom"/>
            <w:tcBorders>
              <w:bottom w:val="single" w:sz="8" w:color="auto"/>
            </w:tcBorders>
            <w:gridSpan w:val="4"/>
            <w:vMerge w:val="continue"/>
          </w:tcPr>
          <w:p>
            <w:pPr>
              <w:spacing w:after="0"/>
              <w:rPr>
                <w:sz w:val="10"/>
                <w:szCs w:val="10"/>
                <w:color w:val="auto"/>
              </w:rPr>
            </w:pPr>
          </w:p>
        </w:tc>
        <w:tc>
          <w:tcPr>
            <w:tcW w:w="80" w:type="dxa"/>
            <w:vAlign w:val="bottom"/>
            <w:vMerge w:val="continue"/>
          </w:tcPr>
          <w:p>
            <w:pPr>
              <w:spacing w:after="0"/>
              <w:rPr>
                <w:sz w:val="10"/>
                <w:szCs w:val="10"/>
                <w:color w:val="auto"/>
              </w:rPr>
            </w:pPr>
          </w:p>
        </w:tc>
        <w:tc>
          <w:tcPr>
            <w:tcW w:w="140" w:type="dxa"/>
            <w:vAlign w:val="bottom"/>
          </w:tcPr>
          <w:p>
            <w:pPr>
              <w:spacing w:after="0"/>
              <w:rPr>
                <w:sz w:val="10"/>
                <w:szCs w:val="10"/>
                <w:color w:val="auto"/>
              </w:rPr>
            </w:pPr>
          </w:p>
        </w:tc>
        <w:tc>
          <w:tcPr>
            <w:tcW w:w="1060" w:type="dxa"/>
            <w:vAlign w:val="bottom"/>
            <w:gridSpan w:val="2"/>
            <w:vMerge w:val="restart"/>
          </w:tcPr>
          <w:p>
            <w:pPr>
              <w:jc w:val="center"/>
              <w:ind w:right="220"/>
              <w:spacing w:after="0" w:line="162" w:lineRule="exact"/>
              <w:rPr>
                <w:sz w:val="20"/>
                <w:szCs w:val="20"/>
                <w:color w:val="auto"/>
              </w:rPr>
            </w:pPr>
            <w:r>
              <w:rPr>
                <w:rFonts w:ascii="Arial" w:cs="Arial" w:eastAsia="Arial" w:hAnsi="Arial"/>
                <w:sz w:val="16"/>
                <w:szCs w:val="16"/>
                <w:b w:val="1"/>
                <w:bCs w:val="1"/>
                <w:color w:val="auto"/>
                <w:w w:val="97"/>
              </w:rPr>
              <w:t>Paid-In</w:t>
            </w:r>
          </w:p>
        </w:tc>
        <w:tc>
          <w:tcPr>
            <w:tcW w:w="200" w:type="dxa"/>
            <w:vAlign w:val="bottom"/>
          </w:tcPr>
          <w:p>
            <w:pPr>
              <w:spacing w:after="0"/>
              <w:rPr>
                <w:sz w:val="10"/>
                <w:szCs w:val="10"/>
                <w:color w:val="auto"/>
              </w:rPr>
            </w:pPr>
          </w:p>
        </w:tc>
        <w:tc>
          <w:tcPr>
            <w:tcW w:w="1160" w:type="dxa"/>
            <w:vAlign w:val="bottom"/>
            <w:gridSpan w:val="2"/>
            <w:vMerge w:val="restart"/>
          </w:tcPr>
          <w:p>
            <w:pPr>
              <w:ind w:left="120"/>
              <w:spacing w:after="0" w:line="162" w:lineRule="exact"/>
              <w:rPr>
                <w:sz w:val="20"/>
                <w:szCs w:val="20"/>
                <w:color w:val="auto"/>
              </w:rPr>
            </w:pPr>
            <w:r>
              <w:rPr>
                <w:rFonts w:ascii="Arial" w:cs="Arial" w:eastAsia="Arial" w:hAnsi="Arial"/>
                <w:sz w:val="16"/>
                <w:szCs w:val="16"/>
                <w:b w:val="1"/>
                <w:bCs w:val="1"/>
                <w:color w:val="auto"/>
              </w:rPr>
              <w:t>Retained</w:t>
            </w:r>
          </w:p>
        </w:tc>
        <w:tc>
          <w:tcPr>
            <w:tcW w:w="140" w:type="dxa"/>
            <w:vAlign w:val="bottom"/>
            <w:tcBorders>
              <w:bottom w:val="single" w:sz="8" w:color="auto"/>
            </w:tcBorders>
          </w:tcPr>
          <w:p>
            <w:pPr>
              <w:spacing w:after="0"/>
              <w:rPr>
                <w:sz w:val="10"/>
                <w:szCs w:val="10"/>
                <w:color w:val="auto"/>
              </w:rPr>
            </w:pPr>
          </w:p>
        </w:tc>
        <w:tc>
          <w:tcPr>
            <w:tcW w:w="1680" w:type="dxa"/>
            <w:vAlign w:val="bottom"/>
            <w:tcBorders>
              <w:bottom w:val="single" w:sz="8" w:color="auto"/>
            </w:tcBorders>
            <w:gridSpan w:val="4"/>
            <w:vMerge w:val="continue"/>
          </w:tcPr>
          <w:p>
            <w:pPr>
              <w:spacing w:after="0"/>
              <w:rPr>
                <w:sz w:val="10"/>
                <w:szCs w:val="10"/>
                <w:color w:val="auto"/>
              </w:rPr>
            </w:pPr>
          </w:p>
        </w:tc>
        <w:tc>
          <w:tcPr>
            <w:tcW w:w="100" w:type="dxa"/>
            <w:vAlign w:val="bottom"/>
            <w:vMerge w:val="continue"/>
          </w:tcPr>
          <w:p>
            <w:pPr>
              <w:spacing w:after="0"/>
              <w:rPr>
                <w:sz w:val="10"/>
                <w:szCs w:val="10"/>
                <w:color w:val="auto"/>
              </w:rPr>
            </w:pPr>
          </w:p>
        </w:tc>
        <w:tc>
          <w:tcPr>
            <w:tcW w:w="120" w:type="dxa"/>
            <w:vAlign w:val="bottom"/>
          </w:tcPr>
          <w:p>
            <w:pPr>
              <w:spacing w:after="0"/>
              <w:rPr>
                <w:sz w:val="10"/>
                <w:szCs w:val="10"/>
                <w:color w:val="auto"/>
              </w:rPr>
            </w:pPr>
          </w:p>
        </w:tc>
        <w:tc>
          <w:tcPr>
            <w:tcW w:w="1060" w:type="dxa"/>
            <w:vAlign w:val="bottom"/>
            <w:gridSpan w:val="2"/>
            <w:vMerge w:val="restart"/>
          </w:tcPr>
          <w:p>
            <w:pPr>
              <w:jc w:val="center"/>
              <w:ind w:right="220"/>
              <w:spacing w:after="0" w:line="162" w:lineRule="exact"/>
              <w:rPr>
                <w:sz w:val="20"/>
                <w:szCs w:val="20"/>
                <w:color w:val="auto"/>
              </w:rPr>
            </w:pPr>
            <w:r>
              <w:rPr>
                <w:rFonts w:ascii="Arial" w:cs="Arial" w:eastAsia="Arial" w:hAnsi="Arial"/>
                <w:sz w:val="16"/>
                <w:szCs w:val="16"/>
                <w:b w:val="1"/>
                <w:bCs w:val="1"/>
                <w:color w:val="auto"/>
                <w:w w:val="93"/>
              </w:rPr>
              <w:t>Controlling</w:t>
            </w:r>
          </w:p>
        </w:tc>
        <w:tc>
          <w:tcPr>
            <w:tcW w:w="1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2780" w:type="dxa"/>
            <w:vAlign w:val="bottom"/>
          </w:tcPr>
          <w:p>
            <w:pPr>
              <w:spacing w:after="0"/>
              <w:rPr>
                <w:sz w:val="2"/>
                <w:szCs w:val="2"/>
                <w:color w:val="auto"/>
              </w:rPr>
            </w:pPr>
          </w:p>
        </w:tc>
        <w:tc>
          <w:tcPr>
            <w:tcW w:w="960" w:type="dxa"/>
            <w:vAlign w:val="bottom"/>
            <w:gridSpan w:val="2"/>
            <w:vMerge w:val="restart"/>
          </w:tcPr>
          <w:p>
            <w:pPr>
              <w:ind w:left="200"/>
              <w:spacing w:after="0"/>
              <w:rPr>
                <w:sz w:val="20"/>
                <w:szCs w:val="20"/>
                <w:color w:val="auto"/>
              </w:rPr>
            </w:pPr>
            <w:r>
              <w:rPr>
                <w:rFonts w:ascii="Arial" w:cs="Arial" w:eastAsia="Arial" w:hAnsi="Arial"/>
                <w:sz w:val="16"/>
                <w:szCs w:val="16"/>
                <w:b w:val="1"/>
                <w:bCs w:val="1"/>
                <w:color w:val="auto"/>
              </w:rPr>
              <w:t>Shares</w:t>
            </w:r>
          </w:p>
        </w:tc>
        <w:tc>
          <w:tcPr>
            <w:tcW w:w="140" w:type="dxa"/>
            <w:vAlign w:val="bottom"/>
          </w:tcPr>
          <w:p>
            <w:pPr>
              <w:spacing w:after="0"/>
              <w:rPr>
                <w:sz w:val="2"/>
                <w:szCs w:val="2"/>
                <w:color w:val="auto"/>
              </w:rPr>
            </w:pPr>
          </w:p>
        </w:tc>
        <w:tc>
          <w:tcPr>
            <w:tcW w:w="820" w:type="dxa"/>
            <w:vAlign w:val="bottom"/>
            <w:gridSpan w:val="2"/>
            <w:vMerge w:val="restart"/>
          </w:tcPr>
          <w:p>
            <w:pPr>
              <w:ind w:left="20"/>
              <w:spacing w:after="0"/>
              <w:rPr>
                <w:sz w:val="20"/>
                <w:szCs w:val="20"/>
                <w:color w:val="auto"/>
              </w:rPr>
            </w:pPr>
            <w:r>
              <w:rPr>
                <w:rFonts w:ascii="Arial" w:cs="Arial" w:eastAsia="Arial" w:hAnsi="Arial"/>
                <w:sz w:val="16"/>
                <w:szCs w:val="16"/>
                <w:b w:val="1"/>
                <w:bCs w:val="1"/>
                <w:color w:val="auto"/>
              </w:rPr>
              <w:t>Amount</w:t>
            </w:r>
          </w:p>
        </w:tc>
        <w:tc>
          <w:tcPr>
            <w:tcW w:w="140" w:type="dxa"/>
            <w:vAlign w:val="bottom"/>
          </w:tcPr>
          <w:p>
            <w:pPr>
              <w:spacing w:after="0"/>
              <w:rPr>
                <w:sz w:val="2"/>
                <w:szCs w:val="2"/>
                <w:color w:val="auto"/>
              </w:rPr>
            </w:pPr>
          </w:p>
        </w:tc>
        <w:tc>
          <w:tcPr>
            <w:tcW w:w="1060" w:type="dxa"/>
            <w:vAlign w:val="bottom"/>
            <w:gridSpan w:val="2"/>
            <w:vMerge w:val="continue"/>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gridSpan w:val="2"/>
            <w:vMerge w:val="continue"/>
          </w:tcPr>
          <w:p>
            <w:pPr>
              <w:spacing w:after="0"/>
              <w:rPr>
                <w:sz w:val="2"/>
                <w:szCs w:val="2"/>
                <w:color w:val="auto"/>
              </w:rPr>
            </w:pPr>
          </w:p>
        </w:tc>
        <w:tc>
          <w:tcPr>
            <w:tcW w:w="140" w:type="dxa"/>
            <w:vAlign w:val="bottom"/>
          </w:tcPr>
          <w:p>
            <w:pPr>
              <w:spacing w:after="0"/>
              <w:rPr>
                <w:sz w:val="2"/>
                <w:szCs w:val="2"/>
                <w:color w:val="auto"/>
              </w:rPr>
            </w:pPr>
          </w:p>
        </w:tc>
        <w:tc>
          <w:tcPr>
            <w:tcW w:w="820" w:type="dxa"/>
            <w:vAlign w:val="bottom"/>
            <w:gridSpan w:val="2"/>
            <w:vMerge w:val="restart"/>
          </w:tcPr>
          <w:p>
            <w:pPr>
              <w:ind w:left="60"/>
              <w:spacing w:after="0"/>
              <w:rPr>
                <w:sz w:val="20"/>
                <w:szCs w:val="20"/>
                <w:color w:val="auto"/>
              </w:rPr>
            </w:pPr>
            <w:r>
              <w:rPr>
                <w:rFonts w:ascii="Arial" w:cs="Arial" w:eastAsia="Arial" w:hAnsi="Arial"/>
                <w:sz w:val="16"/>
                <w:szCs w:val="16"/>
                <w:b w:val="1"/>
                <w:bCs w:val="1"/>
                <w:color w:val="auto"/>
              </w:rPr>
              <w:t>Shares</w:t>
            </w:r>
          </w:p>
        </w:tc>
        <w:tc>
          <w:tcPr>
            <w:tcW w:w="120" w:type="dxa"/>
            <w:vAlign w:val="bottom"/>
          </w:tcPr>
          <w:p>
            <w:pPr>
              <w:spacing w:after="0"/>
              <w:rPr>
                <w:sz w:val="2"/>
                <w:szCs w:val="2"/>
                <w:color w:val="auto"/>
              </w:rPr>
            </w:pPr>
          </w:p>
        </w:tc>
        <w:tc>
          <w:tcPr>
            <w:tcW w:w="840" w:type="dxa"/>
            <w:vAlign w:val="bottom"/>
            <w:gridSpan w:val="2"/>
            <w:vMerge w:val="restart"/>
          </w:tcPr>
          <w:p>
            <w:pPr>
              <w:ind w:left="20"/>
              <w:spacing w:after="0"/>
              <w:rPr>
                <w:sz w:val="20"/>
                <w:szCs w:val="20"/>
                <w:color w:val="auto"/>
              </w:rPr>
            </w:pPr>
            <w:r>
              <w:rPr>
                <w:rFonts w:ascii="Arial" w:cs="Arial" w:eastAsia="Arial" w:hAnsi="Arial"/>
                <w:sz w:val="16"/>
                <w:szCs w:val="16"/>
                <w:b w:val="1"/>
                <w:bCs w:val="1"/>
                <w:color w:val="auto"/>
              </w:rPr>
              <w:t>Amount</w:t>
            </w:r>
          </w:p>
        </w:tc>
        <w:tc>
          <w:tcPr>
            <w:tcW w:w="120" w:type="dxa"/>
            <w:vAlign w:val="bottom"/>
          </w:tcPr>
          <w:p>
            <w:pPr>
              <w:spacing w:after="0"/>
              <w:rPr>
                <w:sz w:val="2"/>
                <w:szCs w:val="2"/>
                <w:color w:val="auto"/>
              </w:rPr>
            </w:pPr>
          </w:p>
        </w:tc>
        <w:tc>
          <w:tcPr>
            <w:tcW w:w="1060" w:type="dxa"/>
            <w:vAlign w:val="bottom"/>
            <w:gridSpan w:val="2"/>
            <w:vMerge w:val="continue"/>
          </w:tcPr>
          <w:p>
            <w:pPr>
              <w:spacing w:after="0"/>
              <w:rPr>
                <w:sz w:val="2"/>
                <w:szCs w:val="2"/>
                <w:color w:val="auto"/>
              </w:rPr>
            </w:pPr>
          </w:p>
        </w:tc>
        <w:tc>
          <w:tcPr>
            <w:tcW w:w="180" w:type="dxa"/>
            <w:vAlign w:val="bottom"/>
          </w:tcPr>
          <w:p>
            <w:pPr>
              <w:spacing w:after="0"/>
              <w:rPr>
                <w:sz w:val="2"/>
                <w:szCs w:val="2"/>
                <w:color w:val="auto"/>
              </w:rPr>
            </w:pPr>
          </w:p>
        </w:tc>
        <w:tc>
          <w:tcPr>
            <w:tcW w:w="700" w:type="dxa"/>
            <w:vAlign w:val="bottom"/>
            <w:vMerge w:val="restart"/>
          </w:tcPr>
          <w:p>
            <w:pPr>
              <w:jc w:val="right"/>
              <w:ind w:right="179"/>
              <w:spacing w:after="0"/>
              <w:rPr>
                <w:sz w:val="20"/>
                <w:szCs w:val="20"/>
                <w:color w:val="auto"/>
              </w:rPr>
            </w:pPr>
            <w:r>
              <w:rPr>
                <w:rFonts w:ascii="Arial" w:cs="Arial" w:eastAsia="Arial" w:hAnsi="Arial"/>
                <w:sz w:val="16"/>
                <w:szCs w:val="16"/>
                <w:b w:val="1"/>
                <w:bCs w:val="1"/>
                <w:color w:val="auto"/>
              </w:rPr>
              <w:t>Total</w:t>
            </w:r>
          </w:p>
        </w:tc>
        <w:tc>
          <w:tcPr>
            <w:tcW w:w="0" w:type="dxa"/>
            <w:vAlign w:val="bottom"/>
          </w:tcPr>
          <w:p>
            <w:pPr>
              <w:spacing w:after="0" w:line="20" w:lineRule="exact"/>
              <w:rPr>
                <w:sz w:val="1"/>
                <w:szCs w:val="1"/>
                <w:color w:val="auto"/>
              </w:rPr>
            </w:pPr>
          </w:p>
        </w:tc>
      </w:tr>
      <w:tr>
        <w:trPr>
          <w:trHeight w:val="213"/>
        </w:trPr>
        <w:tc>
          <w:tcPr>
            <w:tcW w:w="2780" w:type="dxa"/>
            <w:vAlign w:val="bottom"/>
          </w:tcPr>
          <w:p>
            <w:pPr>
              <w:spacing w:after="0"/>
              <w:rPr>
                <w:sz w:val="18"/>
                <w:szCs w:val="18"/>
                <w:color w:val="auto"/>
              </w:rPr>
            </w:pPr>
          </w:p>
        </w:tc>
        <w:tc>
          <w:tcPr>
            <w:tcW w:w="96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93"/>
              </w:rPr>
              <w:t>Capital</w:t>
            </w:r>
          </w:p>
        </w:tc>
        <w:tc>
          <w:tcPr>
            <w:tcW w:w="200" w:type="dxa"/>
            <w:vAlign w:val="bottom"/>
          </w:tcPr>
          <w:p>
            <w:pPr>
              <w:spacing w:after="0"/>
              <w:rPr>
                <w:sz w:val="18"/>
                <w:szCs w:val="18"/>
                <w:color w:val="auto"/>
              </w:rPr>
            </w:pPr>
          </w:p>
        </w:tc>
        <w:tc>
          <w:tcPr>
            <w:tcW w:w="1160" w:type="dxa"/>
            <w:vAlign w:val="bottom"/>
            <w:gridSpan w:val="2"/>
          </w:tcPr>
          <w:p>
            <w:pPr>
              <w:ind w:left="120"/>
              <w:spacing w:after="0"/>
              <w:rPr>
                <w:sz w:val="20"/>
                <w:szCs w:val="20"/>
                <w:color w:val="auto"/>
              </w:rPr>
            </w:pPr>
            <w:r>
              <w:rPr>
                <w:rFonts w:ascii="Arial" w:cs="Arial" w:eastAsia="Arial" w:hAnsi="Arial"/>
                <w:sz w:val="16"/>
                <w:szCs w:val="16"/>
                <w:b w:val="1"/>
                <w:bCs w:val="1"/>
                <w:color w:val="auto"/>
              </w:rPr>
              <w:t>Earnings</w:t>
            </w:r>
          </w:p>
        </w:tc>
        <w:tc>
          <w:tcPr>
            <w:tcW w:w="140" w:type="dxa"/>
            <w:vAlign w:val="bottom"/>
          </w:tcPr>
          <w:p>
            <w:pPr>
              <w:spacing w:after="0"/>
              <w:rPr>
                <w:sz w:val="18"/>
                <w:szCs w:val="18"/>
                <w:color w:val="auto"/>
              </w:rPr>
            </w:pPr>
          </w:p>
        </w:tc>
        <w:tc>
          <w:tcPr>
            <w:tcW w:w="82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89"/>
              </w:rPr>
              <w:t>Interest</w:t>
            </w:r>
          </w:p>
        </w:tc>
        <w:tc>
          <w:tcPr>
            <w:tcW w:w="180" w:type="dxa"/>
            <w:vAlign w:val="bottom"/>
          </w:tcPr>
          <w:p>
            <w:pPr>
              <w:spacing w:after="0"/>
              <w:rPr>
                <w:sz w:val="18"/>
                <w:szCs w:val="18"/>
                <w:color w:val="auto"/>
              </w:rPr>
            </w:pPr>
          </w:p>
        </w:tc>
        <w:tc>
          <w:tcPr>
            <w:tcW w:w="7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53"/>
        </w:trPr>
        <w:tc>
          <w:tcPr>
            <w:tcW w:w="2780" w:type="dxa"/>
            <w:vAlign w:val="bottom"/>
          </w:tcPr>
          <w:p>
            <w:pPr>
              <w:spacing w:after="0"/>
              <w:rPr>
                <w:sz w:val="21"/>
                <w:szCs w:val="21"/>
                <w:color w:val="auto"/>
              </w:rPr>
            </w:pPr>
          </w:p>
        </w:tc>
        <w:tc>
          <w:tcPr>
            <w:tcW w:w="880" w:type="dxa"/>
            <w:vAlign w:val="bottom"/>
            <w:tcBorders>
              <w:top w:val="single" w:sz="8" w:color="auto"/>
            </w:tcBorders>
          </w:tcPr>
          <w:p>
            <w:pPr>
              <w:spacing w:after="0"/>
              <w:rPr>
                <w:sz w:val="21"/>
                <w:szCs w:val="21"/>
                <w:color w:val="auto"/>
              </w:rPr>
            </w:pPr>
          </w:p>
        </w:tc>
        <w:tc>
          <w:tcPr>
            <w:tcW w:w="80" w:type="dxa"/>
            <w:vAlign w:val="bottom"/>
          </w:tcPr>
          <w:p>
            <w:pPr>
              <w:spacing w:after="0"/>
              <w:rPr>
                <w:sz w:val="21"/>
                <w:szCs w:val="21"/>
                <w:color w:val="auto"/>
              </w:rPr>
            </w:pPr>
          </w:p>
        </w:tc>
        <w:tc>
          <w:tcPr>
            <w:tcW w:w="140" w:type="dxa"/>
            <w:vAlign w:val="bottom"/>
            <w:tcBorders>
              <w:top w:val="single" w:sz="8" w:color="auto"/>
            </w:tcBorders>
          </w:tcPr>
          <w:p>
            <w:pPr>
              <w:spacing w:after="0"/>
              <w:rPr>
                <w:sz w:val="21"/>
                <w:szCs w:val="21"/>
                <w:color w:val="auto"/>
              </w:rPr>
            </w:pPr>
          </w:p>
        </w:tc>
        <w:tc>
          <w:tcPr>
            <w:tcW w:w="740" w:type="dxa"/>
            <w:vAlign w:val="bottom"/>
            <w:tcBorders>
              <w:top w:val="single" w:sz="8" w:color="auto"/>
            </w:tcBorders>
          </w:tcPr>
          <w:p>
            <w:pPr>
              <w:spacing w:after="0"/>
              <w:rPr>
                <w:sz w:val="21"/>
                <w:szCs w:val="21"/>
                <w:color w:val="auto"/>
              </w:rPr>
            </w:pPr>
          </w:p>
        </w:tc>
        <w:tc>
          <w:tcPr>
            <w:tcW w:w="80" w:type="dxa"/>
            <w:vAlign w:val="bottom"/>
          </w:tcPr>
          <w:p>
            <w:pPr>
              <w:spacing w:after="0"/>
              <w:rPr>
                <w:sz w:val="21"/>
                <w:szCs w:val="21"/>
                <w:color w:val="auto"/>
              </w:rPr>
            </w:pPr>
          </w:p>
        </w:tc>
        <w:tc>
          <w:tcPr>
            <w:tcW w:w="140" w:type="dxa"/>
            <w:vAlign w:val="bottom"/>
            <w:tcBorders>
              <w:top w:val="single" w:sz="8" w:color="auto"/>
            </w:tcBorders>
          </w:tcPr>
          <w:p>
            <w:pPr>
              <w:spacing w:after="0"/>
              <w:rPr>
                <w:sz w:val="21"/>
                <w:szCs w:val="21"/>
                <w:color w:val="auto"/>
              </w:rPr>
            </w:pPr>
          </w:p>
        </w:tc>
        <w:tc>
          <w:tcPr>
            <w:tcW w:w="96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Borders>
              <w:top w:val="single" w:sz="8" w:color="auto"/>
            </w:tcBorders>
          </w:tcPr>
          <w:p>
            <w:pPr>
              <w:spacing w:after="0"/>
              <w:rPr>
                <w:sz w:val="21"/>
                <w:szCs w:val="21"/>
                <w:color w:val="auto"/>
              </w:rPr>
            </w:pPr>
          </w:p>
        </w:tc>
        <w:tc>
          <w:tcPr>
            <w:tcW w:w="106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Borders>
              <w:top w:val="single" w:sz="8" w:color="auto"/>
            </w:tcBorders>
          </w:tcPr>
          <w:p>
            <w:pPr>
              <w:spacing w:after="0"/>
              <w:rPr>
                <w:sz w:val="21"/>
                <w:szCs w:val="21"/>
                <w:color w:val="auto"/>
              </w:rPr>
            </w:pPr>
          </w:p>
        </w:tc>
        <w:tc>
          <w:tcPr>
            <w:tcW w:w="72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Borders>
              <w:top w:val="single" w:sz="8" w:color="auto"/>
            </w:tcBorders>
          </w:tcPr>
          <w:p>
            <w:pPr>
              <w:spacing w:after="0"/>
              <w:rPr>
                <w:sz w:val="21"/>
                <w:szCs w:val="21"/>
                <w:color w:val="auto"/>
              </w:rPr>
            </w:pPr>
          </w:p>
        </w:tc>
        <w:tc>
          <w:tcPr>
            <w:tcW w:w="74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Borders>
              <w:top w:val="single" w:sz="8" w:color="auto"/>
            </w:tcBorders>
          </w:tcPr>
          <w:p>
            <w:pPr>
              <w:spacing w:after="0"/>
              <w:rPr>
                <w:sz w:val="21"/>
                <w:szCs w:val="21"/>
                <w:color w:val="auto"/>
              </w:rPr>
            </w:pPr>
          </w:p>
        </w:tc>
        <w:tc>
          <w:tcPr>
            <w:tcW w:w="96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Borders>
              <w:top w:val="single" w:sz="8" w:color="auto"/>
            </w:tcBorders>
          </w:tcPr>
          <w:p>
            <w:pPr>
              <w:spacing w:after="0"/>
              <w:rPr>
                <w:sz w:val="21"/>
                <w:szCs w:val="21"/>
                <w:color w:val="auto"/>
              </w:rPr>
            </w:pPr>
          </w:p>
        </w:tc>
        <w:tc>
          <w:tcPr>
            <w:tcW w:w="700" w:type="dxa"/>
            <w:vAlign w:val="bottom"/>
            <w:tcBorders>
              <w:top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78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Balance at December 31, 2020</w:t>
            </w: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28,696</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84,671</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11,945</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40" w:type="dxa"/>
            <w:vAlign w:val="bottom"/>
            <w:shd w:val="clear" w:color="auto" w:fill="CCEEFF"/>
          </w:tcPr>
          <w:p>
            <w:pPr>
              <w:jc w:val="center"/>
              <w:ind w:left="339"/>
              <w:spacing w:after="0"/>
              <w:rPr>
                <w:sz w:val="20"/>
                <w:szCs w:val="20"/>
                <w:color w:val="auto"/>
              </w:rPr>
            </w:pPr>
            <w:r>
              <w:rPr>
                <w:rFonts w:ascii="Arial" w:cs="Arial" w:eastAsia="Arial" w:hAnsi="Arial"/>
                <w:sz w:val="16"/>
                <w:szCs w:val="16"/>
                <w:color w:val="auto"/>
                <w:w w:val="98"/>
              </w:rPr>
              <w:t>(65)</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4,593</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101,172</w:t>
            </w:r>
          </w:p>
        </w:tc>
        <w:tc>
          <w:tcPr>
            <w:tcW w:w="0" w:type="dxa"/>
            <w:vAlign w:val="bottom"/>
          </w:tcPr>
          <w:p>
            <w:pPr>
              <w:spacing w:after="0"/>
              <w:rPr>
                <w:sz w:val="1"/>
                <w:szCs w:val="1"/>
                <w:color w:val="auto"/>
              </w:rPr>
            </w:pPr>
          </w:p>
        </w:tc>
      </w:tr>
      <w:tr>
        <w:trPr>
          <w:trHeight w:val="166"/>
        </w:trPr>
        <w:tc>
          <w:tcPr>
            <w:tcW w:w="2780" w:type="dxa"/>
            <w:vAlign w:val="bottom"/>
          </w:tcPr>
          <w:p>
            <w:pPr>
              <w:ind w:left="20"/>
              <w:spacing w:after="0" w:line="166" w:lineRule="exact"/>
              <w:rPr>
                <w:sz w:val="20"/>
                <w:szCs w:val="20"/>
                <w:color w:val="auto"/>
              </w:rPr>
            </w:pPr>
            <w:r>
              <w:rPr>
                <w:rFonts w:ascii="Arial" w:cs="Arial" w:eastAsia="Arial" w:hAnsi="Arial"/>
                <w:sz w:val="16"/>
                <w:szCs w:val="16"/>
                <w:color w:val="auto"/>
                <w:w w:val="98"/>
              </w:rPr>
              <w:t>Net income attributable to The Pennant</w:t>
            </w:r>
          </w:p>
        </w:tc>
        <w:tc>
          <w:tcPr>
            <w:tcW w:w="960" w:type="dxa"/>
            <w:vAlign w:val="bottom"/>
            <w:gridSpan w:val="2"/>
            <w:vMerge w:val="restart"/>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4"/>
                <w:szCs w:val="14"/>
                <w:color w:val="auto"/>
              </w:rPr>
            </w:pPr>
          </w:p>
        </w:tc>
        <w:tc>
          <w:tcPr>
            <w:tcW w:w="820" w:type="dxa"/>
            <w:vAlign w:val="bottom"/>
            <w:gridSpan w:val="2"/>
            <w:vMerge w:val="restart"/>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4"/>
                <w:szCs w:val="14"/>
                <w:color w:val="auto"/>
              </w:rPr>
            </w:pPr>
          </w:p>
        </w:tc>
        <w:tc>
          <w:tcPr>
            <w:tcW w:w="1060" w:type="dxa"/>
            <w:vAlign w:val="bottom"/>
            <w:gridSpan w:val="2"/>
            <w:vMerge w:val="restart"/>
          </w:tcPr>
          <w:p>
            <w:pPr>
              <w:jc w:val="right"/>
              <w:ind w:right="16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4"/>
                <w:szCs w:val="14"/>
                <w:color w:val="auto"/>
              </w:rPr>
            </w:pPr>
          </w:p>
        </w:tc>
        <w:tc>
          <w:tcPr>
            <w:tcW w:w="1060" w:type="dxa"/>
            <w:vAlign w:val="bottom"/>
            <w:vMerge w:val="restart"/>
          </w:tcPr>
          <w:p>
            <w:pPr>
              <w:jc w:val="right"/>
              <w:spacing w:after="0"/>
              <w:rPr>
                <w:sz w:val="20"/>
                <w:szCs w:val="20"/>
                <w:color w:val="auto"/>
              </w:rPr>
            </w:pPr>
            <w:r>
              <w:rPr>
                <w:rFonts w:ascii="Arial" w:cs="Arial" w:eastAsia="Arial" w:hAnsi="Arial"/>
                <w:sz w:val="16"/>
                <w:szCs w:val="16"/>
                <w:color w:val="auto"/>
              </w:rPr>
              <w:t>950</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gridSpan w:val="2"/>
            <w:vMerge w:val="restart"/>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4"/>
                <w:szCs w:val="14"/>
                <w:color w:val="auto"/>
              </w:rPr>
            </w:pPr>
          </w:p>
        </w:tc>
        <w:tc>
          <w:tcPr>
            <w:tcW w:w="840" w:type="dxa"/>
            <w:vAlign w:val="bottom"/>
            <w:gridSpan w:val="2"/>
            <w:vMerge w:val="restart"/>
          </w:tcPr>
          <w:p>
            <w:pPr>
              <w:jc w:val="center"/>
              <w:ind w:left="279"/>
              <w:spacing w:after="0"/>
              <w:rPr>
                <w:sz w:val="20"/>
                <w:szCs w:val="20"/>
                <w:color w:val="auto"/>
              </w:rPr>
            </w:pPr>
            <w:r>
              <w:rPr>
                <w:rFonts w:ascii="Arial" w:cs="Arial" w:eastAsia="Arial" w:hAnsi="Arial"/>
                <w:sz w:val="16"/>
                <w:szCs w:val="16"/>
                <w:color w:val="auto"/>
                <w:w w:val="99"/>
              </w:rPr>
              <w:t>—</w:t>
            </w:r>
          </w:p>
        </w:tc>
        <w:tc>
          <w:tcPr>
            <w:tcW w:w="120" w:type="dxa"/>
            <w:vAlign w:val="bottom"/>
          </w:tcPr>
          <w:p>
            <w:pPr>
              <w:spacing w:after="0"/>
              <w:rPr>
                <w:sz w:val="14"/>
                <w:szCs w:val="14"/>
                <w:color w:val="auto"/>
              </w:rPr>
            </w:pPr>
          </w:p>
        </w:tc>
        <w:tc>
          <w:tcPr>
            <w:tcW w:w="1060" w:type="dxa"/>
            <w:vAlign w:val="bottom"/>
            <w:gridSpan w:val="2"/>
            <w:vMerge w:val="restart"/>
          </w:tcPr>
          <w:p>
            <w:pPr>
              <w:jc w:val="right"/>
              <w:ind w:right="16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4"/>
                <w:szCs w:val="14"/>
                <w:color w:val="auto"/>
              </w:rPr>
            </w:pPr>
          </w:p>
        </w:tc>
        <w:tc>
          <w:tcPr>
            <w:tcW w:w="700" w:type="dxa"/>
            <w:vAlign w:val="bottom"/>
            <w:vMerge w:val="restart"/>
          </w:tcPr>
          <w:p>
            <w:pPr>
              <w:jc w:val="right"/>
              <w:spacing w:after="0"/>
              <w:rPr>
                <w:sz w:val="20"/>
                <w:szCs w:val="20"/>
                <w:color w:val="auto"/>
              </w:rPr>
            </w:pPr>
            <w:r>
              <w:rPr>
                <w:rFonts w:ascii="Arial" w:cs="Arial" w:eastAsia="Arial" w:hAnsi="Arial"/>
                <w:sz w:val="16"/>
                <w:szCs w:val="16"/>
                <w:color w:val="auto"/>
              </w:rPr>
              <w:t>950</w:t>
            </w:r>
          </w:p>
        </w:tc>
        <w:tc>
          <w:tcPr>
            <w:tcW w:w="0" w:type="dxa"/>
            <w:vAlign w:val="bottom"/>
          </w:tcPr>
          <w:p>
            <w:pPr>
              <w:spacing w:after="0"/>
              <w:rPr>
                <w:sz w:val="1"/>
                <w:szCs w:val="1"/>
                <w:color w:val="auto"/>
              </w:rPr>
            </w:pPr>
          </w:p>
        </w:tc>
      </w:tr>
      <w:tr>
        <w:trPr>
          <w:trHeight w:val="209"/>
        </w:trPr>
        <w:tc>
          <w:tcPr>
            <w:tcW w:w="2780" w:type="dxa"/>
            <w:vAlign w:val="bottom"/>
          </w:tcPr>
          <w:p>
            <w:pPr>
              <w:ind w:left="20"/>
              <w:spacing w:after="0"/>
              <w:rPr>
                <w:sz w:val="20"/>
                <w:szCs w:val="20"/>
                <w:color w:val="auto"/>
              </w:rPr>
            </w:pPr>
            <w:r>
              <w:rPr>
                <w:rFonts w:ascii="Arial" w:cs="Arial" w:eastAsia="Arial" w:hAnsi="Arial"/>
                <w:sz w:val="16"/>
                <w:szCs w:val="16"/>
                <w:color w:val="auto"/>
              </w:rPr>
              <w:t>Group, Inc.</w:t>
            </w:r>
          </w:p>
        </w:tc>
        <w:tc>
          <w:tcPr>
            <w:tcW w:w="96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gridSpan w:val="2"/>
            <w:vMerge w:val="continue"/>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gridSpan w:val="2"/>
            <w:vMerge w:val="continue"/>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69"/>
        </w:trPr>
        <w:tc>
          <w:tcPr>
            <w:tcW w:w="2780" w:type="dxa"/>
            <w:vAlign w:val="bottom"/>
            <w:shd w:val="clear" w:color="auto" w:fill="CCEEFF"/>
          </w:tcPr>
          <w:p>
            <w:pPr>
              <w:ind w:left="20"/>
              <w:spacing w:after="0" w:line="169" w:lineRule="exact"/>
              <w:rPr>
                <w:sz w:val="20"/>
                <w:szCs w:val="20"/>
                <w:color w:val="auto"/>
              </w:rPr>
            </w:pPr>
            <w:r>
              <w:rPr>
                <w:rFonts w:ascii="Arial" w:cs="Arial" w:eastAsia="Arial" w:hAnsi="Arial"/>
                <w:sz w:val="16"/>
                <w:szCs w:val="16"/>
                <w:color w:val="auto"/>
                <w:w w:val="99"/>
              </w:rPr>
              <w:t>Net loss attributable to Non-Controlling</w:t>
            </w:r>
          </w:p>
        </w:tc>
        <w:tc>
          <w:tcPr>
            <w:tcW w:w="96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4"/>
                <w:szCs w:val="14"/>
                <w:color w:val="auto"/>
              </w:rPr>
            </w:pPr>
          </w:p>
        </w:tc>
        <w:tc>
          <w:tcPr>
            <w:tcW w:w="82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4"/>
                <w:szCs w:val="14"/>
                <w:color w:val="auto"/>
              </w:rPr>
            </w:pPr>
          </w:p>
        </w:tc>
        <w:tc>
          <w:tcPr>
            <w:tcW w:w="106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4"/>
                <w:szCs w:val="14"/>
                <w:color w:val="auto"/>
              </w:rPr>
            </w:pPr>
          </w:p>
        </w:tc>
        <w:tc>
          <w:tcPr>
            <w:tcW w:w="116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4"/>
                <w:szCs w:val="14"/>
                <w:color w:val="auto"/>
              </w:rPr>
            </w:pPr>
          </w:p>
        </w:tc>
        <w:tc>
          <w:tcPr>
            <w:tcW w:w="82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4"/>
                <w:szCs w:val="14"/>
                <w:color w:val="auto"/>
              </w:rPr>
            </w:pPr>
          </w:p>
        </w:tc>
        <w:tc>
          <w:tcPr>
            <w:tcW w:w="840" w:type="dxa"/>
            <w:vAlign w:val="bottom"/>
            <w:gridSpan w:val="2"/>
            <w:vMerge w:val="restart"/>
            <w:shd w:val="clear" w:color="auto" w:fill="CCEEFF"/>
          </w:tcPr>
          <w:p>
            <w:pPr>
              <w:jc w:val="center"/>
              <w:ind w:left="279"/>
              <w:spacing w:after="0"/>
              <w:rPr>
                <w:sz w:val="20"/>
                <w:szCs w:val="20"/>
                <w:color w:val="auto"/>
              </w:rPr>
            </w:pPr>
            <w:r>
              <w:rPr>
                <w:rFonts w:ascii="Arial" w:cs="Arial" w:eastAsia="Arial" w:hAnsi="Arial"/>
                <w:sz w:val="16"/>
                <w:szCs w:val="16"/>
                <w:color w:val="auto"/>
                <w:w w:val="99"/>
              </w:rPr>
              <w:t>—</w:t>
            </w:r>
          </w:p>
        </w:tc>
        <w:tc>
          <w:tcPr>
            <w:tcW w:w="120" w:type="dxa"/>
            <w:vAlign w:val="bottom"/>
            <w:shd w:val="clear" w:color="auto" w:fill="CCEEFF"/>
          </w:tcPr>
          <w:p>
            <w:pPr>
              <w:spacing w:after="0"/>
              <w:rPr>
                <w:sz w:val="14"/>
                <w:szCs w:val="14"/>
                <w:color w:val="auto"/>
              </w:rPr>
            </w:pPr>
          </w:p>
        </w:tc>
        <w:tc>
          <w:tcPr>
            <w:tcW w:w="9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(37)</w:t>
            </w: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(37)</w:t>
            </w:r>
          </w:p>
        </w:tc>
        <w:tc>
          <w:tcPr>
            <w:tcW w:w="0" w:type="dxa"/>
            <w:vAlign w:val="bottom"/>
          </w:tcPr>
          <w:p>
            <w:pPr>
              <w:spacing w:after="0"/>
              <w:rPr>
                <w:sz w:val="1"/>
                <w:szCs w:val="1"/>
                <w:color w:val="auto"/>
              </w:rPr>
            </w:pPr>
          </w:p>
        </w:tc>
      </w:tr>
      <w:tr>
        <w:trPr>
          <w:trHeight w:val="212"/>
        </w:trPr>
        <w:tc>
          <w:tcPr>
            <w:tcW w:w="278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Interests</w:t>
            </w:r>
          </w:p>
        </w:tc>
        <w:tc>
          <w:tcPr>
            <w:tcW w:w="960" w:type="dxa"/>
            <w:vAlign w:val="bottom"/>
            <w:gridSpan w:val="2"/>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gridSpan w:val="2"/>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60" w:type="dxa"/>
            <w:vAlign w:val="bottom"/>
            <w:gridSpan w:val="2"/>
            <w:vMerge w:val="continue"/>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60" w:type="dxa"/>
            <w:vAlign w:val="bottom"/>
            <w:gridSpan w:val="2"/>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gridSpan w:val="2"/>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gridSpan w:val="2"/>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780" w:type="dxa"/>
            <w:vAlign w:val="bottom"/>
          </w:tcPr>
          <w:p>
            <w:pPr>
              <w:ind w:left="20"/>
              <w:spacing w:after="0"/>
              <w:rPr>
                <w:sz w:val="20"/>
                <w:szCs w:val="20"/>
                <w:color w:val="auto"/>
              </w:rPr>
            </w:pPr>
            <w:r>
              <w:rPr>
                <w:rFonts w:ascii="Arial" w:cs="Arial" w:eastAsia="Arial" w:hAnsi="Arial"/>
                <w:sz w:val="16"/>
                <w:szCs w:val="16"/>
                <w:color w:val="auto"/>
              </w:rPr>
              <w:t>Share-based compensation</w:t>
            </w:r>
          </w:p>
        </w:tc>
        <w:tc>
          <w:tcPr>
            <w:tcW w:w="9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2,416</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840" w:type="dxa"/>
            <w:vAlign w:val="bottom"/>
            <w:gridSpan w:val="2"/>
          </w:tcPr>
          <w:p>
            <w:pPr>
              <w:jc w:val="center"/>
              <w:ind w:left="279"/>
              <w:spacing w:after="0"/>
              <w:rPr>
                <w:sz w:val="20"/>
                <w:szCs w:val="20"/>
                <w:color w:val="auto"/>
              </w:rPr>
            </w:pPr>
            <w:r>
              <w:rPr>
                <w:rFonts w:ascii="Arial" w:cs="Arial" w:eastAsia="Arial" w:hAnsi="Arial"/>
                <w:sz w:val="16"/>
                <w:szCs w:val="16"/>
                <w:color w:val="auto"/>
                <w:w w:val="99"/>
              </w:rPr>
              <w:t>—</w:t>
            </w:r>
          </w:p>
        </w:tc>
        <w:tc>
          <w:tcPr>
            <w:tcW w:w="120" w:type="dxa"/>
            <w:vAlign w:val="bottom"/>
          </w:tcPr>
          <w:p>
            <w:pPr>
              <w:spacing w:after="0"/>
              <w:rPr>
                <w:sz w:val="18"/>
                <w:szCs w:val="18"/>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2,416</w:t>
            </w:r>
          </w:p>
        </w:tc>
        <w:tc>
          <w:tcPr>
            <w:tcW w:w="0" w:type="dxa"/>
            <w:vAlign w:val="bottom"/>
          </w:tcPr>
          <w:p>
            <w:pPr>
              <w:spacing w:after="0"/>
              <w:rPr>
                <w:sz w:val="1"/>
                <w:szCs w:val="1"/>
                <w:color w:val="auto"/>
              </w:rPr>
            </w:pPr>
          </w:p>
        </w:tc>
      </w:tr>
      <w:tr>
        <w:trPr>
          <w:trHeight w:val="169"/>
        </w:trPr>
        <w:tc>
          <w:tcPr>
            <w:tcW w:w="2780" w:type="dxa"/>
            <w:vAlign w:val="bottom"/>
            <w:shd w:val="clear" w:color="auto" w:fill="CCEEFF"/>
          </w:tcPr>
          <w:p>
            <w:pPr>
              <w:ind w:left="20"/>
              <w:spacing w:after="0" w:line="169" w:lineRule="exact"/>
              <w:rPr>
                <w:sz w:val="20"/>
                <w:szCs w:val="20"/>
                <w:color w:val="auto"/>
              </w:rPr>
            </w:pPr>
            <w:r>
              <w:rPr>
                <w:rFonts w:ascii="Arial" w:cs="Arial" w:eastAsia="Arial" w:hAnsi="Arial"/>
                <w:sz w:val="16"/>
                <w:szCs w:val="16"/>
                <w:color w:val="auto"/>
              </w:rPr>
              <w:t>Issuance of common stock from the</w:t>
            </w:r>
          </w:p>
        </w:tc>
        <w:tc>
          <w:tcPr>
            <w:tcW w:w="8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21</w:t>
            </w: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2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4"/>
                <w:szCs w:val="14"/>
                <w:color w:val="auto"/>
              </w:rPr>
            </w:pPr>
          </w:p>
        </w:tc>
        <w:tc>
          <w:tcPr>
            <w:tcW w:w="9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218</w:t>
            </w: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16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4"/>
                <w:szCs w:val="14"/>
                <w:color w:val="auto"/>
              </w:rPr>
            </w:pPr>
          </w:p>
        </w:tc>
        <w:tc>
          <w:tcPr>
            <w:tcW w:w="82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4"/>
                <w:szCs w:val="14"/>
                <w:color w:val="auto"/>
              </w:rPr>
            </w:pPr>
          </w:p>
        </w:tc>
        <w:tc>
          <w:tcPr>
            <w:tcW w:w="840" w:type="dxa"/>
            <w:vAlign w:val="bottom"/>
            <w:gridSpan w:val="2"/>
            <w:vMerge w:val="restart"/>
            <w:shd w:val="clear" w:color="auto" w:fill="CCEEFF"/>
          </w:tcPr>
          <w:p>
            <w:pPr>
              <w:jc w:val="center"/>
              <w:ind w:left="279"/>
              <w:spacing w:after="0"/>
              <w:rPr>
                <w:sz w:val="20"/>
                <w:szCs w:val="20"/>
                <w:color w:val="auto"/>
              </w:rPr>
            </w:pPr>
            <w:r>
              <w:rPr>
                <w:rFonts w:ascii="Arial" w:cs="Arial" w:eastAsia="Arial" w:hAnsi="Arial"/>
                <w:sz w:val="16"/>
                <w:szCs w:val="16"/>
                <w:color w:val="auto"/>
                <w:w w:val="99"/>
              </w:rPr>
              <w:t>—</w:t>
            </w:r>
          </w:p>
        </w:tc>
        <w:tc>
          <w:tcPr>
            <w:tcW w:w="120" w:type="dxa"/>
            <w:vAlign w:val="bottom"/>
            <w:shd w:val="clear" w:color="auto" w:fill="CCEEFF"/>
          </w:tcPr>
          <w:p>
            <w:pPr>
              <w:spacing w:after="0"/>
              <w:rPr>
                <w:sz w:val="14"/>
                <w:szCs w:val="14"/>
                <w:color w:val="auto"/>
              </w:rPr>
            </w:pPr>
          </w:p>
        </w:tc>
        <w:tc>
          <w:tcPr>
            <w:tcW w:w="106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4"/>
                <w:szCs w:val="14"/>
                <w:color w:val="auto"/>
              </w:rPr>
            </w:pPr>
          </w:p>
        </w:tc>
        <w:tc>
          <w:tcPr>
            <w:tcW w:w="7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218</w:t>
            </w:r>
          </w:p>
        </w:tc>
        <w:tc>
          <w:tcPr>
            <w:tcW w:w="0" w:type="dxa"/>
            <w:vAlign w:val="bottom"/>
          </w:tcPr>
          <w:p>
            <w:pPr>
              <w:spacing w:after="0"/>
              <w:rPr>
                <w:sz w:val="1"/>
                <w:szCs w:val="1"/>
                <w:color w:val="auto"/>
              </w:rPr>
            </w:pPr>
          </w:p>
        </w:tc>
      </w:tr>
      <w:tr>
        <w:trPr>
          <w:trHeight w:val="212"/>
        </w:trPr>
        <w:tc>
          <w:tcPr>
            <w:tcW w:w="2780" w:type="dxa"/>
            <w:vAlign w:val="bottom"/>
            <w:shd w:val="clear" w:color="auto" w:fill="CCEEFF"/>
          </w:tcPr>
          <w:p>
            <w:pPr>
              <w:ind w:left="20"/>
              <w:spacing w:after="0"/>
              <w:rPr>
                <w:sz w:val="20"/>
                <w:szCs w:val="20"/>
                <w:color w:val="auto"/>
              </w:rPr>
            </w:pPr>
            <w:r>
              <w:rPr>
                <w:rFonts w:ascii="Arial" w:cs="Arial" w:eastAsia="Arial" w:hAnsi="Arial"/>
                <w:sz w:val="16"/>
                <w:szCs w:val="16"/>
                <w:color w:val="auto"/>
              </w:rPr>
              <w:t>exercise of stock options</w:t>
            </w:r>
          </w:p>
        </w:tc>
        <w:tc>
          <w:tcPr>
            <w:tcW w:w="88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gridSpan w:val="2"/>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60" w:type="dxa"/>
            <w:vAlign w:val="bottom"/>
            <w:gridSpan w:val="2"/>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gridSpan w:val="2"/>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gridSpan w:val="2"/>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gridSpan w:val="2"/>
            <w:vMerge w:val="continue"/>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780" w:type="dxa"/>
            <w:vAlign w:val="bottom"/>
          </w:tcPr>
          <w:p>
            <w:pPr>
              <w:ind w:left="20"/>
              <w:spacing w:after="0"/>
              <w:rPr>
                <w:sz w:val="20"/>
                <w:szCs w:val="20"/>
                <w:color w:val="auto"/>
              </w:rPr>
            </w:pPr>
            <w:r>
              <w:rPr>
                <w:rFonts w:ascii="Arial" w:cs="Arial" w:eastAsia="Arial" w:hAnsi="Arial"/>
                <w:sz w:val="16"/>
                <w:szCs w:val="16"/>
                <w:color w:val="auto"/>
              </w:rPr>
              <w:t>Net issuance of restricted stock</w:t>
            </w:r>
          </w:p>
        </w:tc>
        <w:tc>
          <w:tcPr>
            <w:tcW w:w="880" w:type="dxa"/>
            <w:vAlign w:val="bottom"/>
          </w:tcPr>
          <w:p>
            <w:pPr>
              <w:jc w:val="right"/>
              <w:spacing w:after="0"/>
              <w:rPr>
                <w:sz w:val="20"/>
                <w:szCs w:val="20"/>
                <w:color w:val="auto"/>
              </w:rPr>
            </w:pPr>
            <w:r>
              <w:rPr>
                <w:rFonts w:ascii="Arial" w:cs="Arial" w:eastAsia="Arial" w:hAnsi="Arial"/>
                <w:sz w:val="16"/>
                <w:szCs w:val="16"/>
                <w:color w:val="auto"/>
              </w:rPr>
              <w:t>3</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8"/>
                <w:szCs w:val="18"/>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840" w:type="dxa"/>
            <w:vAlign w:val="bottom"/>
            <w:gridSpan w:val="2"/>
          </w:tcPr>
          <w:p>
            <w:pPr>
              <w:jc w:val="center"/>
              <w:ind w:left="279"/>
              <w:spacing w:after="0"/>
              <w:rPr>
                <w:sz w:val="20"/>
                <w:szCs w:val="20"/>
                <w:color w:val="auto"/>
              </w:rPr>
            </w:pPr>
            <w:r>
              <w:rPr>
                <w:rFonts w:ascii="Arial" w:cs="Arial" w:eastAsia="Arial" w:hAnsi="Arial"/>
                <w:sz w:val="16"/>
                <w:szCs w:val="16"/>
                <w:color w:val="auto"/>
                <w:w w:val="99"/>
              </w:rPr>
              <w:t>—</w:t>
            </w:r>
          </w:p>
        </w:tc>
        <w:tc>
          <w:tcPr>
            <w:tcW w:w="120" w:type="dxa"/>
            <w:vAlign w:val="bottom"/>
          </w:tcPr>
          <w:p>
            <w:pPr>
              <w:spacing w:after="0"/>
              <w:rPr>
                <w:sz w:val="18"/>
                <w:szCs w:val="18"/>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8"/>
        </w:trPr>
        <w:tc>
          <w:tcPr>
            <w:tcW w:w="27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Balance at March 31, 2021</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28,720</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28</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87,305</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00" w:type="dxa"/>
            <w:vAlign w:val="bottom"/>
            <w:tcBorders>
              <w:top w:val="single" w:sz="8" w:color="auto"/>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12,895</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auto"/>
            </w:tcBorders>
            <w:shd w:val="clear" w:color="auto" w:fill="CCEEFF"/>
          </w:tcPr>
          <w:p>
            <w:pPr>
              <w:spacing w:after="0"/>
              <w:rPr>
                <w:sz w:val="20"/>
                <w:szCs w:val="20"/>
                <w:color w:val="auto"/>
              </w:rPr>
            </w:pP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40" w:type="dxa"/>
            <w:vAlign w:val="bottom"/>
            <w:tcBorders>
              <w:top w:val="single" w:sz="8" w:color="auto"/>
              <w:bottom w:val="single" w:sz="8" w:color="auto"/>
            </w:tcBorders>
            <w:shd w:val="clear" w:color="auto" w:fill="CCEEFF"/>
          </w:tcPr>
          <w:p>
            <w:pPr>
              <w:jc w:val="center"/>
              <w:ind w:left="339"/>
              <w:spacing w:after="0"/>
              <w:rPr>
                <w:sz w:val="20"/>
                <w:szCs w:val="20"/>
                <w:color w:val="auto"/>
              </w:rPr>
            </w:pPr>
            <w:r>
              <w:rPr>
                <w:rFonts w:ascii="Arial" w:cs="Arial" w:eastAsia="Arial" w:hAnsi="Arial"/>
                <w:sz w:val="16"/>
                <w:szCs w:val="16"/>
                <w:color w:val="auto"/>
                <w:w w:val="98"/>
              </w:rPr>
              <w:t>(65)</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4,556</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104,719</w:t>
            </w:r>
          </w:p>
        </w:tc>
        <w:tc>
          <w:tcPr>
            <w:tcW w:w="0" w:type="dxa"/>
            <w:vAlign w:val="bottom"/>
          </w:tcPr>
          <w:p>
            <w:pPr>
              <w:spacing w:after="0"/>
              <w:rPr>
                <w:sz w:val="1"/>
                <w:szCs w:val="1"/>
                <w:color w:val="auto"/>
              </w:rPr>
            </w:pPr>
          </w:p>
        </w:tc>
      </w:tr>
      <w:tr>
        <w:trPr>
          <w:trHeight w:val="20"/>
        </w:trPr>
        <w:tc>
          <w:tcPr>
            <w:tcW w:w="2780" w:type="dxa"/>
            <w:vAlign w:val="bottom"/>
            <w:tcBorders>
              <w:top w:val="single" w:sz="8" w:color="CCEEFF"/>
              <w:bottom w:val="single" w:sz="8" w:color="CCEEFF"/>
            </w:tcBorders>
            <w:vMerge w:val="restart"/>
          </w:tcPr>
          <w:p>
            <w:pPr>
              <w:ind w:left="20"/>
              <w:spacing w:after="0" w:line="153" w:lineRule="exact"/>
              <w:rPr>
                <w:sz w:val="20"/>
                <w:szCs w:val="20"/>
                <w:color w:val="auto"/>
              </w:rPr>
            </w:pPr>
            <w:r>
              <w:rPr>
                <w:rFonts w:ascii="Arial" w:cs="Arial" w:eastAsia="Arial" w:hAnsi="Arial"/>
                <w:sz w:val="16"/>
                <w:szCs w:val="16"/>
                <w:color w:val="auto"/>
                <w:w w:val="98"/>
              </w:rPr>
              <w:t>Net income attributable to The Pennant</w:t>
            </w: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3"/>
        </w:trPr>
        <w:tc>
          <w:tcPr>
            <w:tcW w:w="2780" w:type="dxa"/>
            <w:vAlign w:val="bottom"/>
            <w:vMerge w:val="continue"/>
          </w:tcPr>
          <w:p>
            <w:pPr>
              <w:spacing w:after="0"/>
              <w:rPr>
                <w:sz w:val="9"/>
                <w:szCs w:val="9"/>
                <w:color w:val="auto"/>
              </w:rPr>
            </w:pPr>
          </w:p>
        </w:tc>
        <w:tc>
          <w:tcPr>
            <w:tcW w:w="960" w:type="dxa"/>
            <w:vAlign w:val="bottom"/>
            <w:gridSpan w:val="2"/>
            <w:vMerge w:val="restart"/>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9"/>
                <w:szCs w:val="9"/>
                <w:color w:val="auto"/>
              </w:rPr>
            </w:pPr>
          </w:p>
        </w:tc>
        <w:tc>
          <w:tcPr>
            <w:tcW w:w="820" w:type="dxa"/>
            <w:vAlign w:val="bottom"/>
            <w:gridSpan w:val="2"/>
            <w:vMerge w:val="restart"/>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9"/>
                <w:szCs w:val="9"/>
                <w:color w:val="auto"/>
              </w:rPr>
            </w:pPr>
          </w:p>
        </w:tc>
        <w:tc>
          <w:tcPr>
            <w:tcW w:w="1060" w:type="dxa"/>
            <w:vAlign w:val="bottom"/>
            <w:gridSpan w:val="2"/>
            <w:vMerge w:val="restart"/>
          </w:tcPr>
          <w:p>
            <w:pPr>
              <w:jc w:val="right"/>
              <w:ind w:right="16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9"/>
                <w:szCs w:val="9"/>
                <w:color w:val="auto"/>
              </w:rPr>
            </w:pPr>
          </w:p>
        </w:tc>
        <w:tc>
          <w:tcPr>
            <w:tcW w:w="1060" w:type="dxa"/>
            <w:vAlign w:val="bottom"/>
            <w:vMerge w:val="restart"/>
          </w:tcPr>
          <w:p>
            <w:pPr>
              <w:jc w:val="right"/>
              <w:spacing w:after="0"/>
              <w:rPr>
                <w:sz w:val="20"/>
                <w:szCs w:val="20"/>
                <w:color w:val="auto"/>
              </w:rPr>
            </w:pPr>
            <w:r>
              <w:rPr>
                <w:rFonts w:ascii="Arial" w:cs="Arial" w:eastAsia="Arial" w:hAnsi="Arial"/>
                <w:sz w:val="16"/>
                <w:szCs w:val="16"/>
                <w:color w:val="auto"/>
              </w:rPr>
              <w:t>2,650</w:t>
            </w:r>
          </w:p>
        </w:tc>
        <w:tc>
          <w:tcPr>
            <w:tcW w:w="100" w:type="dxa"/>
            <w:vAlign w:val="bottom"/>
          </w:tcPr>
          <w:p>
            <w:pPr>
              <w:spacing w:after="0"/>
              <w:rPr>
                <w:sz w:val="9"/>
                <w:szCs w:val="9"/>
                <w:color w:val="auto"/>
              </w:rPr>
            </w:pPr>
          </w:p>
        </w:tc>
        <w:tc>
          <w:tcPr>
            <w:tcW w:w="140" w:type="dxa"/>
            <w:vAlign w:val="bottom"/>
          </w:tcPr>
          <w:p>
            <w:pPr>
              <w:spacing w:after="0"/>
              <w:rPr>
                <w:sz w:val="9"/>
                <w:szCs w:val="9"/>
                <w:color w:val="auto"/>
              </w:rPr>
            </w:pPr>
          </w:p>
        </w:tc>
        <w:tc>
          <w:tcPr>
            <w:tcW w:w="820" w:type="dxa"/>
            <w:vAlign w:val="bottom"/>
            <w:gridSpan w:val="2"/>
            <w:vMerge w:val="restart"/>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9"/>
                <w:szCs w:val="9"/>
                <w:color w:val="auto"/>
              </w:rPr>
            </w:pPr>
          </w:p>
        </w:tc>
        <w:tc>
          <w:tcPr>
            <w:tcW w:w="840" w:type="dxa"/>
            <w:vAlign w:val="bottom"/>
            <w:gridSpan w:val="2"/>
            <w:vMerge w:val="restart"/>
          </w:tcPr>
          <w:p>
            <w:pPr>
              <w:jc w:val="center"/>
              <w:ind w:left="279"/>
              <w:spacing w:after="0"/>
              <w:rPr>
                <w:sz w:val="20"/>
                <w:szCs w:val="20"/>
                <w:color w:val="auto"/>
              </w:rPr>
            </w:pPr>
            <w:r>
              <w:rPr>
                <w:rFonts w:ascii="Arial" w:cs="Arial" w:eastAsia="Arial" w:hAnsi="Arial"/>
                <w:sz w:val="16"/>
                <w:szCs w:val="16"/>
                <w:color w:val="auto"/>
                <w:w w:val="99"/>
              </w:rPr>
              <w:t>—</w:t>
            </w:r>
          </w:p>
        </w:tc>
        <w:tc>
          <w:tcPr>
            <w:tcW w:w="120" w:type="dxa"/>
            <w:vAlign w:val="bottom"/>
          </w:tcPr>
          <w:p>
            <w:pPr>
              <w:spacing w:after="0"/>
              <w:rPr>
                <w:sz w:val="9"/>
                <w:szCs w:val="9"/>
                <w:color w:val="auto"/>
              </w:rPr>
            </w:pPr>
          </w:p>
        </w:tc>
        <w:tc>
          <w:tcPr>
            <w:tcW w:w="1060" w:type="dxa"/>
            <w:vAlign w:val="bottom"/>
            <w:gridSpan w:val="2"/>
            <w:vMerge w:val="restart"/>
          </w:tcPr>
          <w:p>
            <w:pPr>
              <w:jc w:val="right"/>
              <w:ind w:right="16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9"/>
                <w:szCs w:val="9"/>
                <w:color w:val="auto"/>
              </w:rPr>
            </w:pPr>
          </w:p>
        </w:tc>
        <w:tc>
          <w:tcPr>
            <w:tcW w:w="700" w:type="dxa"/>
            <w:vAlign w:val="bottom"/>
            <w:vMerge w:val="restart"/>
          </w:tcPr>
          <w:p>
            <w:pPr>
              <w:jc w:val="right"/>
              <w:spacing w:after="0"/>
              <w:rPr>
                <w:sz w:val="20"/>
                <w:szCs w:val="20"/>
                <w:color w:val="auto"/>
              </w:rPr>
            </w:pPr>
            <w:r>
              <w:rPr>
                <w:rFonts w:ascii="Arial" w:cs="Arial" w:eastAsia="Arial" w:hAnsi="Arial"/>
                <w:sz w:val="16"/>
                <w:szCs w:val="16"/>
                <w:color w:val="auto"/>
              </w:rPr>
              <w:t>2,650</w:t>
            </w:r>
          </w:p>
        </w:tc>
        <w:tc>
          <w:tcPr>
            <w:tcW w:w="0" w:type="dxa"/>
            <w:vAlign w:val="bottom"/>
          </w:tcPr>
          <w:p>
            <w:pPr>
              <w:spacing w:after="0"/>
              <w:rPr>
                <w:sz w:val="1"/>
                <w:szCs w:val="1"/>
                <w:color w:val="auto"/>
              </w:rPr>
            </w:pPr>
          </w:p>
        </w:tc>
      </w:tr>
      <w:tr>
        <w:trPr>
          <w:trHeight w:val="209"/>
        </w:trPr>
        <w:tc>
          <w:tcPr>
            <w:tcW w:w="2780" w:type="dxa"/>
            <w:vAlign w:val="bottom"/>
          </w:tcPr>
          <w:p>
            <w:pPr>
              <w:ind w:left="20"/>
              <w:spacing w:after="0"/>
              <w:rPr>
                <w:sz w:val="20"/>
                <w:szCs w:val="20"/>
                <w:color w:val="auto"/>
              </w:rPr>
            </w:pPr>
            <w:r>
              <w:rPr>
                <w:rFonts w:ascii="Arial" w:cs="Arial" w:eastAsia="Arial" w:hAnsi="Arial"/>
                <w:sz w:val="16"/>
                <w:szCs w:val="16"/>
                <w:color w:val="auto"/>
              </w:rPr>
              <w:t>Group, Inc.</w:t>
            </w:r>
          </w:p>
        </w:tc>
        <w:tc>
          <w:tcPr>
            <w:tcW w:w="96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gridSpan w:val="2"/>
            <w:vMerge w:val="continue"/>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gridSpan w:val="2"/>
            <w:vMerge w:val="continue"/>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69"/>
        </w:trPr>
        <w:tc>
          <w:tcPr>
            <w:tcW w:w="2780" w:type="dxa"/>
            <w:vAlign w:val="bottom"/>
            <w:shd w:val="clear" w:color="auto" w:fill="CCEEFF"/>
          </w:tcPr>
          <w:p>
            <w:pPr>
              <w:ind w:left="20"/>
              <w:spacing w:after="0" w:line="169" w:lineRule="exact"/>
              <w:rPr>
                <w:sz w:val="20"/>
                <w:szCs w:val="20"/>
                <w:color w:val="auto"/>
              </w:rPr>
            </w:pPr>
            <w:r>
              <w:rPr>
                <w:rFonts w:ascii="Arial" w:cs="Arial" w:eastAsia="Arial" w:hAnsi="Arial"/>
                <w:sz w:val="16"/>
                <w:szCs w:val="16"/>
                <w:color w:val="auto"/>
                <w:w w:val="99"/>
              </w:rPr>
              <w:t>Net loss attributable to Non-Controlling</w:t>
            </w:r>
          </w:p>
        </w:tc>
        <w:tc>
          <w:tcPr>
            <w:tcW w:w="96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4"/>
                <w:szCs w:val="14"/>
                <w:color w:val="auto"/>
              </w:rPr>
            </w:pPr>
          </w:p>
        </w:tc>
        <w:tc>
          <w:tcPr>
            <w:tcW w:w="82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4"/>
                <w:szCs w:val="14"/>
                <w:color w:val="auto"/>
              </w:rPr>
            </w:pPr>
          </w:p>
        </w:tc>
        <w:tc>
          <w:tcPr>
            <w:tcW w:w="106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4"/>
                <w:szCs w:val="14"/>
                <w:color w:val="auto"/>
              </w:rPr>
            </w:pPr>
          </w:p>
        </w:tc>
        <w:tc>
          <w:tcPr>
            <w:tcW w:w="116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4"/>
                <w:szCs w:val="14"/>
                <w:color w:val="auto"/>
              </w:rPr>
            </w:pPr>
          </w:p>
        </w:tc>
        <w:tc>
          <w:tcPr>
            <w:tcW w:w="82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4"/>
                <w:szCs w:val="14"/>
                <w:color w:val="auto"/>
              </w:rPr>
            </w:pPr>
          </w:p>
        </w:tc>
        <w:tc>
          <w:tcPr>
            <w:tcW w:w="840" w:type="dxa"/>
            <w:vAlign w:val="bottom"/>
            <w:gridSpan w:val="2"/>
            <w:vMerge w:val="restart"/>
            <w:shd w:val="clear" w:color="auto" w:fill="CCEEFF"/>
          </w:tcPr>
          <w:p>
            <w:pPr>
              <w:jc w:val="center"/>
              <w:ind w:left="279"/>
              <w:spacing w:after="0"/>
              <w:rPr>
                <w:sz w:val="20"/>
                <w:szCs w:val="20"/>
                <w:color w:val="auto"/>
              </w:rPr>
            </w:pPr>
            <w:r>
              <w:rPr>
                <w:rFonts w:ascii="Arial" w:cs="Arial" w:eastAsia="Arial" w:hAnsi="Arial"/>
                <w:sz w:val="16"/>
                <w:szCs w:val="16"/>
                <w:color w:val="auto"/>
                <w:w w:val="99"/>
              </w:rPr>
              <w:t>—</w:t>
            </w:r>
          </w:p>
        </w:tc>
        <w:tc>
          <w:tcPr>
            <w:tcW w:w="120" w:type="dxa"/>
            <w:vAlign w:val="bottom"/>
            <w:shd w:val="clear" w:color="auto" w:fill="CCEEFF"/>
          </w:tcPr>
          <w:p>
            <w:pPr>
              <w:spacing w:after="0"/>
              <w:rPr>
                <w:sz w:val="14"/>
                <w:szCs w:val="14"/>
                <w:color w:val="auto"/>
              </w:rPr>
            </w:pPr>
          </w:p>
        </w:tc>
        <w:tc>
          <w:tcPr>
            <w:tcW w:w="9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(181)</w:t>
            </w: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(181)</w:t>
            </w:r>
          </w:p>
        </w:tc>
        <w:tc>
          <w:tcPr>
            <w:tcW w:w="0" w:type="dxa"/>
            <w:vAlign w:val="bottom"/>
          </w:tcPr>
          <w:p>
            <w:pPr>
              <w:spacing w:after="0"/>
              <w:rPr>
                <w:sz w:val="1"/>
                <w:szCs w:val="1"/>
                <w:color w:val="auto"/>
              </w:rPr>
            </w:pPr>
          </w:p>
        </w:tc>
      </w:tr>
      <w:tr>
        <w:trPr>
          <w:trHeight w:val="212"/>
        </w:trPr>
        <w:tc>
          <w:tcPr>
            <w:tcW w:w="278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Interests</w:t>
            </w:r>
          </w:p>
        </w:tc>
        <w:tc>
          <w:tcPr>
            <w:tcW w:w="960" w:type="dxa"/>
            <w:vAlign w:val="bottom"/>
            <w:gridSpan w:val="2"/>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gridSpan w:val="2"/>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60" w:type="dxa"/>
            <w:vAlign w:val="bottom"/>
            <w:gridSpan w:val="2"/>
            <w:vMerge w:val="continue"/>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60" w:type="dxa"/>
            <w:vAlign w:val="bottom"/>
            <w:gridSpan w:val="2"/>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gridSpan w:val="2"/>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gridSpan w:val="2"/>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780" w:type="dxa"/>
            <w:vAlign w:val="bottom"/>
          </w:tcPr>
          <w:p>
            <w:pPr>
              <w:ind w:left="20"/>
              <w:spacing w:after="0"/>
              <w:rPr>
                <w:sz w:val="20"/>
                <w:szCs w:val="20"/>
                <w:color w:val="auto"/>
              </w:rPr>
            </w:pPr>
            <w:r>
              <w:rPr>
                <w:rFonts w:ascii="Arial" w:cs="Arial" w:eastAsia="Arial" w:hAnsi="Arial"/>
                <w:sz w:val="16"/>
                <w:szCs w:val="16"/>
                <w:color w:val="auto"/>
              </w:rPr>
              <w:t>Share-based compensation</w:t>
            </w:r>
          </w:p>
        </w:tc>
        <w:tc>
          <w:tcPr>
            <w:tcW w:w="9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2,499</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840" w:type="dxa"/>
            <w:vAlign w:val="bottom"/>
            <w:gridSpan w:val="2"/>
          </w:tcPr>
          <w:p>
            <w:pPr>
              <w:jc w:val="center"/>
              <w:ind w:left="279"/>
              <w:spacing w:after="0"/>
              <w:rPr>
                <w:sz w:val="20"/>
                <w:szCs w:val="20"/>
                <w:color w:val="auto"/>
              </w:rPr>
            </w:pPr>
            <w:r>
              <w:rPr>
                <w:rFonts w:ascii="Arial" w:cs="Arial" w:eastAsia="Arial" w:hAnsi="Arial"/>
                <w:sz w:val="16"/>
                <w:szCs w:val="16"/>
                <w:color w:val="auto"/>
                <w:w w:val="99"/>
              </w:rPr>
              <w:t>—</w:t>
            </w:r>
          </w:p>
        </w:tc>
        <w:tc>
          <w:tcPr>
            <w:tcW w:w="120" w:type="dxa"/>
            <w:vAlign w:val="bottom"/>
          </w:tcPr>
          <w:p>
            <w:pPr>
              <w:spacing w:after="0"/>
              <w:rPr>
                <w:sz w:val="18"/>
                <w:szCs w:val="18"/>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2,499</w:t>
            </w:r>
          </w:p>
        </w:tc>
        <w:tc>
          <w:tcPr>
            <w:tcW w:w="0" w:type="dxa"/>
            <w:vAlign w:val="bottom"/>
          </w:tcPr>
          <w:p>
            <w:pPr>
              <w:spacing w:after="0"/>
              <w:rPr>
                <w:sz w:val="1"/>
                <w:szCs w:val="1"/>
                <w:color w:val="auto"/>
              </w:rPr>
            </w:pPr>
          </w:p>
        </w:tc>
      </w:tr>
      <w:tr>
        <w:trPr>
          <w:trHeight w:val="169"/>
        </w:trPr>
        <w:tc>
          <w:tcPr>
            <w:tcW w:w="2780" w:type="dxa"/>
            <w:vAlign w:val="bottom"/>
            <w:shd w:val="clear" w:color="auto" w:fill="CCEEFF"/>
          </w:tcPr>
          <w:p>
            <w:pPr>
              <w:ind w:left="20"/>
              <w:spacing w:after="0" w:line="169" w:lineRule="exact"/>
              <w:rPr>
                <w:sz w:val="20"/>
                <w:szCs w:val="20"/>
                <w:color w:val="auto"/>
              </w:rPr>
            </w:pPr>
            <w:r>
              <w:rPr>
                <w:rFonts w:ascii="Arial" w:cs="Arial" w:eastAsia="Arial" w:hAnsi="Arial"/>
                <w:sz w:val="16"/>
                <w:szCs w:val="16"/>
                <w:color w:val="auto"/>
              </w:rPr>
              <w:t>Issuance of common stock from the</w:t>
            </w:r>
          </w:p>
        </w:tc>
        <w:tc>
          <w:tcPr>
            <w:tcW w:w="8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35</w:t>
            </w: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2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4"/>
                <w:szCs w:val="14"/>
                <w:color w:val="auto"/>
              </w:rPr>
            </w:pPr>
          </w:p>
        </w:tc>
        <w:tc>
          <w:tcPr>
            <w:tcW w:w="9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295</w:t>
            </w: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16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4"/>
                <w:szCs w:val="14"/>
                <w:color w:val="auto"/>
              </w:rPr>
            </w:pPr>
          </w:p>
        </w:tc>
        <w:tc>
          <w:tcPr>
            <w:tcW w:w="82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4"/>
                <w:szCs w:val="14"/>
                <w:color w:val="auto"/>
              </w:rPr>
            </w:pPr>
          </w:p>
        </w:tc>
        <w:tc>
          <w:tcPr>
            <w:tcW w:w="840" w:type="dxa"/>
            <w:vAlign w:val="bottom"/>
            <w:gridSpan w:val="2"/>
            <w:vMerge w:val="restart"/>
            <w:shd w:val="clear" w:color="auto" w:fill="CCEEFF"/>
          </w:tcPr>
          <w:p>
            <w:pPr>
              <w:jc w:val="center"/>
              <w:ind w:left="279"/>
              <w:spacing w:after="0"/>
              <w:rPr>
                <w:sz w:val="20"/>
                <w:szCs w:val="20"/>
                <w:color w:val="auto"/>
              </w:rPr>
            </w:pPr>
            <w:r>
              <w:rPr>
                <w:rFonts w:ascii="Arial" w:cs="Arial" w:eastAsia="Arial" w:hAnsi="Arial"/>
                <w:sz w:val="16"/>
                <w:szCs w:val="16"/>
                <w:color w:val="auto"/>
                <w:w w:val="99"/>
              </w:rPr>
              <w:t>—</w:t>
            </w:r>
          </w:p>
        </w:tc>
        <w:tc>
          <w:tcPr>
            <w:tcW w:w="120" w:type="dxa"/>
            <w:vAlign w:val="bottom"/>
            <w:shd w:val="clear" w:color="auto" w:fill="CCEEFF"/>
          </w:tcPr>
          <w:p>
            <w:pPr>
              <w:spacing w:after="0"/>
              <w:rPr>
                <w:sz w:val="14"/>
                <w:szCs w:val="14"/>
                <w:color w:val="auto"/>
              </w:rPr>
            </w:pPr>
          </w:p>
        </w:tc>
        <w:tc>
          <w:tcPr>
            <w:tcW w:w="106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4"/>
                <w:szCs w:val="14"/>
                <w:color w:val="auto"/>
              </w:rPr>
            </w:pPr>
          </w:p>
        </w:tc>
        <w:tc>
          <w:tcPr>
            <w:tcW w:w="7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295</w:t>
            </w:r>
          </w:p>
        </w:tc>
        <w:tc>
          <w:tcPr>
            <w:tcW w:w="0" w:type="dxa"/>
            <w:vAlign w:val="bottom"/>
          </w:tcPr>
          <w:p>
            <w:pPr>
              <w:spacing w:after="0"/>
              <w:rPr>
                <w:sz w:val="1"/>
                <w:szCs w:val="1"/>
                <w:color w:val="auto"/>
              </w:rPr>
            </w:pPr>
          </w:p>
        </w:tc>
      </w:tr>
      <w:tr>
        <w:trPr>
          <w:trHeight w:val="212"/>
        </w:trPr>
        <w:tc>
          <w:tcPr>
            <w:tcW w:w="2780" w:type="dxa"/>
            <w:vAlign w:val="bottom"/>
            <w:shd w:val="clear" w:color="auto" w:fill="CCEEFF"/>
          </w:tcPr>
          <w:p>
            <w:pPr>
              <w:ind w:left="20"/>
              <w:spacing w:after="0"/>
              <w:rPr>
                <w:sz w:val="20"/>
                <w:szCs w:val="20"/>
                <w:color w:val="auto"/>
              </w:rPr>
            </w:pPr>
            <w:r>
              <w:rPr>
                <w:rFonts w:ascii="Arial" w:cs="Arial" w:eastAsia="Arial" w:hAnsi="Arial"/>
                <w:sz w:val="16"/>
                <w:szCs w:val="16"/>
                <w:color w:val="auto"/>
              </w:rPr>
              <w:t>exercise of stock options</w:t>
            </w:r>
          </w:p>
        </w:tc>
        <w:tc>
          <w:tcPr>
            <w:tcW w:w="88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gridSpan w:val="2"/>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60" w:type="dxa"/>
            <w:vAlign w:val="bottom"/>
            <w:gridSpan w:val="2"/>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gridSpan w:val="2"/>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gridSpan w:val="2"/>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gridSpan w:val="2"/>
            <w:vMerge w:val="continue"/>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780" w:type="dxa"/>
            <w:vAlign w:val="bottom"/>
          </w:tcPr>
          <w:p>
            <w:pPr>
              <w:ind w:left="20"/>
              <w:spacing w:after="0"/>
              <w:rPr>
                <w:sz w:val="20"/>
                <w:szCs w:val="20"/>
                <w:color w:val="auto"/>
              </w:rPr>
            </w:pPr>
            <w:r>
              <w:rPr>
                <w:rFonts w:ascii="Arial" w:cs="Arial" w:eastAsia="Arial" w:hAnsi="Arial"/>
                <w:sz w:val="16"/>
                <w:szCs w:val="16"/>
                <w:color w:val="auto"/>
              </w:rPr>
              <w:t>Net issuance of restricted stock</w:t>
            </w:r>
          </w:p>
        </w:tc>
        <w:tc>
          <w:tcPr>
            <w:tcW w:w="880" w:type="dxa"/>
            <w:vAlign w:val="bottom"/>
          </w:tcPr>
          <w:p>
            <w:pPr>
              <w:jc w:val="right"/>
              <w:spacing w:after="0"/>
              <w:rPr>
                <w:sz w:val="20"/>
                <w:szCs w:val="20"/>
                <w:color w:val="auto"/>
              </w:rPr>
            </w:pPr>
            <w:r>
              <w:rPr>
                <w:rFonts w:ascii="Arial" w:cs="Arial" w:eastAsia="Arial" w:hAnsi="Arial"/>
                <w:sz w:val="16"/>
                <w:szCs w:val="16"/>
                <w:color w:val="auto"/>
              </w:rPr>
              <w:t>4</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8"/>
                <w:szCs w:val="18"/>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840" w:type="dxa"/>
            <w:vAlign w:val="bottom"/>
            <w:gridSpan w:val="2"/>
          </w:tcPr>
          <w:p>
            <w:pPr>
              <w:jc w:val="center"/>
              <w:ind w:left="279"/>
              <w:spacing w:after="0"/>
              <w:rPr>
                <w:sz w:val="20"/>
                <w:szCs w:val="20"/>
                <w:color w:val="auto"/>
              </w:rPr>
            </w:pPr>
            <w:r>
              <w:rPr>
                <w:rFonts w:ascii="Arial" w:cs="Arial" w:eastAsia="Arial" w:hAnsi="Arial"/>
                <w:sz w:val="16"/>
                <w:szCs w:val="16"/>
                <w:color w:val="auto"/>
                <w:w w:val="99"/>
              </w:rPr>
              <w:t>—</w:t>
            </w:r>
          </w:p>
        </w:tc>
        <w:tc>
          <w:tcPr>
            <w:tcW w:w="120" w:type="dxa"/>
            <w:vAlign w:val="bottom"/>
          </w:tcPr>
          <w:p>
            <w:pPr>
              <w:spacing w:after="0"/>
              <w:rPr>
                <w:sz w:val="18"/>
                <w:szCs w:val="18"/>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8"/>
        </w:trPr>
        <w:tc>
          <w:tcPr>
            <w:tcW w:w="27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Balance at June 30, 2021</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28,759</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28</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90,099</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00" w:type="dxa"/>
            <w:vAlign w:val="bottom"/>
            <w:tcBorders>
              <w:top w:val="single" w:sz="8" w:color="auto"/>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15,545</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auto"/>
            </w:tcBorders>
            <w:shd w:val="clear" w:color="auto" w:fill="CCEEFF"/>
          </w:tcPr>
          <w:p>
            <w:pPr>
              <w:spacing w:after="0"/>
              <w:rPr>
                <w:sz w:val="20"/>
                <w:szCs w:val="20"/>
                <w:color w:val="auto"/>
              </w:rPr>
            </w:pP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40" w:type="dxa"/>
            <w:vAlign w:val="bottom"/>
            <w:tcBorders>
              <w:top w:val="single" w:sz="8" w:color="auto"/>
              <w:bottom w:val="single" w:sz="8" w:color="auto"/>
            </w:tcBorders>
            <w:shd w:val="clear" w:color="auto" w:fill="CCEEFF"/>
          </w:tcPr>
          <w:p>
            <w:pPr>
              <w:jc w:val="center"/>
              <w:ind w:left="339"/>
              <w:spacing w:after="0"/>
              <w:rPr>
                <w:sz w:val="20"/>
                <w:szCs w:val="20"/>
                <w:color w:val="auto"/>
              </w:rPr>
            </w:pPr>
            <w:r>
              <w:rPr>
                <w:rFonts w:ascii="Arial" w:cs="Arial" w:eastAsia="Arial" w:hAnsi="Arial"/>
                <w:sz w:val="16"/>
                <w:szCs w:val="16"/>
                <w:color w:val="auto"/>
                <w:w w:val="98"/>
              </w:rPr>
              <w:t>(65)</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4,375</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109,982</w:t>
            </w:r>
          </w:p>
        </w:tc>
        <w:tc>
          <w:tcPr>
            <w:tcW w:w="0" w:type="dxa"/>
            <w:vAlign w:val="bottom"/>
          </w:tcPr>
          <w:p>
            <w:pPr>
              <w:spacing w:after="0"/>
              <w:rPr>
                <w:sz w:val="1"/>
                <w:szCs w:val="1"/>
                <w:color w:val="auto"/>
              </w:rPr>
            </w:pPr>
          </w:p>
        </w:tc>
      </w:tr>
      <w:tr>
        <w:trPr>
          <w:trHeight w:val="20"/>
        </w:trPr>
        <w:tc>
          <w:tcPr>
            <w:tcW w:w="2780" w:type="dxa"/>
            <w:vAlign w:val="bottom"/>
            <w:tcBorders>
              <w:top w:val="single" w:sz="8" w:color="CCEEFF"/>
              <w:bottom w:val="single" w:sz="8" w:color="CCEEFF"/>
            </w:tcBorders>
            <w:vMerge w:val="restart"/>
          </w:tcPr>
          <w:p>
            <w:pPr>
              <w:ind w:left="20"/>
              <w:spacing w:after="0" w:line="153" w:lineRule="exact"/>
              <w:rPr>
                <w:sz w:val="20"/>
                <w:szCs w:val="20"/>
                <w:color w:val="auto"/>
              </w:rPr>
            </w:pPr>
            <w:r>
              <w:rPr>
                <w:rFonts w:ascii="Arial" w:cs="Arial" w:eastAsia="Arial" w:hAnsi="Arial"/>
                <w:sz w:val="16"/>
                <w:szCs w:val="16"/>
                <w:color w:val="auto"/>
                <w:w w:val="98"/>
              </w:rPr>
              <w:t>Net income attributable to The Pennant</w:t>
            </w: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3"/>
        </w:trPr>
        <w:tc>
          <w:tcPr>
            <w:tcW w:w="2780" w:type="dxa"/>
            <w:vAlign w:val="bottom"/>
            <w:vMerge w:val="continue"/>
          </w:tcPr>
          <w:p>
            <w:pPr>
              <w:spacing w:after="0"/>
              <w:rPr>
                <w:sz w:val="9"/>
                <w:szCs w:val="9"/>
                <w:color w:val="auto"/>
              </w:rPr>
            </w:pPr>
          </w:p>
        </w:tc>
        <w:tc>
          <w:tcPr>
            <w:tcW w:w="960" w:type="dxa"/>
            <w:vAlign w:val="bottom"/>
            <w:gridSpan w:val="2"/>
            <w:vMerge w:val="restart"/>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9"/>
                <w:szCs w:val="9"/>
                <w:color w:val="auto"/>
              </w:rPr>
            </w:pPr>
          </w:p>
        </w:tc>
        <w:tc>
          <w:tcPr>
            <w:tcW w:w="820" w:type="dxa"/>
            <w:vAlign w:val="bottom"/>
            <w:gridSpan w:val="2"/>
            <w:vMerge w:val="restart"/>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9"/>
                <w:szCs w:val="9"/>
                <w:color w:val="auto"/>
              </w:rPr>
            </w:pPr>
          </w:p>
        </w:tc>
        <w:tc>
          <w:tcPr>
            <w:tcW w:w="1060" w:type="dxa"/>
            <w:vAlign w:val="bottom"/>
            <w:gridSpan w:val="2"/>
            <w:vMerge w:val="restart"/>
          </w:tcPr>
          <w:p>
            <w:pPr>
              <w:jc w:val="right"/>
              <w:ind w:right="16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9"/>
                <w:szCs w:val="9"/>
                <w:color w:val="auto"/>
              </w:rPr>
            </w:pPr>
          </w:p>
        </w:tc>
        <w:tc>
          <w:tcPr>
            <w:tcW w:w="1060" w:type="dxa"/>
            <w:vAlign w:val="bottom"/>
            <w:vMerge w:val="restart"/>
          </w:tcPr>
          <w:p>
            <w:pPr>
              <w:jc w:val="right"/>
              <w:spacing w:after="0"/>
              <w:rPr>
                <w:sz w:val="20"/>
                <w:szCs w:val="20"/>
                <w:color w:val="auto"/>
              </w:rPr>
            </w:pPr>
            <w:r>
              <w:rPr>
                <w:rFonts w:ascii="Arial" w:cs="Arial" w:eastAsia="Arial" w:hAnsi="Arial"/>
                <w:sz w:val="16"/>
                <w:szCs w:val="16"/>
                <w:color w:val="auto"/>
              </w:rPr>
              <w:t>1,245</w:t>
            </w:r>
          </w:p>
        </w:tc>
        <w:tc>
          <w:tcPr>
            <w:tcW w:w="100" w:type="dxa"/>
            <w:vAlign w:val="bottom"/>
          </w:tcPr>
          <w:p>
            <w:pPr>
              <w:spacing w:after="0"/>
              <w:rPr>
                <w:sz w:val="9"/>
                <w:szCs w:val="9"/>
                <w:color w:val="auto"/>
              </w:rPr>
            </w:pPr>
          </w:p>
        </w:tc>
        <w:tc>
          <w:tcPr>
            <w:tcW w:w="140" w:type="dxa"/>
            <w:vAlign w:val="bottom"/>
          </w:tcPr>
          <w:p>
            <w:pPr>
              <w:spacing w:after="0"/>
              <w:rPr>
                <w:sz w:val="9"/>
                <w:szCs w:val="9"/>
                <w:color w:val="auto"/>
              </w:rPr>
            </w:pPr>
          </w:p>
        </w:tc>
        <w:tc>
          <w:tcPr>
            <w:tcW w:w="820" w:type="dxa"/>
            <w:vAlign w:val="bottom"/>
            <w:gridSpan w:val="2"/>
            <w:vMerge w:val="restart"/>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9"/>
                <w:szCs w:val="9"/>
                <w:color w:val="auto"/>
              </w:rPr>
            </w:pPr>
          </w:p>
        </w:tc>
        <w:tc>
          <w:tcPr>
            <w:tcW w:w="840" w:type="dxa"/>
            <w:vAlign w:val="bottom"/>
            <w:gridSpan w:val="2"/>
            <w:vMerge w:val="restart"/>
          </w:tcPr>
          <w:p>
            <w:pPr>
              <w:jc w:val="center"/>
              <w:ind w:left="279"/>
              <w:spacing w:after="0"/>
              <w:rPr>
                <w:sz w:val="20"/>
                <w:szCs w:val="20"/>
                <w:color w:val="auto"/>
              </w:rPr>
            </w:pPr>
            <w:r>
              <w:rPr>
                <w:rFonts w:ascii="Arial" w:cs="Arial" w:eastAsia="Arial" w:hAnsi="Arial"/>
                <w:sz w:val="16"/>
                <w:szCs w:val="16"/>
                <w:color w:val="auto"/>
                <w:w w:val="99"/>
              </w:rPr>
              <w:t>—</w:t>
            </w:r>
          </w:p>
        </w:tc>
        <w:tc>
          <w:tcPr>
            <w:tcW w:w="120" w:type="dxa"/>
            <w:vAlign w:val="bottom"/>
          </w:tcPr>
          <w:p>
            <w:pPr>
              <w:spacing w:after="0"/>
              <w:rPr>
                <w:sz w:val="9"/>
                <w:szCs w:val="9"/>
                <w:color w:val="auto"/>
              </w:rPr>
            </w:pPr>
          </w:p>
        </w:tc>
        <w:tc>
          <w:tcPr>
            <w:tcW w:w="1060" w:type="dxa"/>
            <w:vAlign w:val="bottom"/>
            <w:gridSpan w:val="2"/>
            <w:vMerge w:val="restart"/>
          </w:tcPr>
          <w:p>
            <w:pPr>
              <w:jc w:val="right"/>
              <w:ind w:right="16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9"/>
                <w:szCs w:val="9"/>
                <w:color w:val="auto"/>
              </w:rPr>
            </w:pPr>
          </w:p>
        </w:tc>
        <w:tc>
          <w:tcPr>
            <w:tcW w:w="700" w:type="dxa"/>
            <w:vAlign w:val="bottom"/>
            <w:vMerge w:val="restart"/>
          </w:tcPr>
          <w:p>
            <w:pPr>
              <w:jc w:val="right"/>
              <w:spacing w:after="0"/>
              <w:rPr>
                <w:sz w:val="20"/>
                <w:szCs w:val="20"/>
                <w:color w:val="auto"/>
              </w:rPr>
            </w:pPr>
            <w:r>
              <w:rPr>
                <w:rFonts w:ascii="Arial" w:cs="Arial" w:eastAsia="Arial" w:hAnsi="Arial"/>
                <w:sz w:val="16"/>
                <w:szCs w:val="16"/>
                <w:color w:val="auto"/>
              </w:rPr>
              <w:t>1,245</w:t>
            </w:r>
          </w:p>
        </w:tc>
        <w:tc>
          <w:tcPr>
            <w:tcW w:w="0" w:type="dxa"/>
            <w:vAlign w:val="bottom"/>
          </w:tcPr>
          <w:p>
            <w:pPr>
              <w:spacing w:after="0"/>
              <w:rPr>
                <w:sz w:val="1"/>
                <w:szCs w:val="1"/>
                <w:color w:val="auto"/>
              </w:rPr>
            </w:pPr>
          </w:p>
        </w:tc>
      </w:tr>
      <w:tr>
        <w:trPr>
          <w:trHeight w:val="209"/>
        </w:trPr>
        <w:tc>
          <w:tcPr>
            <w:tcW w:w="2780" w:type="dxa"/>
            <w:vAlign w:val="bottom"/>
          </w:tcPr>
          <w:p>
            <w:pPr>
              <w:ind w:left="20"/>
              <w:spacing w:after="0"/>
              <w:rPr>
                <w:sz w:val="20"/>
                <w:szCs w:val="20"/>
                <w:color w:val="auto"/>
              </w:rPr>
            </w:pPr>
            <w:r>
              <w:rPr>
                <w:rFonts w:ascii="Arial" w:cs="Arial" w:eastAsia="Arial" w:hAnsi="Arial"/>
                <w:sz w:val="16"/>
                <w:szCs w:val="16"/>
                <w:color w:val="auto"/>
              </w:rPr>
              <w:t>Group, Inc.</w:t>
            </w:r>
          </w:p>
        </w:tc>
        <w:tc>
          <w:tcPr>
            <w:tcW w:w="96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gridSpan w:val="2"/>
            <w:vMerge w:val="continue"/>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gridSpan w:val="2"/>
            <w:vMerge w:val="continue"/>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69"/>
        </w:trPr>
        <w:tc>
          <w:tcPr>
            <w:tcW w:w="2780" w:type="dxa"/>
            <w:vAlign w:val="bottom"/>
            <w:shd w:val="clear" w:color="auto" w:fill="CCEEFF"/>
          </w:tcPr>
          <w:p>
            <w:pPr>
              <w:ind w:left="20"/>
              <w:spacing w:after="0" w:line="169" w:lineRule="exact"/>
              <w:rPr>
                <w:sz w:val="20"/>
                <w:szCs w:val="20"/>
                <w:color w:val="auto"/>
              </w:rPr>
            </w:pPr>
            <w:r>
              <w:rPr>
                <w:rFonts w:ascii="Arial" w:cs="Arial" w:eastAsia="Arial" w:hAnsi="Arial"/>
                <w:sz w:val="16"/>
                <w:szCs w:val="16"/>
                <w:color w:val="auto"/>
                <w:w w:val="99"/>
              </w:rPr>
              <w:t>Net loss attributable to Non-Controlling</w:t>
            </w:r>
          </w:p>
        </w:tc>
        <w:tc>
          <w:tcPr>
            <w:tcW w:w="96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4"/>
                <w:szCs w:val="14"/>
                <w:color w:val="auto"/>
              </w:rPr>
            </w:pPr>
          </w:p>
        </w:tc>
        <w:tc>
          <w:tcPr>
            <w:tcW w:w="82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4"/>
                <w:szCs w:val="14"/>
                <w:color w:val="auto"/>
              </w:rPr>
            </w:pPr>
          </w:p>
        </w:tc>
        <w:tc>
          <w:tcPr>
            <w:tcW w:w="106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4"/>
                <w:szCs w:val="14"/>
                <w:color w:val="auto"/>
              </w:rPr>
            </w:pPr>
          </w:p>
        </w:tc>
        <w:tc>
          <w:tcPr>
            <w:tcW w:w="116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4"/>
                <w:szCs w:val="14"/>
                <w:color w:val="auto"/>
              </w:rPr>
            </w:pPr>
          </w:p>
        </w:tc>
        <w:tc>
          <w:tcPr>
            <w:tcW w:w="82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4"/>
                <w:szCs w:val="14"/>
                <w:color w:val="auto"/>
              </w:rPr>
            </w:pPr>
          </w:p>
        </w:tc>
        <w:tc>
          <w:tcPr>
            <w:tcW w:w="840" w:type="dxa"/>
            <w:vAlign w:val="bottom"/>
            <w:gridSpan w:val="2"/>
            <w:vMerge w:val="restart"/>
            <w:shd w:val="clear" w:color="auto" w:fill="CCEEFF"/>
          </w:tcPr>
          <w:p>
            <w:pPr>
              <w:jc w:val="center"/>
              <w:ind w:left="279"/>
              <w:spacing w:after="0"/>
              <w:rPr>
                <w:sz w:val="20"/>
                <w:szCs w:val="20"/>
                <w:color w:val="auto"/>
              </w:rPr>
            </w:pPr>
            <w:r>
              <w:rPr>
                <w:rFonts w:ascii="Arial" w:cs="Arial" w:eastAsia="Arial" w:hAnsi="Arial"/>
                <w:sz w:val="16"/>
                <w:szCs w:val="16"/>
                <w:color w:val="auto"/>
                <w:w w:val="99"/>
              </w:rPr>
              <w:t>—</w:t>
            </w:r>
          </w:p>
        </w:tc>
        <w:tc>
          <w:tcPr>
            <w:tcW w:w="120" w:type="dxa"/>
            <w:vAlign w:val="bottom"/>
            <w:shd w:val="clear" w:color="auto" w:fill="CCEEFF"/>
          </w:tcPr>
          <w:p>
            <w:pPr>
              <w:spacing w:after="0"/>
              <w:rPr>
                <w:sz w:val="14"/>
                <w:szCs w:val="14"/>
                <w:color w:val="auto"/>
              </w:rPr>
            </w:pPr>
          </w:p>
        </w:tc>
        <w:tc>
          <w:tcPr>
            <w:tcW w:w="9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(124)</w:t>
            </w: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(124)</w:t>
            </w:r>
          </w:p>
        </w:tc>
        <w:tc>
          <w:tcPr>
            <w:tcW w:w="0" w:type="dxa"/>
            <w:vAlign w:val="bottom"/>
          </w:tcPr>
          <w:p>
            <w:pPr>
              <w:spacing w:after="0"/>
              <w:rPr>
                <w:sz w:val="1"/>
                <w:szCs w:val="1"/>
                <w:color w:val="auto"/>
              </w:rPr>
            </w:pPr>
          </w:p>
        </w:tc>
      </w:tr>
      <w:tr>
        <w:trPr>
          <w:trHeight w:val="212"/>
        </w:trPr>
        <w:tc>
          <w:tcPr>
            <w:tcW w:w="278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Interests</w:t>
            </w:r>
          </w:p>
        </w:tc>
        <w:tc>
          <w:tcPr>
            <w:tcW w:w="960" w:type="dxa"/>
            <w:vAlign w:val="bottom"/>
            <w:gridSpan w:val="2"/>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gridSpan w:val="2"/>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60" w:type="dxa"/>
            <w:vAlign w:val="bottom"/>
            <w:gridSpan w:val="2"/>
            <w:vMerge w:val="continue"/>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60" w:type="dxa"/>
            <w:vAlign w:val="bottom"/>
            <w:gridSpan w:val="2"/>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gridSpan w:val="2"/>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gridSpan w:val="2"/>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780" w:type="dxa"/>
            <w:vAlign w:val="bottom"/>
          </w:tcPr>
          <w:p>
            <w:pPr>
              <w:ind w:left="20"/>
              <w:spacing w:after="0"/>
              <w:rPr>
                <w:sz w:val="20"/>
                <w:szCs w:val="20"/>
                <w:color w:val="auto"/>
              </w:rPr>
            </w:pPr>
            <w:r>
              <w:rPr>
                <w:rFonts w:ascii="Arial" w:cs="Arial" w:eastAsia="Arial" w:hAnsi="Arial"/>
                <w:sz w:val="16"/>
                <w:szCs w:val="16"/>
                <w:color w:val="auto"/>
              </w:rPr>
              <w:t>Share-based compensation</w:t>
            </w:r>
          </w:p>
        </w:tc>
        <w:tc>
          <w:tcPr>
            <w:tcW w:w="9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2,568</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840" w:type="dxa"/>
            <w:vAlign w:val="bottom"/>
            <w:gridSpan w:val="2"/>
          </w:tcPr>
          <w:p>
            <w:pPr>
              <w:jc w:val="center"/>
              <w:ind w:left="279"/>
              <w:spacing w:after="0"/>
              <w:rPr>
                <w:sz w:val="20"/>
                <w:szCs w:val="20"/>
                <w:color w:val="auto"/>
              </w:rPr>
            </w:pPr>
            <w:r>
              <w:rPr>
                <w:rFonts w:ascii="Arial" w:cs="Arial" w:eastAsia="Arial" w:hAnsi="Arial"/>
                <w:sz w:val="16"/>
                <w:szCs w:val="16"/>
                <w:color w:val="auto"/>
                <w:w w:val="99"/>
              </w:rPr>
              <w:t>—</w:t>
            </w:r>
          </w:p>
        </w:tc>
        <w:tc>
          <w:tcPr>
            <w:tcW w:w="120" w:type="dxa"/>
            <w:vAlign w:val="bottom"/>
          </w:tcPr>
          <w:p>
            <w:pPr>
              <w:spacing w:after="0"/>
              <w:rPr>
                <w:sz w:val="18"/>
                <w:szCs w:val="18"/>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2,568</w:t>
            </w:r>
          </w:p>
        </w:tc>
        <w:tc>
          <w:tcPr>
            <w:tcW w:w="0" w:type="dxa"/>
            <w:vAlign w:val="bottom"/>
          </w:tcPr>
          <w:p>
            <w:pPr>
              <w:spacing w:after="0"/>
              <w:rPr>
                <w:sz w:val="1"/>
                <w:szCs w:val="1"/>
                <w:color w:val="auto"/>
              </w:rPr>
            </w:pPr>
          </w:p>
        </w:tc>
      </w:tr>
      <w:tr>
        <w:trPr>
          <w:trHeight w:val="169"/>
        </w:trPr>
        <w:tc>
          <w:tcPr>
            <w:tcW w:w="2780" w:type="dxa"/>
            <w:vAlign w:val="bottom"/>
            <w:shd w:val="clear" w:color="auto" w:fill="CCEEFF"/>
          </w:tcPr>
          <w:p>
            <w:pPr>
              <w:ind w:left="20"/>
              <w:spacing w:after="0" w:line="169" w:lineRule="exact"/>
              <w:rPr>
                <w:sz w:val="20"/>
                <w:szCs w:val="20"/>
                <w:color w:val="auto"/>
              </w:rPr>
            </w:pPr>
            <w:r>
              <w:rPr>
                <w:rFonts w:ascii="Arial" w:cs="Arial" w:eastAsia="Arial" w:hAnsi="Arial"/>
                <w:sz w:val="16"/>
                <w:szCs w:val="16"/>
                <w:color w:val="auto"/>
              </w:rPr>
              <w:t>Issuance of common stock from the</w:t>
            </w:r>
          </w:p>
        </w:tc>
        <w:tc>
          <w:tcPr>
            <w:tcW w:w="8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36</w:t>
            </w: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2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4"/>
                <w:szCs w:val="14"/>
                <w:color w:val="auto"/>
              </w:rPr>
            </w:pPr>
          </w:p>
        </w:tc>
        <w:tc>
          <w:tcPr>
            <w:tcW w:w="9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176</w:t>
            </w: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16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4"/>
                <w:szCs w:val="14"/>
                <w:color w:val="auto"/>
              </w:rPr>
            </w:pPr>
          </w:p>
        </w:tc>
        <w:tc>
          <w:tcPr>
            <w:tcW w:w="82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4"/>
                <w:szCs w:val="14"/>
                <w:color w:val="auto"/>
              </w:rPr>
            </w:pPr>
          </w:p>
        </w:tc>
        <w:tc>
          <w:tcPr>
            <w:tcW w:w="840" w:type="dxa"/>
            <w:vAlign w:val="bottom"/>
            <w:gridSpan w:val="2"/>
            <w:vMerge w:val="restart"/>
            <w:shd w:val="clear" w:color="auto" w:fill="CCEEFF"/>
          </w:tcPr>
          <w:p>
            <w:pPr>
              <w:jc w:val="center"/>
              <w:ind w:left="279"/>
              <w:spacing w:after="0"/>
              <w:rPr>
                <w:sz w:val="20"/>
                <w:szCs w:val="20"/>
                <w:color w:val="auto"/>
              </w:rPr>
            </w:pPr>
            <w:r>
              <w:rPr>
                <w:rFonts w:ascii="Arial" w:cs="Arial" w:eastAsia="Arial" w:hAnsi="Arial"/>
                <w:sz w:val="16"/>
                <w:szCs w:val="16"/>
                <w:color w:val="auto"/>
                <w:w w:val="99"/>
              </w:rPr>
              <w:t>—</w:t>
            </w:r>
          </w:p>
        </w:tc>
        <w:tc>
          <w:tcPr>
            <w:tcW w:w="120" w:type="dxa"/>
            <w:vAlign w:val="bottom"/>
            <w:shd w:val="clear" w:color="auto" w:fill="CCEEFF"/>
          </w:tcPr>
          <w:p>
            <w:pPr>
              <w:spacing w:after="0"/>
              <w:rPr>
                <w:sz w:val="14"/>
                <w:szCs w:val="14"/>
                <w:color w:val="auto"/>
              </w:rPr>
            </w:pPr>
          </w:p>
        </w:tc>
        <w:tc>
          <w:tcPr>
            <w:tcW w:w="106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4"/>
                <w:szCs w:val="14"/>
                <w:color w:val="auto"/>
              </w:rPr>
            </w:pPr>
          </w:p>
        </w:tc>
        <w:tc>
          <w:tcPr>
            <w:tcW w:w="7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176</w:t>
            </w:r>
          </w:p>
        </w:tc>
        <w:tc>
          <w:tcPr>
            <w:tcW w:w="0" w:type="dxa"/>
            <w:vAlign w:val="bottom"/>
          </w:tcPr>
          <w:p>
            <w:pPr>
              <w:spacing w:after="0"/>
              <w:rPr>
                <w:sz w:val="1"/>
                <w:szCs w:val="1"/>
                <w:color w:val="auto"/>
              </w:rPr>
            </w:pPr>
          </w:p>
        </w:tc>
      </w:tr>
      <w:tr>
        <w:trPr>
          <w:trHeight w:val="212"/>
        </w:trPr>
        <w:tc>
          <w:tcPr>
            <w:tcW w:w="2780" w:type="dxa"/>
            <w:vAlign w:val="bottom"/>
            <w:shd w:val="clear" w:color="auto" w:fill="CCEEFF"/>
          </w:tcPr>
          <w:p>
            <w:pPr>
              <w:ind w:left="20"/>
              <w:spacing w:after="0"/>
              <w:rPr>
                <w:sz w:val="20"/>
                <w:szCs w:val="20"/>
                <w:color w:val="auto"/>
              </w:rPr>
            </w:pPr>
            <w:r>
              <w:rPr>
                <w:rFonts w:ascii="Arial" w:cs="Arial" w:eastAsia="Arial" w:hAnsi="Arial"/>
                <w:sz w:val="16"/>
                <w:szCs w:val="16"/>
                <w:color w:val="auto"/>
              </w:rPr>
              <w:t>exercise of stock options</w:t>
            </w:r>
          </w:p>
        </w:tc>
        <w:tc>
          <w:tcPr>
            <w:tcW w:w="88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gridSpan w:val="2"/>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60" w:type="dxa"/>
            <w:vAlign w:val="bottom"/>
            <w:gridSpan w:val="2"/>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gridSpan w:val="2"/>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gridSpan w:val="2"/>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gridSpan w:val="2"/>
            <w:vMerge w:val="continue"/>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780" w:type="dxa"/>
            <w:vAlign w:val="bottom"/>
          </w:tcPr>
          <w:p>
            <w:pPr>
              <w:ind w:left="20"/>
              <w:spacing w:after="0"/>
              <w:rPr>
                <w:sz w:val="20"/>
                <w:szCs w:val="20"/>
                <w:color w:val="auto"/>
              </w:rPr>
            </w:pPr>
            <w:r>
              <w:rPr>
                <w:rFonts w:ascii="Arial" w:cs="Arial" w:eastAsia="Arial" w:hAnsi="Arial"/>
                <w:sz w:val="16"/>
                <w:szCs w:val="16"/>
                <w:color w:val="auto"/>
              </w:rPr>
              <w:t>Net issuance of restricted stock</w:t>
            </w:r>
          </w:p>
        </w:tc>
        <w:tc>
          <w:tcPr>
            <w:tcW w:w="880" w:type="dxa"/>
            <w:vAlign w:val="bottom"/>
          </w:tcPr>
          <w:p>
            <w:pPr>
              <w:jc w:val="right"/>
              <w:spacing w:after="0"/>
              <w:rPr>
                <w:sz w:val="20"/>
                <w:szCs w:val="20"/>
                <w:color w:val="auto"/>
              </w:rPr>
            </w:pPr>
            <w:r>
              <w:rPr>
                <w:rFonts w:ascii="Arial" w:cs="Arial" w:eastAsia="Arial" w:hAnsi="Arial"/>
                <w:sz w:val="16"/>
                <w:szCs w:val="16"/>
                <w:color w:val="auto"/>
              </w:rPr>
              <w:t>5</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8"/>
                <w:szCs w:val="18"/>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840" w:type="dxa"/>
            <w:vAlign w:val="bottom"/>
            <w:gridSpan w:val="2"/>
          </w:tcPr>
          <w:p>
            <w:pPr>
              <w:jc w:val="center"/>
              <w:ind w:left="279"/>
              <w:spacing w:after="0"/>
              <w:rPr>
                <w:sz w:val="20"/>
                <w:szCs w:val="20"/>
                <w:color w:val="auto"/>
              </w:rPr>
            </w:pPr>
            <w:r>
              <w:rPr>
                <w:rFonts w:ascii="Arial" w:cs="Arial" w:eastAsia="Arial" w:hAnsi="Arial"/>
                <w:sz w:val="16"/>
                <w:szCs w:val="16"/>
                <w:color w:val="auto"/>
                <w:w w:val="99"/>
              </w:rPr>
              <w:t>—</w:t>
            </w:r>
          </w:p>
        </w:tc>
        <w:tc>
          <w:tcPr>
            <w:tcW w:w="120" w:type="dxa"/>
            <w:vAlign w:val="bottom"/>
          </w:tcPr>
          <w:p>
            <w:pPr>
              <w:spacing w:after="0"/>
              <w:rPr>
                <w:sz w:val="18"/>
                <w:szCs w:val="18"/>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8"/>
        </w:trPr>
        <w:tc>
          <w:tcPr>
            <w:tcW w:w="27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Balance at September 30, 2021</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28,800</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28</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92,843</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00" w:type="dxa"/>
            <w:vAlign w:val="bottom"/>
            <w:tcBorders>
              <w:top w:val="single" w:sz="8" w:color="auto"/>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16,790</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40" w:type="dxa"/>
            <w:vAlign w:val="bottom"/>
            <w:tcBorders>
              <w:top w:val="single" w:sz="8" w:color="auto"/>
              <w:bottom w:val="single" w:sz="8" w:color="auto"/>
            </w:tcBorders>
            <w:shd w:val="clear" w:color="auto" w:fill="CCEEFF"/>
          </w:tcPr>
          <w:p>
            <w:pPr>
              <w:jc w:val="center"/>
              <w:ind w:left="339"/>
              <w:spacing w:after="0"/>
              <w:rPr>
                <w:sz w:val="20"/>
                <w:szCs w:val="20"/>
                <w:color w:val="auto"/>
              </w:rPr>
            </w:pPr>
            <w:r>
              <w:rPr>
                <w:rFonts w:ascii="Arial" w:cs="Arial" w:eastAsia="Arial" w:hAnsi="Arial"/>
                <w:sz w:val="16"/>
                <w:szCs w:val="16"/>
                <w:color w:val="auto"/>
                <w:w w:val="98"/>
              </w:rPr>
              <w:t>(65)</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4,251</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113,847</w:t>
            </w:r>
          </w:p>
        </w:tc>
        <w:tc>
          <w:tcPr>
            <w:tcW w:w="0" w:type="dxa"/>
            <w:vAlign w:val="bottom"/>
          </w:tcPr>
          <w:p>
            <w:pPr>
              <w:spacing w:after="0"/>
              <w:rPr>
                <w:sz w:val="1"/>
                <w:szCs w:val="1"/>
                <w:color w:val="auto"/>
              </w:rPr>
            </w:pPr>
          </w:p>
        </w:tc>
      </w:tr>
      <w:tr>
        <w:trPr>
          <w:trHeight w:val="20"/>
        </w:trPr>
        <w:tc>
          <w:tcPr>
            <w:tcW w:w="278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condensed consolidated financial statements.</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8" w:right="339" w:bottom="1440" w:gutter="0" w:footer="0" w:header="0"/>
        </w:sectPr>
      </w:pPr>
    </w:p>
    <w:bookmarkStart w:id="6" w:name="page7"/>
    <w:bookmarkEnd w:id="6"/>
    <w:p>
      <w:pPr>
        <w:spacing w:after="0"/>
        <w:rPr>
          <w:sz w:val="20"/>
          <w:szCs w:val="20"/>
          <w:color w:val="auto"/>
        </w:rPr>
      </w:pPr>
      <w:r>
        <w:rPr>
          <w:rFonts w:ascii="Arial" w:cs="Arial" w:eastAsia="Arial" w:hAnsi="Arial"/>
          <w:sz w:val="18"/>
          <w:szCs w:val="18"/>
          <w:u w:val="single" w:color="auto"/>
          <w:color w:val="0000FF"/>
        </w:rPr>
        <w:t>Table of Contents</w:t>
      </w:r>
    </w:p>
    <w:p>
      <w:pPr>
        <w:spacing w:after="0" w:line="31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THE PENNANT GROUP,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 in thousands)</w:t>
      </w:r>
    </w:p>
    <w:p>
      <w:pPr>
        <w:spacing w:after="0" w:line="36" w:lineRule="exact"/>
        <w:rPr>
          <w:sz w:val="20"/>
          <w:szCs w:val="20"/>
          <w:color w:val="auto"/>
        </w:rPr>
      </w:pPr>
    </w:p>
    <w:tbl>
      <w:tblPr>
        <w:tblLayout w:type="fixed"/>
        <w:tblInd w:w="20" w:type="dxa"/>
        <w:tblCellMar>
          <w:top w:w="0" w:type="dxa"/>
          <w:left w:w="0" w:type="dxa"/>
          <w:bottom w:w="0" w:type="dxa"/>
          <w:right w:w="0" w:type="dxa"/>
        </w:tblCellMar>
      </w:tblPr>
      <w:tr>
        <w:trPr>
          <w:trHeight w:val="213"/>
        </w:trPr>
        <w:tc>
          <w:tcPr>
            <w:tcW w:w="8060" w:type="dxa"/>
            <w:vAlign w:val="bottom"/>
          </w:tcPr>
          <w:p>
            <w:pPr>
              <w:spacing w:after="0"/>
              <w:rPr>
                <w:sz w:val="18"/>
                <w:szCs w:val="18"/>
                <w:color w:val="auto"/>
              </w:rPr>
            </w:pPr>
          </w:p>
        </w:tc>
        <w:tc>
          <w:tcPr>
            <w:tcW w:w="3140" w:type="dxa"/>
            <w:vAlign w:val="bottom"/>
            <w:tcBorders>
              <w:bottom w:val="single" w:sz="8" w:color="auto"/>
            </w:tcBorders>
            <w:gridSpan w:val="5"/>
          </w:tcPr>
          <w:p>
            <w:pPr>
              <w:jc w:val="right"/>
              <w:ind w:right="279"/>
              <w:spacing w:after="0"/>
              <w:rPr>
                <w:sz w:val="20"/>
                <w:szCs w:val="20"/>
                <w:color w:val="auto"/>
              </w:rPr>
            </w:pPr>
            <w:r>
              <w:rPr>
                <w:rFonts w:ascii="Arial" w:cs="Arial" w:eastAsia="Arial" w:hAnsi="Arial"/>
                <w:sz w:val="16"/>
                <w:szCs w:val="16"/>
                <w:b w:val="1"/>
                <w:bCs w:val="1"/>
                <w:color w:val="auto"/>
              </w:rPr>
              <w:t>Nine Months Ended September 30,</w:t>
            </w:r>
          </w:p>
        </w:tc>
      </w:tr>
      <w:tr>
        <w:trPr>
          <w:trHeight w:val="210"/>
        </w:trPr>
        <w:tc>
          <w:tcPr>
            <w:tcW w:w="8060" w:type="dxa"/>
            <w:vAlign w:val="bottom"/>
            <w:tcBorders>
              <w:bottom w:val="single" w:sz="8" w:color="CCEEFF"/>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2022</w:t>
            </w:r>
          </w:p>
        </w:tc>
        <w:tc>
          <w:tcPr>
            <w:tcW w:w="58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519"/>
              <w:spacing w:after="0"/>
              <w:rPr>
                <w:sz w:val="20"/>
                <w:szCs w:val="20"/>
                <w:color w:val="auto"/>
              </w:rPr>
            </w:pPr>
            <w:r>
              <w:rPr>
                <w:rFonts w:ascii="Arial" w:cs="Arial" w:eastAsia="Arial" w:hAnsi="Arial"/>
                <w:sz w:val="16"/>
                <w:szCs w:val="16"/>
                <w:b w:val="1"/>
                <w:bCs w:val="1"/>
                <w:color w:val="auto"/>
              </w:rPr>
              <w:t>2021</w:t>
            </w:r>
          </w:p>
        </w:tc>
      </w:tr>
      <w:tr>
        <w:trPr>
          <w:trHeight w:val="199"/>
        </w:trPr>
        <w:tc>
          <w:tcPr>
            <w:tcW w:w="8060" w:type="dxa"/>
            <w:vAlign w:val="bottom"/>
            <w:shd w:val="clear" w:color="auto" w:fill="CCEEFF"/>
          </w:tcPr>
          <w:p>
            <w:pPr>
              <w:ind w:left="20"/>
              <w:spacing w:after="0"/>
              <w:rPr>
                <w:sz w:val="20"/>
                <w:szCs w:val="20"/>
                <w:color w:val="auto"/>
              </w:rPr>
            </w:pPr>
            <w:r>
              <w:rPr>
                <w:rFonts w:ascii="Arial" w:cs="Arial" w:eastAsia="Arial" w:hAnsi="Arial"/>
                <w:sz w:val="16"/>
                <w:szCs w:val="16"/>
                <w:color w:val="auto"/>
              </w:rPr>
              <w:t>Cash flows from operating activities:</w:t>
            </w:r>
          </w:p>
        </w:tc>
        <w:tc>
          <w:tcPr>
            <w:tcW w:w="94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r>
      <w:tr>
        <w:trPr>
          <w:trHeight w:val="213"/>
        </w:trPr>
        <w:tc>
          <w:tcPr>
            <w:tcW w:w="8060" w:type="dxa"/>
            <w:vAlign w:val="bottom"/>
          </w:tcPr>
          <w:p>
            <w:pPr>
              <w:ind w:left="140"/>
              <w:spacing w:after="0"/>
              <w:rPr>
                <w:sz w:val="20"/>
                <w:szCs w:val="20"/>
                <w:color w:val="auto"/>
              </w:rPr>
            </w:pPr>
            <w:r>
              <w:rPr>
                <w:rFonts w:ascii="Arial" w:cs="Arial" w:eastAsia="Arial" w:hAnsi="Arial"/>
                <w:sz w:val="16"/>
                <w:szCs w:val="16"/>
                <w:color w:val="auto"/>
              </w:rPr>
              <w:t>Net income</w:t>
            </w:r>
          </w:p>
        </w:tc>
        <w:tc>
          <w:tcPr>
            <w:tcW w:w="940" w:type="dxa"/>
            <w:vAlign w:val="bottom"/>
          </w:tcPr>
          <w:p>
            <w:pPr>
              <w:jc w:val="right"/>
              <w:ind w:right="759"/>
              <w:spacing w:after="0"/>
              <w:rPr>
                <w:sz w:val="20"/>
                <w:szCs w:val="20"/>
                <w:color w:val="auto"/>
              </w:rPr>
            </w:pPr>
            <w:r>
              <w:rPr>
                <w:rFonts w:ascii="Arial" w:cs="Arial" w:eastAsia="Arial" w:hAnsi="Arial"/>
                <w:sz w:val="16"/>
                <w:szCs w:val="16"/>
                <w:color w:val="auto"/>
                <w:w w:val="89"/>
              </w:rPr>
              <w:t>$</w:t>
            </w:r>
          </w:p>
        </w:tc>
        <w:tc>
          <w:tcPr>
            <w:tcW w:w="580" w:type="dxa"/>
            <w:vAlign w:val="bottom"/>
          </w:tcPr>
          <w:p>
            <w:pPr>
              <w:jc w:val="right"/>
              <w:spacing w:after="0"/>
              <w:rPr>
                <w:sz w:val="20"/>
                <w:szCs w:val="20"/>
                <w:color w:val="auto"/>
              </w:rPr>
            </w:pPr>
            <w:r>
              <w:rPr>
                <w:rFonts w:ascii="Arial" w:cs="Arial" w:eastAsia="Arial" w:hAnsi="Arial"/>
                <w:sz w:val="16"/>
                <w:szCs w:val="16"/>
                <w:color w:val="auto"/>
              </w:rPr>
              <w:t>3,556</w:t>
            </w:r>
          </w:p>
        </w:tc>
        <w:tc>
          <w:tcPr>
            <w:tcW w:w="100" w:type="dxa"/>
            <w:vAlign w:val="bottom"/>
          </w:tcPr>
          <w:p>
            <w:pPr>
              <w:spacing w:after="0"/>
              <w:rPr>
                <w:sz w:val="18"/>
                <w:szCs w:val="18"/>
                <w:color w:val="auto"/>
              </w:rPr>
            </w:pPr>
          </w:p>
        </w:tc>
        <w:tc>
          <w:tcPr>
            <w:tcW w:w="360" w:type="dxa"/>
            <w:vAlign w:val="bottom"/>
          </w:tcPr>
          <w:p>
            <w:pPr>
              <w:jc w:val="right"/>
              <w:ind w:right="179"/>
              <w:spacing w:after="0"/>
              <w:rPr>
                <w:sz w:val="20"/>
                <w:szCs w:val="20"/>
                <w:color w:val="auto"/>
              </w:rPr>
            </w:pPr>
            <w:r>
              <w:rPr>
                <w:rFonts w:ascii="Arial" w:cs="Arial" w:eastAsia="Arial" w:hAnsi="Arial"/>
                <w:sz w:val="16"/>
                <w:szCs w:val="16"/>
                <w:color w:val="auto"/>
                <w:w w:val="89"/>
              </w:rPr>
              <w:t>$</w:t>
            </w:r>
          </w:p>
        </w:tc>
        <w:tc>
          <w:tcPr>
            <w:tcW w:w="1160" w:type="dxa"/>
            <w:vAlign w:val="bottom"/>
          </w:tcPr>
          <w:p>
            <w:pPr>
              <w:jc w:val="right"/>
              <w:spacing w:after="0"/>
              <w:rPr>
                <w:sz w:val="20"/>
                <w:szCs w:val="20"/>
                <w:color w:val="auto"/>
              </w:rPr>
            </w:pPr>
            <w:r>
              <w:rPr>
                <w:rFonts w:ascii="Arial" w:cs="Arial" w:eastAsia="Arial" w:hAnsi="Arial"/>
                <w:sz w:val="16"/>
                <w:szCs w:val="16"/>
                <w:color w:val="auto"/>
              </w:rPr>
              <w:t>4,503</w:t>
            </w:r>
          </w:p>
        </w:tc>
      </w:tr>
      <w:tr>
        <w:trPr>
          <w:trHeight w:val="219"/>
        </w:trPr>
        <w:tc>
          <w:tcPr>
            <w:tcW w:w="8060" w:type="dxa"/>
            <w:vAlign w:val="bottom"/>
            <w:shd w:val="clear" w:color="auto" w:fill="CCEEFF"/>
          </w:tcPr>
          <w:p>
            <w:pPr>
              <w:ind w:left="140"/>
              <w:spacing w:after="0"/>
              <w:rPr>
                <w:sz w:val="20"/>
                <w:szCs w:val="20"/>
                <w:color w:val="auto"/>
              </w:rPr>
            </w:pPr>
            <w:r>
              <w:rPr>
                <w:rFonts w:ascii="Arial" w:cs="Arial" w:eastAsia="Arial" w:hAnsi="Arial"/>
                <w:sz w:val="16"/>
                <w:szCs w:val="16"/>
                <w:color w:val="auto"/>
              </w:rPr>
              <w:t>Adjustments to reconcile net income to net cash provided by (used in) operating activities:</w:t>
            </w:r>
          </w:p>
        </w:tc>
        <w:tc>
          <w:tcPr>
            <w:tcW w:w="94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r>
      <w:tr>
        <w:trPr>
          <w:trHeight w:val="213"/>
        </w:trPr>
        <w:tc>
          <w:tcPr>
            <w:tcW w:w="8060" w:type="dxa"/>
            <w:vAlign w:val="bottom"/>
          </w:tcPr>
          <w:p>
            <w:pPr>
              <w:ind w:left="220"/>
              <w:spacing w:after="0"/>
              <w:rPr>
                <w:sz w:val="20"/>
                <w:szCs w:val="20"/>
                <w:color w:val="auto"/>
              </w:rPr>
            </w:pPr>
            <w:r>
              <w:rPr>
                <w:rFonts w:ascii="Arial" w:cs="Arial" w:eastAsia="Arial" w:hAnsi="Arial"/>
                <w:sz w:val="16"/>
                <w:szCs w:val="16"/>
                <w:color w:val="auto"/>
              </w:rPr>
              <w:t>Depreciation and amortization</w:t>
            </w:r>
          </w:p>
        </w:tc>
        <w:tc>
          <w:tcPr>
            <w:tcW w:w="9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3,677</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3,545</w:t>
            </w:r>
          </w:p>
        </w:tc>
      </w:tr>
      <w:tr>
        <w:trPr>
          <w:trHeight w:val="219"/>
        </w:trPr>
        <w:tc>
          <w:tcPr>
            <w:tcW w:w="8060" w:type="dxa"/>
            <w:vAlign w:val="bottom"/>
            <w:shd w:val="clear" w:color="auto" w:fill="CCEEFF"/>
          </w:tcPr>
          <w:p>
            <w:pPr>
              <w:ind w:left="220"/>
              <w:spacing w:after="0"/>
              <w:rPr>
                <w:sz w:val="20"/>
                <w:szCs w:val="20"/>
                <w:color w:val="auto"/>
              </w:rPr>
            </w:pPr>
            <w:r>
              <w:rPr>
                <w:rFonts w:ascii="Arial" w:cs="Arial" w:eastAsia="Arial" w:hAnsi="Arial"/>
                <w:sz w:val="16"/>
                <w:szCs w:val="16"/>
                <w:color w:val="auto"/>
              </w:rPr>
              <w:t>Amortization of deferred financing fees</w:t>
            </w:r>
          </w:p>
        </w:tc>
        <w:tc>
          <w:tcPr>
            <w:tcW w:w="94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390</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358</w:t>
            </w:r>
          </w:p>
        </w:tc>
      </w:tr>
      <w:tr>
        <w:trPr>
          <w:trHeight w:val="213"/>
        </w:trPr>
        <w:tc>
          <w:tcPr>
            <w:tcW w:w="8060" w:type="dxa"/>
            <w:vAlign w:val="bottom"/>
          </w:tcPr>
          <w:p>
            <w:pPr>
              <w:ind w:left="220"/>
              <w:spacing w:after="0"/>
              <w:rPr>
                <w:sz w:val="20"/>
                <w:szCs w:val="20"/>
                <w:color w:val="auto"/>
              </w:rPr>
            </w:pPr>
            <w:r>
              <w:rPr>
                <w:rFonts w:ascii="Arial" w:cs="Arial" w:eastAsia="Arial" w:hAnsi="Arial"/>
                <w:sz w:val="16"/>
                <w:szCs w:val="16"/>
                <w:color w:val="auto"/>
              </w:rPr>
              <w:t>Impairment of long-lived assets</w:t>
            </w:r>
          </w:p>
        </w:tc>
        <w:tc>
          <w:tcPr>
            <w:tcW w:w="9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218</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19"/>
        </w:trPr>
        <w:tc>
          <w:tcPr>
            <w:tcW w:w="8060" w:type="dxa"/>
            <w:vAlign w:val="bottom"/>
            <w:shd w:val="clear" w:color="auto" w:fill="CCEEFF"/>
          </w:tcPr>
          <w:p>
            <w:pPr>
              <w:ind w:left="220"/>
              <w:spacing w:after="0"/>
              <w:rPr>
                <w:sz w:val="20"/>
                <w:szCs w:val="20"/>
                <w:color w:val="auto"/>
              </w:rPr>
            </w:pPr>
            <w:r>
              <w:rPr>
                <w:rFonts w:ascii="Arial" w:cs="Arial" w:eastAsia="Arial" w:hAnsi="Arial"/>
                <w:sz w:val="16"/>
                <w:szCs w:val="16"/>
                <w:color w:val="auto"/>
              </w:rPr>
              <w:t>Provision for doubtful accounts</w:t>
            </w:r>
          </w:p>
        </w:tc>
        <w:tc>
          <w:tcPr>
            <w:tcW w:w="94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603</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528</w:t>
            </w:r>
          </w:p>
        </w:tc>
      </w:tr>
      <w:tr>
        <w:trPr>
          <w:trHeight w:val="213"/>
        </w:trPr>
        <w:tc>
          <w:tcPr>
            <w:tcW w:w="8060" w:type="dxa"/>
            <w:vAlign w:val="bottom"/>
          </w:tcPr>
          <w:p>
            <w:pPr>
              <w:ind w:left="220"/>
              <w:spacing w:after="0"/>
              <w:rPr>
                <w:sz w:val="20"/>
                <w:szCs w:val="20"/>
                <w:color w:val="auto"/>
              </w:rPr>
            </w:pPr>
            <w:r>
              <w:rPr>
                <w:rFonts w:ascii="Arial" w:cs="Arial" w:eastAsia="Arial" w:hAnsi="Arial"/>
                <w:sz w:val="16"/>
                <w:szCs w:val="16"/>
                <w:color w:val="auto"/>
              </w:rPr>
              <w:t>Share-based compensation</w:t>
            </w:r>
          </w:p>
        </w:tc>
        <w:tc>
          <w:tcPr>
            <w:tcW w:w="9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2,073</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7,483</w:t>
            </w:r>
          </w:p>
        </w:tc>
      </w:tr>
      <w:tr>
        <w:trPr>
          <w:trHeight w:val="219"/>
        </w:trPr>
        <w:tc>
          <w:tcPr>
            <w:tcW w:w="8060" w:type="dxa"/>
            <w:vAlign w:val="bottom"/>
            <w:shd w:val="clear" w:color="auto" w:fill="CCEEFF"/>
          </w:tcPr>
          <w:p>
            <w:pPr>
              <w:ind w:left="220"/>
              <w:spacing w:after="0"/>
              <w:rPr>
                <w:sz w:val="20"/>
                <w:szCs w:val="20"/>
                <w:color w:val="auto"/>
              </w:rPr>
            </w:pPr>
            <w:r>
              <w:rPr>
                <w:rFonts w:ascii="Arial" w:cs="Arial" w:eastAsia="Arial" w:hAnsi="Arial"/>
                <w:sz w:val="16"/>
                <w:szCs w:val="16"/>
                <w:color w:val="auto"/>
              </w:rPr>
              <w:t>Deferred income taxes</w:t>
            </w:r>
          </w:p>
        </w:tc>
        <w:tc>
          <w:tcPr>
            <w:tcW w:w="94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752</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87</w:t>
            </w:r>
          </w:p>
        </w:tc>
      </w:tr>
      <w:tr>
        <w:trPr>
          <w:trHeight w:val="213"/>
        </w:trPr>
        <w:tc>
          <w:tcPr>
            <w:tcW w:w="8060" w:type="dxa"/>
            <w:vAlign w:val="bottom"/>
          </w:tcPr>
          <w:p>
            <w:pPr>
              <w:ind w:left="220"/>
              <w:spacing w:after="0"/>
              <w:rPr>
                <w:sz w:val="20"/>
                <w:szCs w:val="20"/>
                <w:color w:val="auto"/>
              </w:rPr>
            </w:pPr>
            <w:r>
              <w:rPr>
                <w:rFonts w:ascii="Arial" w:cs="Arial" w:eastAsia="Arial" w:hAnsi="Arial"/>
                <w:sz w:val="16"/>
                <w:szCs w:val="16"/>
                <w:color w:val="auto"/>
              </w:rPr>
              <w:t>Change in operating assets and liabilities, net of acquisitions:</w:t>
            </w:r>
          </w:p>
        </w:tc>
        <w:tc>
          <w:tcPr>
            <w:tcW w:w="9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60" w:type="dxa"/>
            <w:vAlign w:val="bottom"/>
          </w:tcPr>
          <w:p>
            <w:pPr>
              <w:spacing w:after="0"/>
              <w:rPr>
                <w:sz w:val="18"/>
                <w:szCs w:val="18"/>
                <w:color w:val="auto"/>
              </w:rPr>
            </w:pPr>
          </w:p>
        </w:tc>
      </w:tr>
      <w:tr>
        <w:trPr>
          <w:trHeight w:val="219"/>
        </w:trPr>
        <w:tc>
          <w:tcPr>
            <w:tcW w:w="8060" w:type="dxa"/>
            <w:vAlign w:val="bottom"/>
            <w:shd w:val="clear" w:color="auto" w:fill="CCEEFF"/>
          </w:tcPr>
          <w:p>
            <w:pPr>
              <w:ind w:left="340"/>
              <w:spacing w:after="0"/>
              <w:rPr>
                <w:sz w:val="20"/>
                <w:szCs w:val="20"/>
                <w:color w:val="auto"/>
              </w:rPr>
            </w:pPr>
            <w:r>
              <w:rPr>
                <w:rFonts w:ascii="Arial" w:cs="Arial" w:eastAsia="Arial" w:hAnsi="Arial"/>
                <w:sz w:val="16"/>
                <w:szCs w:val="16"/>
                <w:color w:val="auto"/>
              </w:rPr>
              <w:t>Accounts receivable</w:t>
            </w:r>
          </w:p>
        </w:tc>
        <w:tc>
          <w:tcPr>
            <w:tcW w:w="94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1,734</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(6,708)</w:t>
            </w:r>
          </w:p>
        </w:tc>
      </w:tr>
      <w:tr>
        <w:trPr>
          <w:trHeight w:val="213"/>
        </w:trPr>
        <w:tc>
          <w:tcPr>
            <w:tcW w:w="8060" w:type="dxa"/>
            <w:vAlign w:val="bottom"/>
          </w:tcPr>
          <w:p>
            <w:pPr>
              <w:ind w:left="340"/>
              <w:spacing w:after="0"/>
              <w:rPr>
                <w:sz w:val="20"/>
                <w:szCs w:val="20"/>
                <w:color w:val="auto"/>
              </w:rPr>
            </w:pPr>
            <w:r>
              <w:rPr>
                <w:rFonts w:ascii="Arial" w:cs="Arial" w:eastAsia="Arial" w:hAnsi="Arial"/>
                <w:sz w:val="16"/>
                <w:szCs w:val="16"/>
                <w:color w:val="auto"/>
              </w:rPr>
              <w:t>Prepaid expenses and other assets</w:t>
            </w:r>
          </w:p>
        </w:tc>
        <w:tc>
          <w:tcPr>
            <w:tcW w:w="9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(1,429)</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(6,861)</w:t>
            </w:r>
          </w:p>
        </w:tc>
      </w:tr>
      <w:tr>
        <w:trPr>
          <w:trHeight w:val="219"/>
        </w:trPr>
        <w:tc>
          <w:tcPr>
            <w:tcW w:w="8060" w:type="dxa"/>
            <w:vAlign w:val="bottom"/>
            <w:shd w:val="clear" w:color="auto" w:fill="CCEEFF"/>
          </w:tcPr>
          <w:p>
            <w:pPr>
              <w:ind w:left="340"/>
              <w:spacing w:after="0"/>
              <w:rPr>
                <w:sz w:val="20"/>
                <w:szCs w:val="20"/>
                <w:color w:val="auto"/>
              </w:rPr>
            </w:pPr>
            <w:r>
              <w:rPr>
                <w:rFonts w:ascii="Arial" w:cs="Arial" w:eastAsia="Arial" w:hAnsi="Arial"/>
                <w:sz w:val="16"/>
                <w:szCs w:val="16"/>
                <w:color w:val="auto"/>
              </w:rPr>
              <w:t>Operating lease obligations</w:t>
            </w:r>
          </w:p>
        </w:tc>
        <w:tc>
          <w:tcPr>
            <w:tcW w:w="94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(140)</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883</w:t>
            </w:r>
          </w:p>
        </w:tc>
      </w:tr>
      <w:tr>
        <w:trPr>
          <w:trHeight w:val="213"/>
        </w:trPr>
        <w:tc>
          <w:tcPr>
            <w:tcW w:w="8060" w:type="dxa"/>
            <w:vAlign w:val="bottom"/>
          </w:tcPr>
          <w:p>
            <w:pPr>
              <w:ind w:left="340"/>
              <w:spacing w:after="0"/>
              <w:rPr>
                <w:sz w:val="20"/>
                <w:szCs w:val="20"/>
                <w:color w:val="auto"/>
              </w:rPr>
            </w:pPr>
            <w:r>
              <w:rPr>
                <w:rFonts w:ascii="Arial" w:cs="Arial" w:eastAsia="Arial" w:hAnsi="Arial"/>
                <w:sz w:val="16"/>
                <w:szCs w:val="16"/>
                <w:color w:val="auto"/>
              </w:rPr>
              <w:t>Accounts payable</w:t>
            </w:r>
          </w:p>
        </w:tc>
        <w:tc>
          <w:tcPr>
            <w:tcW w:w="9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1,655</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(49)</w:t>
            </w:r>
          </w:p>
        </w:tc>
      </w:tr>
      <w:tr>
        <w:trPr>
          <w:trHeight w:val="219"/>
        </w:trPr>
        <w:tc>
          <w:tcPr>
            <w:tcW w:w="8060" w:type="dxa"/>
            <w:vAlign w:val="bottom"/>
            <w:shd w:val="clear" w:color="auto" w:fill="CCEEFF"/>
          </w:tcPr>
          <w:p>
            <w:pPr>
              <w:ind w:left="340"/>
              <w:spacing w:after="0"/>
              <w:rPr>
                <w:sz w:val="20"/>
                <w:szCs w:val="20"/>
                <w:color w:val="auto"/>
              </w:rPr>
            </w:pPr>
            <w:r>
              <w:rPr>
                <w:rFonts w:ascii="Arial" w:cs="Arial" w:eastAsia="Arial" w:hAnsi="Arial"/>
                <w:sz w:val="16"/>
                <w:szCs w:val="16"/>
                <w:color w:val="auto"/>
              </w:rPr>
              <w:t>Accrued wages and related liabilities</w:t>
            </w:r>
          </w:p>
        </w:tc>
        <w:tc>
          <w:tcPr>
            <w:tcW w:w="94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1,278</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(4,644)</w:t>
            </w:r>
          </w:p>
        </w:tc>
      </w:tr>
      <w:tr>
        <w:trPr>
          <w:trHeight w:val="213"/>
        </w:trPr>
        <w:tc>
          <w:tcPr>
            <w:tcW w:w="8060" w:type="dxa"/>
            <w:vAlign w:val="bottom"/>
          </w:tcPr>
          <w:p>
            <w:pPr>
              <w:ind w:left="340"/>
              <w:spacing w:after="0"/>
              <w:rPr>
                <w:sz w:val="20"/>
                <w:szCs w:val="20"/>
                <w:color w:val="auto"/>
              </w:rPr>
            </w:pPr>
            <w:r>
              <w:rPr>
                <w:rFonts w:ascii="Arial" w:cs="Arial" w:eastAsia="Arial" w:hAnsi="Arial"/>
                <w:sz w:val="16"/>
                <w:szCs w:val="16"/>
                <w:color w:val="auto"/>
              </w:rPr>
              <w:t>Other accrued liabilities</w:t>
            </w:r>
          </w:p>
        </w:tc>
        <w:tc>
          <w:tcPr>
            <w:tcW w:w="9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4,333</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2,709</w:t>
            </w:r>
          </w:p>
        </w:tc>
      </w:tr>
      <w:tr>
        <w:trPr>
          <w:trHeight w:val="219"/>
        </w:trPr>
        <w:tc>
          <w:tcPr>
            <w:tcW w:w="8060" w:type="dxa"/>
            <w:vAlign w:val="bottom"/>
            <w:shd w:val="clear" w:color="auto" w:fill="CCEEFF"/>
          </w:tcPr>
          <w:p>
            <w:pPr>
              <w:ind w:left="340"/>
              <w:spacing w:after="0"/>
              <w:rPr>
                <w:sz w:val="20"/>
                <w:szCs w:val="20"/>
                <w:color w:val="auto"/>
              </w:rPr>
            </w:pPr>
            <w:r>
              <w:rPr>
                <w:rFonts w:ascii="Arial" w:cs="Arial" w:eastAsia="Arial" w:hAnsi="Arial"/>
                <w:sz w:val="16"/>
                <w:szCs w:val="16"/>
                <w:color w:val="auto"/>
              </w:rPr>
              <w:t>Contract liabilities (CARES Act advance payments)</w:t>
            </w:r>
          </w:p>
        </w:tc>
        <w:tc>
          <w:tcPr>
            <w:tcW w:w="94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(6,211)</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(14,638)</w:t>
            </w:r>
          </w:p>
        </w:tc>
      </w:tr>
      <w:tr>
        <w:trPr>
          <w:trHeight w:val="213"/>
        </w:trPr>
        <w:tc>
          <w:tcPr>
            <w:tcW w:w="8060" w:type="dxa"/>
            <w:vAlign w:val="bottom"/>
            <w:tcBorders>
              <w:bottom w:val="single" w:sz="8" w:color="CCEEFF"/>
            </w:tcBorders>
          </w:tcPr>
          <w:p>
            <w:pPr>
              <w:ind w:left="340"/>
              <w:spacing w:after="0"/>
              <w:rPr>
                <w:sz w:val="20"/>
                <w:szCs w:val="20"/>
                <w:color w:val="auto"/>
              </w:rPr>
            </w:pPr>
            <w:r>
              <w:rPr>
                <w:rFonts w:ascii="Arial" w:cs="Arial" w:eastAsia="Arial" w:hAnsi="Arial"/>
                <w:sz w:val="16"/>
                <w:szCs w:val="16"/>
                <w:color w:val="auto"/>
              </w:rPr>
              <w:t>Other long-term liabilities</w:t>
            </w:r>
          </w:p>
        </w:tc>
        <w:tc>
          <w:tcPr>
            <w:tcW w:w="94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485</w:t>
            </w:r>
          </w:p>
        </w:tc>
        <w:tc>
          <w:tcPr>
            <w:tcW w:w="10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(261)</w:t>
            </w:r>
          </w:p>
        </w:tc>
      </w:tr>
      <w:tr>
        <w:trPr>
          <w:trHeight w:val="213"/>
        </w:trPr>
        <w:tc>
          <w:tcPr>
            <w:tcW w:w="8060" w:type="dxa"/>
            <w:vAlign w:val="bottom"/>
            <w:shd w:val="clear" w:color="auto" w:fill="CCEEFF"/>
          </w:tcPr>
          <w:p>
            <w:pPr>
              <w:ind w:left="540"/>
              <w:spacing w:after="0"/>
              <w:rPr>
                <w:sz w:val="20"/>
                <w:szCs w:val="20"/>
                <w:color w:val="auto"/>
              </w:rPr>
            </w:pPr>
            <w:r>
              <w:rPr>
                <w:rFonts w:ascii="Arial" w:cs="Arial" w:eastAsia="Arial" w:hAnsi="Arial"/>
                <w:sz w:val="16"/>
                <w:szCs w:val="16"/>
                <w:color w:val="auto"/>
              </w:rPr>
              <w:t>Net cash provided by (used in) operating activities</w:t>
            </w:r>
          </w:p>
        </w:tc>
        <w:tc>
          <w:tcPr>
            <w:tcW w:w="94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12,974</w:t>
            </w:r>
          </w:p>
        </w:tc>
        <w:tc>
          <w:tcPr>
            <w:tcW w:w="10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(13,065)</w:t>
            </w:r>
          </w:p>
        </w:tc>
      </w:tr>
      <w:tr>
        <w:trPr>
          <w:trHeight w:val="193"/>
        </w:trPr>
        <w:tc>
          <w:tcPr>
            <w:tcW w:w="8060" w:type="dxa"/>
            <w:vAlign w:val="bottom"/>
          </w:tcPr>
          <w:p>
            <w:pPr>
              <w:ind w:left="20"/>
              <w:spacing w:after="0"/>
              <w:rPr>
                <w:sz w:val="20"/>
                <w:szCs w:val="20"/>
                <w:color w:val="auto"/>
              </w:rPr>
            </w:pPr>
            <w:r>
              <w:rPr>
                <w:rFonts w:ascii="Arial" w:cs="Arial" w:eastAsia="Arial" w:hAnsi="Arial"/>
                <w:sz w:val="16"/>
                <w:szCs w:val="16"/>
                <w:color w:val="auto"/>
              </w:rPr>
              <w:t>Cash flows from investing activities:</w:t>
            </w:r>
          </w:p>
        </w:tc>
        <w:tc>
          <w:tcPr>
            <w:tcW w:w="94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60" w:type="dxa"/>
            <w:vAlign w:val="bottom"/>
          </w:tcPr>
          <w:p>
            <w:pPr>
              <w:spacing w:after="0"/>
              <w:rPr>
                <w:sz w:val="16"/>
                <w:szCs w:val="16"/>
                <w:color w:val="auto"/>
              </w:rPr>
            </w:pPr>
          </w:p>
        </w:tc>
      </w:tr>
      <w:tr>
        <w:trPr>
          <w:trHeight w:val="219"/>
        </w:trPr>
        <w:tc>
          <w:tcPr>
            <w:tcW w:w="8060" w:type="dxa"/>
            <w:vAlign w:val="bottom"/>
            <w:shd w:val="clear" w:color="auto" w:fill="CCEEFF"/>
          </w:tcPr>
          <w:p>
            <w:pPr>
              <w:ind w:left="140"/>
              <w:spacing w:after="0"/>
              <w:rPr>
                <w:sz w:val="20"/>
                <w:szCs w:val="20"/>
                <w:color w:val="auto"/>
              </w:rPr>
            </w:pPr>
            <w:r>
              <w:rPr>
                <w:rFonts w:ascii="Arial" w:cs="Arial" w:eastAsia="Arial" w:hAnsi="Arial"/>
                <w:sz w:val="16"/>
                <w:szCs w:val="16"/>
                <w:color w:val="auto"/>
              </w:rPr>
              <w:t>Purchase of property and equipment</w:t>
            </w:r>
          </w:p>
        </w:tc>
        <w:tc>
          <w:tcPr>
            <w:tcW w:w="94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0"/>
              </w:rPr>
              <w:t>(10,426)</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(4,144)</w:t>
            </w:r>
          </w:p>
        </w:tc>
      </w:tr>
      <w:tr>
        <w:trPr>
          <w:trHeight w:val="213"/>
        </w:trPr>
        <w:tc>
          <w:tcPr>
            <w:tcW w:w="8060" w:type="dxa"/>
            <w:vAlign w:val="bottom"/>
          </w:tcPr>
          <w:p>
            <w:pPr>
              <w:ind w:left="140"/>
              <w:spacing w:after="0"/>
              <w:rPr>
                <w:sz w:val="20"/>
                <w:szCs w:val="20"/>
                <w:color w:val="auto"/>
              </w:rPr>
            </w:pPr>
            <w:r>
              <w:rPr>
                <w:rFonts w:ascii="Arial" w:cs="Arial" w:eastAsia="Arial" w:hAnsi="Arial"/>
                <w:sz w:val="16"/>
                <w:szCs w:val="16"/>
                <w:color w:val="auto"/>
              </w:rPr>
              <w:t>Cash payments for business acquisitions</w:t>
            </w:r>
          </w:p>
        </w:tc>
        <w:tc>
          <w:tcPr>
            <w:tcW w:w="9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(9,680)</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(13,550)</w:t>
            </w:r>
          </w:p>
        </w:tc>
      </w:tr>
      <w:tr>
        <w:trPr>
          <w:trHeight w:val="219"/>
        </w:trPr>
        <w:tc>
          <w:tcPr>
            <w:tcW w:w="8060" w:type="dxa"/>
            <w:vAlign w:val="bottom"/>
            <w:shd w:val="clear" w:color="auto" w:fill="CCEEFF"/>
          </w:tcPr>
          <w:p>
            <w:pPr>
              <w:ind w:left="140"/>
              <w:spacing w:after="0"/>
              <w:rPr>
                <w:sz w:val="20"/>
                <w:szCs w:val="20"/>
                <w:color w:val="auto"/>
              </w:rPr>
            </w:pPr>
            <w:r>
              <w:rPr>
                <w:rFonts w:ascii="Arial" w:cs="Arial" w:eastAsia="Arial" w:hAnsi="Arial"/>
                <w:sz w:val="16"/>
                <w:szCs w:val="16"/>
                <w:color w:val="auto"/>
              </w:rPr>
              <w:t>Other</w:t>
            </w:r>
          </w:p>
        </w:tc>
        <w:tc>
          <w:tcPr>
            <w:tcW w:w="940" w:type="dxa"/>
            <w:vAlign w:val="bottom"/>
            <w:tcBorders>
              <w:bottom w:val="single" w:sz="8" w:color="auto"/>
            </w:tcBorders>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(70)</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(372)</w:t>
            </w:r>
          </w:p>
        </w:tc>
      </w:tr>
      <w:tr>
        <w:trPr>
          <w:trHeight w:val="206"/>
        </w:trPr>
        <w:tc>
          <w:tcPr>
            <w:tcW w:w="8060" w:type="dxa"/>
            <w:vAlign w:val="bottom"/>
            <w:tcBorders>
              <w:bottom w:val="single" w:sz="8" w:color="CCEEFF"/>
            </w:tcBorders>
          </w:tcPr>
          <w:p>
            <w:pPr>
              <w:ind w:left="540"/>
              <w:spacing w:after="0"/>
              <w:rPr>
                <w:sz w:val="20"/>
                <w:szCs w:val="20"/>
                <w:color w:val="auto"/>
              </w:rPr>
            </w:pPr>
            <w:r>
              <w:rPr>
                <w:rFonts w:ascii="Arial" w:cs="Arial" w:eastAsia="Arial" w:hAnsi="Arial"/>
                <w:sz w:val="16"/>
                <w:szCs w:val="16"/>
                <w:color w:val="auto"/>
              </w:rPr>
              <w:t>Net cash used in investing activities</w:t>
            </w:r>
          </w:p>
        </w:tc>
        <w:tc>
          <w:tcPr>
            <w:tcW w:w="940" w:type="dxa"/>
            <w:vAlign w:val="bottom"/>
            <w:tcBorders>
              <w:bottom w:val="single" w:sz="8" w:color="auto"/>
            </w:tcBorders>
          </w:tcPr>
          <w:p>
            <w:pPr>
              <w:spacing w:after="0"/>
              <w:rPr>
                <w:sz w:val="17"/>
                <w:szCs w:val="17"/>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90"/>
              </w:rPr>
              <w:t>(20,176)</w:t>
            </w:r>
          </w:p>
        </w:tc>
        <w:tc>
          <w:tcPr>
            <w:tcW w:w="10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(18,066)</w:t>
            </w:r>
          </w:p>
        </w:tc>
      </w:tr>
      <w:tr>
        <w:trPr>
          <w:trHeight w:val="199"/>
        </w:trPr>
        <w:tc>
          <w:tcPr>
            <w:tcW w:w="8060" w:type="dxa"/>
            <w:vAlign w:val="bottom"/>
            <w:shd w:val="clear" w:color="auto" w:fill="CCEEFF"/>
          </w:tcPr>
          <w:p>
            <w:pPr>
              <w:ind w:left="20"/>
              <w:spacing w:after="0"/>
              <w:rPr>
                <w:sz w:val="20"/>
                <w:szCs w:val="20"/>
                <w:color w:val="auto"/>
              </w:rPr>
            </w:pPr>
            <w:r>
              <w:rPr>
                <w:rFonts w:ascii="Arial" w:cs="Arial" w:eastAsia="Arial" w:hAnsi="Arial"/>
                <w:sz w:val="16"/>
                <w:szCs w:val="16"/>
                <w:color w:val="auto"/>
              </w:rPr>
              <w:t>Cash flows from financing activities:</w:t>
            </w:r>
          </w:p>
        </w:tc>
        <w:tc>
          <w:tcPr>
            <w:tcW w:w="94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r>
      <w:tr>
        <w:trPr>
          <w:trHeight w:val="213"/>
        </w:trPr>
        <w:tc>
          <w:tcPr>
            <w:tcW w:w="8060" w:type="dxa"/>
            <w:vAlign w:val="bottom"/>
          </w:tcPr>
          <w:p>
            <w:pPr>
              <w:ind w:left="140"/>
              <w:spacing w:after="0"/>
              <w:rPr>
                <w:sz w:val="20"/>
                <w:szCs w:val="20"/>
                <w:color w:val="auto"/>
              </w:rPr>
            </w:pPr>
            <w:r>
              <w:rPr>
                <w:rFonts w:ascii="Arial" w:cs="Arial" w:eastAsia="Arial" w:hAnsi="Arial"/>
                <w:sz w:val="16"/>
                <w:szCs w:val="16"/>
                <w:color w:val="auto"/>
              </w:rPr>
              <w:t>Proceeds from Revolving Credit Facility</w:t>
            </w:r>
          </w:p>
        </w:tc>
        <w:tc>
          <w:tcPr>
            <w:tcW w:w="9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82,000</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97,000</w:t>
            </w:r>
          </w:p>
        </w:tc>
      </w:tr>
      <w:tr>
        <w:trPr>
          <w:trHeight w:val="219"/>
        </w:trPr>
        <w:tc>
          <w:tcPr>
            <w:tcW w:w="8060" w:type="dxa"/>
            <w:vAlign w:val="bottom"/>
            <w:shd w:val="clear" w:color="auto" w:fill="CCEEFF"/>
          </w:tcPr>
          <w:p>
            <w:pPr>
              <w:ind w:left="140"/>
              <w:spacing w:after="0"/>
              <w:rPr>
                <w:sz w:val="20"/>
                <w:szCs w:val="20"/>
                <w:color w:val="auto"/>
              </w:rPr>
            </w:pPr>
            <w:r>
              <w:rPr>
                <w:rFonts w:ascii="Arial" w:cs="Arial" w:eastAsia="Arial" w:hAnsi="Arial"/>
                <w:sz w:val="16"/>
                <w:szCs w:val="16"/>
                <w:color w:val="auto"/>
              </w:rPr>
              <w:t>Payments on Revolving Credit Facility</w:t>
            </w:r>
          </w:p>
        </w:tc>
        <w:tc>
          <w:tcPr>
            <w:tcW w:w="94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0"/>
              </w:rPr>
              <w:t>(78,000)</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(61,500)</w:t>
            </w:r>
          </w:p>
        </w:tc>
      </w:tr>
      <w:tr>
        <w:trPr>
          <w:trHeight w:val="213"/>
        </w:trPr>
        <w:tc>
          <w:tcPr>
            <w:tcW w:w="8060" w:type="dxa"/>
            <w:vAlign w:val="bottom"/>
          </w:tcPr>
          <w:p>
            <w:pPr>
              <w:ind w:left="140"/>
              <w:spacing w:after="0"/>
              <w:rPr>
                <w:sz w:val="20"/>
                <w:szCs w:val="20"/>
                <w:color w:val="auto"/>
              </w:rPr>
            </w:pPr>
            <w:r>
              <w:rPr>
                <w:rFonts w:ascii="Arial" w:cs="Arial" w:eastAsia="Arial" w:hAnsi="Arial"/>
                <w:sz w:val="16"/>
                <w:szCs w:val="16"/>
                <w:color w:val="auto"/>
              </w:rPr>
              <w:t>Payments for deferred financing costs</w:t>
            </w:r>
          </w:p>
        </w:tc>
        <w:tc>
          <w:tcPr>
            <w:tcW w:w="940" w:type="dxa"/>
            <w:vAlign w:val="bottom"/>
          </w:tcPr>
          <w:p>
            <w:pPr>
              <w:spacing w:after="0"/>
              <w:rPr>
                <w:sz w:val="18"/>
                <w:szCs w:val="18"/>
                <w:color w:val="auto"/>
              </w:rPr>
            </w:pPr>
          </w:p>
        </w:tc>
        <w:tc>
          <w:tcPr>
            <w:tcW w:w="68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3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(1,394)</w:t>
            </w:r>
          </w:p>
        </w:tc>
      </w:tr>
      <w:tr>
        <w:trPr>
          <w:trHeight w:val="219"/>
        </w:trPr>
        <w:tc>
          <w:tcPr>
            <w:tcW w:w="8060" w:type="dxa"/>
            <w:vAlign w:val="bottom"/>
            <w:shd w:val="clear" w:color="auto" w:fill="CCEEFF"/>
          </w:tcPr>
          <w:p>
            <w:pPr>
              <w:ind w:left="140"/>
              <w:spacing w:after="0"/>
              <w:rPr>
                <w:sz w:val="20"/>
                <w:szCs w:val="20"/>
                <w:color w:val="auto"/>
              </w:rPr>
            </w:pPr>
            <w:r>
              <w:rPr>
                <w:rFonts w:ascii="Arial" w:cs="Arial" w:eastAsia="Arial" w:hAnsi="Arial"/>
                <w:sz w:val="16"/>
                <w:szCs w:val="16"/>
                <w:color w:val="auto"/>
              </w:rPr>
              <w:t>Issuance of common stock upon the exercise of options</w:t>
            </w:r>
          </w:p>
        </w:tc>
        <w:tc>
          <w:tcPr>
            <w:tcW w:w="940" w:type="dxa"/>
            <w:vAlign w:val="bottom"/>
            <w:tcBorders>
              <w:bottom w:val="single" w:sz="8" w:color="auto"/>
            </w:tcBorders>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967</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689</w:t>
            </w:r>
          </w:p>
        </w:tc>
      </w:tr>
      <w:tr>
        <w:trPr>
          <w:trHeight w:val="207"/>
        </w:trPr>
        <w:tc>
          <w:tcPr>
            <w:tcW w:w="8060" w:type="dxa"/>
            <w:vAlign w:val="bottom"/>
            <w:tcBorders>
              <w:bottom w:val="single" w:sz="8" w:color="CCEEFF"/>
            </w:tcBorders>
          </w:tcPr>
          <w:p>
            <w:pPr>
              <w:ind w:left="540"/>
              <w:spacing w:after="0"/>
              <w:rPr>
                <w:sz w:val="20"/>
                <w:szCs w:val="20"/>
                <w:color w:val="auto"/>
              </w:rPr>
            </w:pPr>
            <w:r>
              <w:rPr>
                <w:rFonts w:ascii="Arial" w:cs="Arial" w:eastAsia="Arial" w:hAnsi="Arial"/>
                <w:sz w:val="16"/>
                <w:szCs w:val="16"/>
                <w:color w:val="auto"/>
              </w:rPr>
              <w:t>Net cash provided by financing activities</w:t>
            </w:r>
          </w:p>
        </w:tc>
        <w:tc>
          <w:tcPr>
            <w:tcW w:w="940" w:type="dxa"/>
            <w:vAlign w:val="bottom"/>
            <w:tcBorders>
              <w:bottom w:val="single" w:sz="8" w:color="auto"/>
            </w:tcBorders>
          </w:tcPr>
          <w:p>
            <w:pPr>
              <w:spacing w:after="0"/>
              <w:rPr>
                <w:sz w:val="17"/>
                <w:szCs w:val="17"/>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4,967</w:t>
            </w:r>
          </w:p>
        </w:tc>
        <w:tc>
          <w:tcPr>
            <w:tcW w:w="10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34,795</w:t>
            </w:r>
          </w:p>
        </w:tc>
      </w:tr>
      <w:tr>
        <w:trPr>
          <w:trHeight w:val="212"/>
        </w:trPr>
        <w:tc>
          <w:tcPr>
            <w:tcW w:w="806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(decrease) increase in cash</w:t>
            </w:r>
          </w:p>
        </w:tc>
        <w:tc>
          <w:tcPr>
            <w:tcW w:w="94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(2,235)</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3,664</w:t>
            </w:r>
          </w:p>
        </w:tc>
      </w:tr>
      <w:tr>
        <w:trPr>
          <w:trHeight w:val="213"/>
        </w:trPr>
        <w:tc>
          <w:tcPr>
            <w:tcW w:w="806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Cash beginning of period</w:t>
            </w:r>
          </w:p>
        </w:tc>
        <w:tc>
          <w:tcPr>
            <w:tcW w:w="94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5,190</w:t>
            </w:r>
          </w:p>
        </w:tc>
        <w:tc>
          <w:tcPr>
            <w:tcW w:w="10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43</w:t>
            </w:r>
          </w:p>
        </w:tc>
      </w:tr>
      <w:tr>
        <w:trPr>
          <w:trHeight w:val="238"/>
        </w:trPr>
        <w:tc>
          <w:tcPr>
            <w:tcW w:w="80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Cash end of period</w:t>
            </w:r>
          </w:p>
        </w:tc>
        <w:tc>
          <w:tcPr>
            <w:tcW w:w="940" w:type="dxa"/>
            <w:vAlign w:val="bottom"/>
            <w:tcBorders>
              <w:bottom w:val="single" w:sz="8" w:color="auto"/>
            </w:tcBorders>
            <w:shd w:val="clear" w:color="auto" w:fill="CCEEFF"/>
          </w:tcPr>
          <w:p>
            <w:pPr>
              <w:jc w:val="right"/>
              <w:ind w:right="759"/>
              <w:spacing w:after="0"/>
              <w:rPr>
                <w:sz w:val="20"/>
                <w:szCs w:val="20"/>
                <w:color w:val="auto"/>
              </w:rPr>
            </w:pPr>
            <w:r>
              <w:rPr>
                <w:rFonts w:ascii="Arial" w:cs="Arial" w:eastAsia="Arial" w:hAnsi="Arial"/>
                <w:sz w:val="16"/>
                <w:szCs w:val="16"/>
                <w:color w:val="auto"/>
                <w:w w:val="89"/>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2,955</w:t>
            </w: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auto"/>
            </w:tcBorders>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3,707</w:t>
            </w:r>
          </w:p>
        </w:tc>
      </w:tr>
      <w:tr>
        <w:trPr>
          <w:trHeight w:val="20"/>
        </w:trPr>
        <w:tc>
          <w:tcPr>
            <w:tcW w:w="806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4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See accompanying notes to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68" w:right="359" w:bottom="1440" w:gutter="0" w:footer="0" w:header="0"/>
        </w:sectPr>
      </w:pPr>
    </w:p>
    <w:bookmarkStart w:id="7" w:name="page8"/>
    <w:bookmarkEnd w:id="7"/>
    <w:p>
      <w:pPr>
        <w:spacing w:after="0"/>
        <w:rPr>
          <w:sz w:val="20"/>
          <w:szCs w:val="20"/>
          <w:color w:val="auto"/>
        </w:rPr>
      </w:pPr>
      <w:r>
        <w:rPr>
          <w:rFonts w:ascii="Arial" w:cs="Arial" w:eastAsia="Arial" w:hAnsi="Arial"/>
          <w:sz w:val="18"/>
          <w:szCs w:val="18"/>
          <w:u w:val="single" w:color="auto"/>
          <w:color w:val="0000FF"/>
        </w:rPr>
        <w:t>Table of Contents</w:t>
      </w:r>
    </w:p>
    <w:p>
      <w:pPr>
        <w:spacing w:after="0" w:line="316"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THE PENNANT GROUP, INC.</w:t>
      </w:r>
    </w:p>
    <w:p>
      <w:pPr>
        <w:spacing w:after="0" w:line="27"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CONDENSED CONSOLIDATED STATEMENTS OF CASH FLOWS - (Continued)</w:t>
      </w:r>
    </w:p>
    <w:p>
      <w:pPr>
        <w:spacing w:after="0" w:line="9"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(unaudited, in thousands)</w:t>
      </w:r>
    </w:p>
    <w:p>
      <w:pPr>
        <w:spacing w:after="0" w:line="36" w:lineRule="exact"/>
        <w:rPr>
          <w:sz w:val="20"/>
          <w:szCs w:val="20"/>
          <w:color w:val="auto"/>
        </w:rPr>
      </w:pPr>
    </w:p>
    <w:tbl>
      <w:tblPr>
        <w:tblLayout w:type="fixed"/>
        <w:tblInd w:w="140" w:type="dxa"/>
        <w:tblCellMar>
          <w:top w:w="0" w:type="dxa"/>
          <w:left w:w="0" w:type="dxa"/>
          <w:bottom w:w="0" w:type="dxa"/>
          <w:right w:w="0" w:type="dxa"/>
        </w:tblCellMar>
      </w:tblPr>
      <w:tr>
        <w:trPr>
          <w:trHeight w:val="213"/>
        </w:trPr>
        <w:tc>
          <w:tcPr>
            <w:tcW w:w="818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2640" w:type="dxa"/>
            <w:vAlign w:val="bottom"/>
            <w:tcBorders>
              <w:bottom w:val="single" w:sz="8" w:color="auto"/>
            </w:tcBorders>
            <w:gridSpan w:val="4"/>
          </w:tcPr>
          <w:p>
            <w:pPr>
              <w:jc w:val="right"/>
              <w:ind w:right="99"/>
              <w:spacing w:after="0"/>
              <w:rPr>
                <w:sz w:val="20"/>
                <w:szCs w:val="20"/>
                <w:color w:val="auto"/>
              </w:rPr>
            </w:pPr>
            <w:r>
              <w:rPr>
                <w:rFonts w:ascii="Arial" w:cs="Arial" w:eastAsia="Arial" w:hAnsi="Arial"/>
                <w:sz w:val="16"/>
                <w:szCs w:val="16"/>
                <w:b w:val="1"/>
                <w:bCs w:val="1"/>
                <w:color w:val="auto"/>
                <w:w w:val="92"/>
              </w:rPr>
              <w:t>Nine Months Ended September 30,</w:t>
            </w:r>
          </w:p>
        </w:tc>
      </w:tr>
      <w:tr>
        <w:trPr>
          <w:trHeight w:val="210"/>
        </w:trPr>
        <w:tc>
          <w:tcPr>
            <w:tcW w:w="818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419"/>
              <w:spacing w:after="0"/>
              <w:rPr>
                <w:sz w:val="20"/>
                <w:szCs w:val="20"/>
                <w:color w:val="auto"/>
              </w:rPr>
            </w:pPr>
            <w:r>
              <w:rPr>
                <w:rFonts w:ascii="Arial" w:cs="Arial" w:eastAsia="Arial" w:hAnsi="Arial"/>
                <w:sz w:val="16"/>
                <w:szCs w:val="16"/>
                <w:b w:val="1"/>
                <w:bCs w:val="1"/>
                <w:color w:val="auto"/>
              </w:rPr>
              <w:t>2022</w:t>
            </w:r>
          </w:p>
        </w:tc>
        <w:tc>
          <w:tcPr>
            <w:tcW w:w="10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419"/>
              <w:spacing w:after="0"/>
              <w:rPr>
                <w:sz w:val="20"/>
                <w:szCs w:val="20"/>
                <w:color w:val="auto"/>
              </w:rPr>
            </w:pPr>
            <w:r>
              <w:rPr>
                <w:rFonts w:ascii="Arial" w:cs="Arial" w:eastAsia="Arial" w:hAnsi="Arial"/>
                <w:sz w:val="16"/>
                <w:szCs w:val="16"/>
                <w:b w:val="1"/>
                <w:bCs w:val="1"/>
                <w:color w:val="auto"/>
              </w:rPr>
              <w:t>2021</w:t>
            </w:r>
          </w:p>
        </w:tc>
      </w:tr>
      <w:tr>
        <w:trPr>
          <w:trHeight w:val="199"/>
        </w:trPr>
        <w:tc>
          <w:tcPr>
            <w:tcW w:w="8180" w:type="dxa"/>
            <w:vAlign w:val="bottom"/>
            <w:shd w:val="clear" w:color="auto" w:fill="CCEEFF"/>
          </w:tcPr>
          <w:p>
            <w:pPr>
              <w:ind w:left="20"/>
              <w:spacing w:after="0"/>
              <w:rPr>
                <w:sz w:val="20"/>
                <w:szCs w:val="20"/>
                <w:color w:val="auto"/>
              </w:rPr>
            </w:pPr>
            <w:r>
              <w:rPr>
                <w:rFonts w:ascii="Arial" w:cs="Arial" w:eastAsia="Arial" w:hAnsi="Arial"/>
                <w:sz w:val="16"/>
                <w:szCs w:val="16"/>
                <w:color w:val="auto"/>
              </w:rPr>
              <w:t>Supplemental disclosures of cash flow information:</w:t>
            </w:r>
          </w:p>
        </w:tc>
        <w:tc>
          <w:tcPr>
            <w:tcW w:w="14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r>
      <w:tr>
        <w:trPr>
          <w:trHeight w:val="213"/>
        </w:trPr>
        <w:tc>
          <w:tcPr>
            <w:tcW w:w="8180" w:type="dxa"/>
            <w:vAlign w:val="bottom"/>
          </w:tcPr>
          <w:p>
            <w:pPr>
              <w:ind w:left="120"/>
              <w:spacing w:after="0"/>
              <w:rPr>
                <w:sz w:val="20"/>
                <w:szCs w:val="20"/>
                <w:color w:val="auto"/>
              </w:rPr>
            </w:pPr>
            <w:r>
              <w:rPr>
                <w:rFonts w:ascii="Arial" w:cs="Arial" w:eastAsia="Arial" w:hAnsi="Arial"/>
                <w:sz w:val="16"/>
                <w:szCs w:val="16"/>
                <w:color w:val="auto"/>
              </w:rPr>
              <w:t>Cash paid during the period for:</w:t>
            </w:r>
          </w:p>
        </w:tc>
        <w:tc>
          <w:tcPr>
            <w:tcW w:w="1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20" w:type="dxa"/>
            <w:vAlign w:val="bottom"/>
          </w:tcPr>
          <w:p>
            <w:pPr>
              <w:spacing w:after="0"/>
              <w:rPr>
                <w:sz w:val="18"/>
                <w:szCs w:val="18"/>
                <w:color w:val="auto"/>
              </w:rPr>
            </w:pPr>
          </w:p>
        </w:tc>
      </w:tr>
      <w:tr>
        <w:trPr>
          <w:trHeight w:val="244"/>
        </w:trPr>
        <w:tc>
          <w:tcPr>
            <w:tcW w:w="818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6"/>
                <w:szCs w:val="16"/>
                <w:color w:val="auto"/>
              </w:rPr>
              <w:t>Interest</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2,114</w:t>
            </w: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980</w:t>
            </w:r>
          </w:p>
        </w:tc>
      </w:tr>
      <w:tr>
        <w:trPr>
          <w:trHeight w:val="20"/>
        </w:trPr>
        <w:tc>
          <w:tcPr>
            <w:tcW w:w="81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r>
      <w:tr>
        <w:trPr>
          <w:trHeight w:val="190"/>
        </w:trPr>
        <w:tc>
          <w:tcPr>
            <w:tcW w:w="8180" w:type="dxa"/>
            <w:vAlign w:val="bottom"/>
          </w:tcPr>
          <w:p>
            <w:pPr>
              <w:ind w:left="240"/>
              <w:spacing w:after="0"/>
              <w:rPr>
                <w:sz w:val="20"/>
                <w:szCs w:val="20"/>
                <w:color w:val="auto"/>
              </w:rPr>
            </w:pPr>
            <w:r>
              <w:rPr>
                <w:rFonts w:ascii="Arial" w:cs="Arial" w:eastAsia="Arial" w:hAnsi="Arial"/>
                <w:sz w:val="16"/>
                <w:szCs w:val="16"/>
                <w:color w:val="auto"/>
              </w:rPr>
              <w:t>Income taxes</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77</w:t>
            </w:r>
          </w:p>
        </w:tc>
        <w:tc>
          <w:tcPr>
            <w:tcW w:w="100" w:type="dxa"/>
            <w:vAlign w:val="bottom"/>
          </w:tcPr>
          <w:p>
            <w:pPr>
              <w:spacing w:after="0"/>
              <w:rPr>
                <w:sz w:val="16"/>
                <w:szCs w:val="16"/>
                <w:color w:val="auto"/>
              </w:rPr>
            </w:pPr>
          </w:p>
        </w:tc>
        <w:tc>
          <w:tcPr>
            <w:tcW w:w="32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w w:val="8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2,594</w:t>
            </w:r>
          </w:p>
        </w:tc>
      </w:tr>
      <w:tr>
        <w:trPr>
          <w:trHeight w:val="20"/>
        </w:trPr>
        <w:tc>
          <w:tcPr>
            <w:tcW w:w="818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r>
        <w:trPr>
          <w:trHeight w:val="235"/>
        </w:trPr>
        <w:tc>
          <w:tcPr>
            <w:tcW w:w="818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6"/>
                <w:szCs w:val="16"/>
                <w:color w:val="auto"/>
              </w:rPr>
              <w:t>Lease liabilities</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27,092</w:t>
            </w: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29,327</w:t>
            </w:r>
          </w:p>
        </w:tc>
      </w:tr>
      <w:tr>
        <w:trPr>
          <w:trHeight w:val="20"/>
        </w:trPr>
        <w:tc>
          <w:tcPr>
            <w:tcW w:w="81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r>
      <w:tr>
        <w:trPr>
          <w:trHeight w:val="190"/>
        </w:trPr>
        <w:tc>
          <w:tcPr>
            <w:tcW w:w="8180" w:type="dxa"/>
            <w:vAlign w:val="bottom"/>
          </w:tcPr>
          <w:p>
            <w:pPr>
              <w:ind w:left="120"/>
              <w:spacing w:after="0"/>
              <w:rPr>
                <w:sz w:val="20"/>
                <w:szCs w:val="20"/>
                <w:color w:val="auto"/>
              </w:rPr>
            </w:pPr>
            <w:r>
              <w:rPr>
                <w:rFonts w:ascii="Arial" w:cs="Arial" w:eastAsia="Arial" w:hAnsi="Arial"/>
                <w:sz w:val="16"/>
                <w:szCs w:val="16"/>
                <w:color w:val="auto"/>
              </w:rPr>
              <w:t>Right-of-use assets obtained in exchange for new operating lease obligations</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10,326</w:t>
            </w:r>
          </w:p>
        </w:tc>
        <w:tc>
          <w:tcPr>
            <w:tcW w:w="100" w:type="dxa"/>
            <w:vAlign w:val="bottom"/>
          </w:tcPr>
          <w:p>
            <w:pPr>
              <w:spacing w:after="0"/>
              <w:rPr>
                <w:sz w:val="16"/>
                <w:szCs w:val="16"/>
                <w:color w:val="auto"/>
              </w:rPr>
            </w:pPr>
          </w:p>
        </w:tc>
        <w:tc>
          <w:tcPr>
            <w:tcW w:w="32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w w:val="8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2,842</w:t>
            </w:r>
          </w:p>
        </w:tc>
      </w:tr>
      <w:tr>
        <w:trPr>
          <w:trHeight w:val="20"/>
        </w:trPr>
        <w:tc>
          <w:tcPr>
            <w:tcW w:w="818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r>
        <w:trPr>
          <w:trHeight w:val="235"/>
        </w:trPr>
        <w:tc>
          <w:tcPr>
            <w:tcW w:w="818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6"/>
                <w:szCs w:val="16"/>
                <w:color w:val="auto"/>
              </w:rPr>
              <w:t>Non-cash adjustment to right-of-use assets and lease liabilities from lease modifications</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6,270</w:t>
            </w: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159</w:t>
            </w:r>
          </w:p>
        </w:tc>
      </w:tr>
      <w:tr>
        <w:trPr>
          <w:trHeight w:val="20"/>
        </w:trPr>
        <w:tc>
          <w:tcPr>
            <w:tcW w:w="81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r>
      <w:tr>
        <w:trPr>
          <w:trHeight w:val="190"/>
        </w:trPr>
        <w:tc>
          <w:tcPr>
            <w:tcW w:w="8180" w:type="dxa"/>
            <w:vAlign w:val="bottom"/>
          </w:tcPr>
          <w:p>
            <w:pPr>
              <w:ind w:left="120"/>
              <w:spacing w:after="0"/>
              <w:rPr>
                <w:sz w:val="20"/>
                <w:szCs w:val="20"/>
                <w:color w:val="auto"/>
              </w:rPr>
            </w:pPr>
            <w:r>
              <w:rPr>
                <w:rFonts w:ascii="Arial" w:cs="Arial" w:eastAsia="Arial" w:hAnsi="Arial"/>
                <w:sz w:val="16"/>
                <w:szCs w:val="16"/>
                <w:color w:val="auto"/>
              </w:rPr>
              <w:t>Non-cash adjustment to right-of-use assets and lease liabilities from lease terminations and assignments</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(43,136)</w:t>
            </w:r>
          </w:p>
        </w:tc>
        <w:tc>
          <w:tcPr>
            <w:tcW w:w="100" w:type="dxa"/>
            <w:vAlign w:val="bottom"/>
          </w:tcPr>
          <w:p>
            <w:pPr>
              <w:spacing w:after="0"/>
              <w:rPr>
                <w:sz w:val="16"/>
                <w:szCs w:val="16"/>
                <w:color w:val="auto"/>
              </w:rPr>
            </w:pPr>
          </w:p>
        </w:tc>
        <w:tc>
          <w:tcPr>
            <w:tcW w:w="32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w w:val="8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r>
      <w:tr>
        <w:trPr>
          <w:trHeight w:val="20"/>
        </w:trPr>
        <w:tc>
          <w:tcPr>
            <w:tcW w:w="818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r>
        <w:trPr>
          <w:trHeight w:val="183"/>
        </w:trPr>
        <w:tc>
          <w:tcPr>
            <w:tcW w:w="8180" w:type="dxa"/>
            <w:vAlign w:val="bottom"/>
            <w:shd w:val="clear" w:color="auto" w:fill="CCEEFF"/>
          </w:tcPr>
          <w:p>
            <w:pPr>
              <w:ind w:left="120"/>
              <w:spacing w:after="0"/>
              <w:rPr>
                <w:sz w:val="20"/>
                <w:szCs w:val="20"/>
                <w:color w:val="auto"/>
              </w:rPr>
            </w:pPr>
            <w:r>
              <w:rPr>
                <w:rFonts w:ascii="Arial" w:cs="Arial" w:eastAsia="Arial" w:hAnsi="Arial"/>
                <w:sz w:val="16"/>
                <w:szCs w:val="16"/>
                <w:color w:val="auto"/>
              </w:rPr>
              <w:t>Non-cash investing activity:</w:t>
            </w:r>
          </w:p>
        </w:tc>
        <w:tc>
          <w:tcPr>
            <w:tcW w:w="14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r>
      <w:tr>
        <w:trPr>
          <w:trHeight w:val="216"/>
        </w:trPr>
        <w:tc>
          <w:tcPr>
            <w:tcW w:w="8180" w:type="dxa"/>
            <w:vAlign w:val="bottom"/>
          </w:tcPr>
          <w:p>
            <w:pPr>
              <w:ind w:left="240"/>
              <w:spacing w:after="0"/>
              <w:rPr>
                <w:sz w:val="20"/>
                <w:szCs w:val="20"/>
                <w:color w:val="auto"/>
              </w:rPr>
            </w:pPr>
            <w:r>
              <w:rPr>
                <w:rFonts w:ascii="Arial" w:cs="Arial" w:eastAsia="Arial" w:hAnsi="Arial"/>
                <w:sz w:val="16"/>
                <w:szCs w:val="16"/>
                <w:color w:val="auto"/>
              </w:rPr>
              <w:t>Capital expenditures in accounts payable</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1,100</w:t>
            </w:r>
          </w:p>
        </w:tc>
        <w:tc>
          <w:tcPr>
            <w:tcW w:w="100" w:type="dxa"/>
            <w:vAlign w:val="bottom"/>
          </w:tcPr>
          <w:p>
            <w:pPr>
              <w:spacing w:after="0"/>
              <w:rPr>
                <w:sz w:val="18"/>
                <w:szCs w:val="18"/>
                <w:color w:val="auto"/>
              </w:rPr>
            </w:pPr>
          </w:p>
        </w:tc>
        <w:tc>
          <w:tcPr>
            <w:tcW w:w="32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w w:val="8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551</w:t>
            </w:r>
          </w:p>
        </w:tc>
      </w:tr>
      <w:tr>
        <w:trPr>
          <w:trHeight w:val="20"/>
        </w:trPr>
        <w:tc>
          <w:tcPr>
            <w:tcW w:w="81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45"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See accompanying notes to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00"/>
          </w:cols>
          <w:pgMar w:left="320" w:top="368" w:right="479" w:bottom="1440" w:gutter="0" w:footer="0" w:header="0"/>
        </w:sectPr>
      </w:pPr>
    </w:p>
    <w:bookmarkStart w:id="8" w:name="page9"/>
    <w:bookmarkEnd w:id="8"/>
    <w:p>
      <w:pPr>
        <w:spacing w:after="0"/>
        <w:rPr>
          <w:sz w:val="20"/>
          <w:szCs w:val="20"/>
          <w:color w:val="auto"/>
        </w:rPr>
      </w:pPr>
      <w:r>
        <w:rPr>
          <w:rFonts w:ascii="Arial" w:cs="Arial" w:eastAsia="Arial" w:hAnsi="Arial"/>
          <w:sz w:val="18"/>
          <w:szCs w:val="18"/>
          <w:u w:val="single" w:color="auto"/>
          <w:color w:val="0000FF"/>
        </w:rPr>
        <w:t>Table of Contents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PENNANT GROUP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per share data and operational senior living units)</w:t>
      </w:r>
    </w:p>
    <w:p>
      <w:pPr>
        <w:spacing w:after="0" w:line="200" w:lineRule="exact"/>
        <w:rPr>
          <w:sz w:val="20"/>
          <w:szCs w:val="20"/>
          <w:color w:val="auto"/>
        </w:rPr>
      </w:pPr>
    </w:p>
    <w:p>
      <w:pPr>
        <w:spacing w:after="0" w:line="3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DESCRIPTION OF BUSINESS</w:t>
      </w:r>
    </w:p>
    <w:p>
      <w:pPr>
        <w:spacing w:after="0" w:line="54" w:lineRule="exact"/>
        <w:rPr>
          <w:sz w:val="20"/>
          <w:szCs w:val="20"/>
          <w:color w:val="auto"/>
        </w:rPr>
      </w:pPr>
    </w:p>
    <w:p>
      <w:pPr>
        <w:jc w:val="both"/>
        <w:ind w:firstLine="648"/>
        <w:spacing w:after="0" w:line="301" w:lineRule="auto"/>
        <w:rPr>
          <w:sz w:val="20"/>
          <w:szCs w:val="20"/>
          <w:color w:val="auto"/>
        </w:rPr>
      </w:pPr>
      <w:r>
        <w:rPr>
          <w:rFonts w:ascii="Arial" w:cs="Arial" w:eastAsia="Arial" w:hAnsi="Arial"/>
          <w:sz w:val="16"/>
          <w:szCs w:val="16"/>
          <w:color w:val="auto"/>
        </w:rPr>
        <w:t>The Pennant Group, Inc. (herein referred to as “Pennant,” the “Company,” “it,” or “its”), is a holding company with no direct operating assets, employees or revenue. The Company, through its independent operating subsidiaries, provides healthcare services across the post-acute care continuum. As of September 30, 2022, the Company’s subsidiaries operated 94 home health, hospice and home care agencies and 49 senior living communities located in Arizona, California, Colorado, Idaho, Iowa, Montana, Nevada, Oklahoma, Oregon, Texas, Utah, Washington, Wisconsin and Wyoming.</w:t>
      </w:r>
    </w:p>
    <w:p>
      <w:pPr>
        <w:spacing w:after="0" w:line="184"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Certain of the Company’s subsidiaries, collectively referred to as the Service Center, provide accounting, payroll, human resources, information technology, legal, risk management, and other services to the operations through contractual relationships.</w:t>
      </w:r>
    </w:p>
    <w:p>
      <w:pPr>
        <w:spacing w:after="0" w:line="197"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Each of the Company’s affiliated operations are operated by separate, independent subsidiaries that have their own management, employees and assets. References herein to the consolidated “Company” and “its” assets and activities is not meant to imply, nor should it be construed as meaning, that Pennant has direct operating assets, employees or revenue, or that any of the subsidiaries are operated by Pennant.</w:t>
      </w:r>
    </w:p>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BASIS OF PRESENTATION AND SUMMARY OF SIGNIFICANT ACCOUNTING POLICIES</w:t>
      </w:r>
    </w:p>
    <w:p>
      <w:pPr>
        <w:spacing w:after="0" w:line="54" w:lineRule="exact"/>
        <w:rPr>
          <w:sz w:val="20"/>
          <w:szCs w:val="20"/>
          <w:color w:val="auto"/>
        </w:rPr>
      </w:pPr>
    </w:p>
    <w:p>
      <w:pPr>
        <w:jc w:val="both"/>
        <w:ind w:firstLine="648"/>
        <w:spacing w:after="0" w:line="244" w:lineRule="auto"/>
        <w:rPr>
          <w:sz w:val="20"/>
          <w:szCs w:val="20"/>
          <w:color w:val="auto"/>
        </w:rPr>
      </w:pPr>
      <w:r>
        <w:rPr>
          <w:rFonts w:ascii="Arial" w:cs="Arial" w:eastAsia="Arial" w:hAnsi="Arial"/>
          <w:sz w:val="18"/>
          <w:szCs w:val="18"/>
          <w:i w:val="1"/>
          <w:iCs w:val="1"/>
          <w:color w:val="auto"/>
        </w:rPr>
        <w:t xml:space="preserve">Basis of Presentation - </w:t>
      </w:r>
      <w:r>
        <w:rPr>
          <w:rFonts w:ascii="Arial" w:cs="Arial" w:eastAsia="Arial" w:hAnsi="Arial"/>
          <w:sz w:val="18"/>
          <w:szCs w:val="18"/>
          <w:color w:val="auto"/>
        </w:rPr>
        <w:t>The accompanying unaudited condensed consolidated financial statements of the Company (the “Interim Financial</w:t>
      </w:r>
      <w:r>
        <w:rPr>
          <w:rFonts w:ascii="Arial" w:cs="Arial" w:eastAsia="Arial" w:hAnsi="Arial"/>
          <w:sz w:val="18"/>
          <w:szCs w:val="18"/>
          <w:i w:val="1"/>
          <w:iCs w:val="1"/>
          <w:color w:val="auto"/>
        </w:rPr>
        <w:t xml:space="preserve"> </w:t>
      </w:r>
      <w:r>
        <w:rPr>
          <w:rFonts w:ascii="Arial" w:cs="Arial" w:eastAsia="Arial" w:hAnsi="Arial"/>
          <w:sz w:val="18"/>
          <w:szCs w:val="18"/>
          <w:color w:val="auto"/>
        </w:rPr>
        <w:t>Statements”) reflect the Company’s financial position, results of operations and cash flows of the business. The Interim Financial Statements have been prepared in accordance with accounting principles generally accepted in the United States (“GAAP”) and pursuant to the regulations of the Securities and Exchange Commission (“SEC”). Management believes that the Interim Financial Statements reflect, in all material respects, all adjustments which are of a normal and recurring nature necessary to present fairly the Company’s financial position, results of operations, and cash flows for the periods presented in conformity with GAAP. The results reported in these Interim Financial Statements are not necessarily indicative of results that may be expected for the entire year.</w:t>
      </w:r>
    </w:p>
    <w:p>
      <w:pPr>
        <w:spacing w:after="0" w:line="228"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 Condensed Consolidated Balance Sheet as of December 31, 2021 is derived from the Company’s annual audited Consolidated Financial Statements for the fiscal year ended December 31, 2021, which should be read in conjunction with these Interim Financial Statements. Certain information in the accompanying footnote disclosures normally included in annual financial statements was condensed or omitted for the interim periods presented in accordance with GAAP.</w:t>
      </w:r>
    </w:p>
    <w:p>
      <w:pPr>
        <w:spacing w:after="0" w:line="214" w:lineRule="exact"/>
        <w:rPr>
          <w:sz w:val="20"/>
          <w:szCs w:val="20"/>
          <w:color w:val="auto"/>
        </w:rPr>
      </w:pPr>
    </w:p>
    <w:p>
      <w:pPr>
        <w:jc w:val="both"/>
        <w:ind w:firstLine="648"/>
        <w:spacing w:after="0" w:line="311" w:lineRule="auto"/>
        <w:rPr>
          <w:sz w:val="20"/>
          <w:szCs w:val="20"/>
          <w:color w:val="auto"/>
        </w:rPr>
      </w:pPr>
      <w:r>
        <w:rPr>
          <w:rFonts w:ascii="Arial" w:cs="Arial" w:eastAsia="Arial" w:hAnsi="Arial"/>
          <w:sz w:val="16"/>
          <w:szCs w:val="16"/>
          <w:color w:val="auto"/>
        </w:rPr>
        <w:t>All significant intercompany transactions and balances between the various legal entities comprising the Company have been eliminated in consolidation. The Company presents noncontrolling interests within the equity section of its Condensed Consolidated Balance Sheets and the amount of consolidated net income that is attributable to the Company and the noncontrolling interest in its Condensed Consolidated Statements of Income.</w:t>
      </w:r>
    </w:p>
    <w:p>
      <w:pPr>
        <w:spacing w:after="0" w:line="176"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The Company consists of various limited liability companies and corporations established to operate home health, hospice, home care, and senior living operations. The Interim Financial Statements include the accounts of all entities controlled by the Company through its ownership of a majority voting interest.</w:t>
      </w:r>
    </w:p>
    <w:p>
      <w:pPr>
        <w:spacing w:after="0" w:line="211"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Certain prior quarter amounts have been reclassified for consistency with the current period presentation. These reclassifications had no effect on the reported results of operations in the current period or prior period.</w:t>
      </w:r>
    </w:p>
    <w:p>
      <w:pPr>
        <w:spacing w:after="0" w:line="197"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7"/>
          <w:szCs w:val="17"/>
          <w:i w:val="1"/>
          <w:iCs w:val="1"/>
          <w:color w:val="auto"/>
        </w:rPr>
        <w:t xml:space="preserve">Estimates and Assumptions - </w:t>
      </w:r>
      <w:r>
        <w:rPr>
          <w:rFonts w:ascii="Arial" w:cs="Arial" w:eastAsia="Arial" w:hAnsi="Arial"/>
          <w:sz w:val="17"/>
          <w:szCs w:val="17"/>
          <w:color w:val="auto"/>
        </w:rPr>
        <w:t>The preparation of the Interim Financial Statements in conformity with GAAP requires management to make certain</w:t>
      </w:r>
      <w:r>
        <w:rPr>
          <w:rFonts w:ascii="Arial" w:cs="Arial" w:eastAsia="Arial" w:hAnsi="Arial"/>
          <w:sz w:val="17"/>
          <w:szCs w:val="17"/>
          <w:i w:val="1"/>
          <w:iCs w:val="1"/>
          <w:color w:val="auto"/>
        </w:rPr>
        <w:t xml:space="preserve"> </w:t>
      </w:r>
      <w:r>
        <w:rPr>
          <w:rFonts w:ascii="Arial" w:cs="Arial" w:eastAsia="Arial" w:hAnsi="Arial"/>
          <w:sz w:val="17"/>
          <w:szCs w:val="17"/>
          <w:color w:val="auto"/>
        </w:rPr>
        <w:t>estimates and assumptions that affect the reported amounts of assets and liabilities and disclosure of contingent assets and liabilities at the date of the Interim Financial Statements and the reported amounts of revenue and expenses during the reporting periods. The most significant estimates in the Interim Financial Statements relate to revenue, intangible assets and goodwill, right-of-use assets and lease liabilities for leases greater than 12 months, self-insurance reserves, and income taxes. Actual results could differ from those estimates.</w:t>
      </w:r>
    </w:p>
    <w:p>
      <w:pPr>
        <w:spacing w:after="0" w:line="203"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i w:val="1"/>
          <w:iCs w:val="1"/>
          <w:color w:val="auto"/>
        </w:rPr>
        <w:t>CARES Act</w:t>
      </w:r>
      <w:r>
        <w:rPr>
          <w:rFonts w:ascii="Arial" w:cs="Arial" w:eastAsia="Arial" w:hAnsi="Arial"/>
          <w:sz w:val="18"/>
          <w:szCs w:val="18"/>
          <w:color w:val="auto"/>
        </w:rPr>
        <w:t>: The Coronavirus Aid, Relief, and Economic Security Act (the “CARES Act”) was enacted on March 27, 2020 in the United States.</w:t>
      </w:r>
      <w:r>
        <w:rPr>
          <w:rFonts w:ascii="Arial" w:cs="Arial" w:eastAsia="Arial" w:hAnsi="Arial"/>
          <w:sz w:val="18"/>
          <w:szCs w:val="18"/>
          <w:i w:val="1"/>
          <w:iCs w:val="1"/>
          <w:color w:val="auto"/>
        </w:rPr>
        <w:t xml:space="preserve"> </w:t>
      </w:r>
      <w:r>
        <w:rPr>
          <w:rFonts w:ascii="Arial" w:cs="Arial" w:eastAsia="Arial" w:hAnsi="Arial"/>
          <w:sz w:val="18"/>
          <w:szCs w:val="18"/>
          <w:color w:val="auto"/>
        </w:rPr>
        <w:t>The CARES Act allowed for deferred payment of the employer-paid portion of social security taxes through the end of 2020, with 50% due on December 31, 2021 and the remainder due on December 31, 2022. The Company deferred approximately $7,836 of the employer-paid portion of social security taxes, of which $4,129 remains as of September 30, 2022 and is included in current liabilities in accrued wages and related liabilities. The CARES Act also expanded the</w:t>
      </w: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9" w:name="page10"/>
    <w:bookmarkEnd w:id="9"/>
    <w:p>
      <w:pPr>
        <w:spacing w:after="0"/>
        <w:rPr>
          <w:sz w:val="20"/>
          <w:szCs w:val="20"/>
          <w:color w:val="auto"/>
        </w:rPr>
      </w:pPr>
      <w:r>
        <w:rPr>
          <w:rFonts w:ascii="Arial" w:cs="Arial" w:eastAsia="Arial" w:hAnsi="Arial"/>
          <w:sz w:val="18"/>
          <w:szCs w:val="18"/>
          <w:u w:val="single" w:color="auto"/>
          <w:color w:val="0000FF"/>
        </w:rPr>
        <w:t>Table of Contents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PENNANT GROUP,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CONDENSED CONSOLIDATED FINANCIAL STATEMENTS - (Continued)</w:t>
      </w:r>
    </w:p>
    <w:p>
      <w:pPr>
        <w:spacing w:after="0" w:line="200" w:lineRule="exact"/>
        <w:rPr>
          <w:sz w:val="20"/>
          <w:szCs w:val="20"/>
          <w:color w:val="auto"/>
        </w:rPr>
      </w:pPr>
    </w:p>
    <w:p>
      <w:pPr>
        <w:spacing w:after="0" w:line="32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Centers for Medicare &amp; Medicaid Services’ (“CMS”) ability to provide accelerated/advance payments intended to increase the cash flow of healthcare providers and suppliers impacted by COVID-19. During 2020, the Company applied for and received $27,997 in funds under the Accelerated and Advance Payment (“AAP”) Program, all of which was recouped as of June 23, 2022.</w:t>
      </w:r>
    </w:p>
    <w:p>
      <w:pPr>
        <w:spacing w:after="0" w:line="2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TRANSACTIONS WITH ENSIGN</w:t>
      </w:r>
    </w:p>
    <w:p>
      <w:pPr>
        <w:spacing w:after="0" w:line="54"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On October 1, 2019, The Ensign Group, Inc. (“Ensign”) completed the separation of Pennant (the “Spin-Off”). In connection with the Spin-Off, Pennant entered into several agreements with Ensign that set forth the principal actions taken or to be taken in connection with the Spin-Off and govern the relationship of the parties following the Spin-Off. The Transitions Services Agreement with Ensign (the “Transition Services Agreement”) provided Pennant primarily administrative support. The Transitions Services Agreement expired two years from the Spin-Off date. The Company incurred costs of $231 and $1,332 for the three and nine months ended September 30, 2022 and $706 and $2,441 for the three and nine months ended September 30, 2021, respectively that related primarily to shared administrative support and other services at proximate operations.</w:t>
      </w:r>
    </w:p>
    <w:p>
      <w:pPr>
        <w:spacing w:after="0" w:line="205"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 xml:space="preserve">Services included in cost of services were $812 and $2,035 for the three and nine months ended September 30, 2022 and $760 and $2,377 for the three and nine months ended September 30, 2021, respectively, that related primarily to room and board charges at skilled nursing facilities for hospice patients. Additionally, the Company’s independent operating subsidiaries leased 29 and 31 communities from subsidiaries of Ensign under a master lease arrangement as of September 30, 2022 and September 30, 2021, respectively. See further discussion below at Note 8, </w:t>
      </w:r>
      <w:r>
        <w:rPr>
          <w:rFonts w:ascii="Arial" w:cs="Arial" w:eastAsia="Arial" w:hAnsi="Arial"/>
          <w:sz w:val="17"/>
          <w:szCs w:val="17"/>
          <w:i w:val="1"/>
          <w:iCs w:val="1"/>
          <w:color w:val="auto"/>
        </w:rPr>
        <w:t>Leases</w:t>
      </w:r>
      <w:r>
        <w:rPr>
          <w:rFonts w:ascii="Arial" w:cs="Arial" w:eastAsia="Arial" w:hAnsi="Arial"/>
          <w:sz w:val="17"/>
          <w:szCs w:val="17"/>
          <w:color w:val="auto"/>
        </w:rPr>
        <w:t>.</w:t>
      </w:r>
    </w:p>
    <w:p>
      <w:pPr>
        <w:spacing w:after="0" w:line="198"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On January 27, 2022, affiliates of the Company, entered into certain operations transfer agreements (collectively, the “Transfer Agreements”) with affiliates of Ensign, providing for the transfer of the operations of five senior living communities (the “Transaction”). The Transfer Agreements require one of the transferors to place $6.5 million in escrow to cover post-closing capital expenditures and operating losses related to one of the communities, and such escrow is funded by an initial payment by the transferor at closing followed by eight equal monthly installments. The Transaction closed in April 2022.</w:t>
      </w:r>
    </w:p>
    <w:p>
      <w:pPr>
        <w:spacing w:after="0" w:line="2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COMPUTATION OF NET INCOME PER COMMON SHARE</w:t>
      </w:r>
    </w:p>
    <w:p>
      <w:pPr>
        <w:spacing w:after="0" w:line="54"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Basic net income per share is computed by dividing net income attributable to stockholders of the Company by the weighted average number of outstanding common shares for the period. The computation of diluted net income per share is similar to the computation of basic net income per share except that the denominator is increased to include the number of additional common shares that would have been outstanding if the dilutive potential common shares had been issued.</w:t>
      </w: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0" w:name="page11"/>
    <w:bookmarkEnd w:id="10"/>
    <w:p>
      <w:pPr>
        <w:spacing w:after="0"/>
        <w:rPr>
          <w:sz w:val="20"/>
          <w:szCs w:val="20"/>
          <w:color w:val="auto"/>
        </w:rPr>
      </w:pPr>
      <w:r>
        <w:rPr>
          <w:rFonts w:ascii="Arial" w:cs="Arial" w:eastAsia="Arial" w:hAnsi="Arial"/>
          <w:sz w:val="18"/>
          <w:szCs w:val="18"/>
          <w:u w:val="single" w:color="auto"/>
          <w:color w:val="0000FF"/>
        </w:rPr>
        <w:t>Table of Contents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PENNANT GROUP,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CONDENSED CONSOLIDATED FINANCIAL STATEMENTS - (Continued)</w:t>
      </w:r>
    </w:p>
    <w:p>
      <w:pPr>
        <w:spacing w:after="0" w:line="200" w:lineRule="exact"/>
        <w:rPr>
          <w:sz w:val="20"/>
          <w:szCs w:val="20"/>
          <w:color w:val="auto"/>
        </w:rPr>
      </w:pPr>
    </w:p>
    <w:p>
      <w:pPr>
        <w:spacing w:after="0" w:line="321" w:lineRule="exact"/>
        <w:rPr>
          <w:sz w:val="20"/>
          <w:szCs w:val="20"/>
          <w:color w:val="auto"/>
        </w:rPr>
      </w:pPr>
    </w:p>
    <w:p>
      <w:pPr>
        <w:ind w:left="660"/>
        <w:spacing w:after="0"/>
        <w:rPr>
          <w:sz w:val="20"/>
          <w:szCs w:val="20"/>
          <w:color w:val="auto"/>
        </w:rPr>
      </w:pPr>
      <w:r>
        <w:rPr>
          <w:rFonts w:ascii="Arial" w:cs="Arial" w:eastAsia="Arial" w:hAnsi="Arial"/>
          <w:sz w:val="18"/>
          <w:szCs w:val="18"/>
          <w:color w:val="212529"/>
        </w:rPr>
        <w:t>The following table sets forth the computation of basic and diluted net income per share for the periods presented:</w:t>
      </w:r>
    </w:p>
    <w:p>
      <w:pPr>
        <w:spacing w:after="0" w:line="26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2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280" w:type="dxa"/>
            <w:vAlign w:val="bottom"/>
            <w:gridSpan w:val="5"/>
          </w:tcPr>
          <w:p>
            <w:pPr>
              <w:ind w:left="140"/>
              <w:spacing w:after="0"/>
              <w:rPr>
                <w:sz w:val="20"/>
                <w:szCs w:val="20"/>
                <w:color w:val="auto"/>
              </w:rPr>
            </w:pPr>
            <w:r>
              <w:rPr>
                <w:rFonts w:ascii="Arial" w:cs="Arial" w:eastAsia="Arial" w:hAnsi="Arial"/>
                <w:sz w:val="18"/>
                <w:szCs w:val="18"/>
                <w:b w:val="1"/>
                <w:bCs w:val="1"/>
                <w:color w:val="auto"/>
              </w:rPr>
              <w:t>Three Months Ended</w:t>
            </w:r>
          </w:p>
        </w:tc>
        <w:tc>
          <w:tcPr>
            <w:tcW w:w="260" w:type="dxa"/>
            <w:vAlign w:val="bottom"/>
          </w:tcPr>
          <w:p>
            <w:pPr>
              <w:spacing w:after="0"/>
              <w:rPr>
                <w:sz w:val="17"/>
                <w:szCs w:val="17"/>
                <w:color w:val="auto"/>
              </w:rPr>
            </w:pPr>
          </w:p>
        </w:tc>
        <w:tc>
          <w:tcPr>
            <w:tcW w:w="2180" w:type="dxa"/>
            <w:vAlign w:val="bottom"/>
            <w:gridSpan w:val="4"/>
          </w:tcPr>
          <w:p>
            <w:pPr>
              <w:jc w:val="right"/>
              <w:ind w:right="370"/>
              <w:spacing w:after="0"/>
              <w:rPr>
                <w:sz w:val="20"/>
                <w:szCs w:val="20"/>
                <w:color w:val="auto"/>
              </w:rPr>
            </w:pPr>
            <w:r>
              <w:rPr>
                <w:rFonts w:ascii="Arial" w:cs="Arial" w:eastAsia="Arial" w:hAnsi="Arial"/>
                <w:sz w:val="18"/>
                <w:szCs w:val="18"/>
                <w:b w:val="1"/>
                <w:bCs w:val="1"/>
                <w:color w:val="auto"/>
              </w:rPr>
              <w:t>Nine Months Ended</w:t>
            </w:r>
          </w:p>
        </w:tc>
      </w:tr>
      <w:tr>
        <w:trPr>
          <w:trHeight w:val="239"/>
        </w:trPr>
        <w:tc>
          <w:tcPr>
            <w:tcW w:w="62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280" w:type="dxa"/>
            <w:vAlign w:val="bottom"/>
            <w:gridSpan w:val="5"/>
          </w:tcPr>
          <w:p>
            <w:pPr>
              <w:ind w:left="420"/>
              <w:spacing w:after="0"/>
              <w:rPr>
                <w:sz w:val="20"/>
                <w:szCs w:val="20"/>
                <w:color w:val="auto"/>
              </w:rPr>
            </w:pPr>
            <w:r>
              <w:rPr>
                <w:rFonts w:ascii="Arial" w:cs="Arial" w:eastAsia="Arial" w:hAnsi="Arial"/>
                <w:sz w:val="18"/>
                <w:szCs w:val="18"/>
                <w:b w:val="1"/>
                <w:bCs w:val="1"/>
                <w:color w:val="auto"/>
              </w:rPr>
              <w:t>September 30,</w:t>
            </w:r>
          </w:p>
        </w:tc>
        <w:tc>
          <w:tcPr>
            <w:tcW w:w="260" w:type="dxa"/>
            <w:vAlign w:val="bottom"/>
          </w:tcPr>
          <w:p>
            <w:pPr>
              <w:spacing w:after="0"/>
              <w:rPr>
                <w:sz w:val="20"/>
                <w:szCs w:val="20"/>
                <w:color w:val="auto"/>
              </w:rPr>
            </w:pPr>
          </w:p>
        </w:tc>
        <w:tc>
          <w:tcPr>
            <w:tcW w:w="2180" w:type="dxa"/>
            <w:vAlign w:val="bottom"/>
            <w:gridSpan w:val="4"/>
          </w:tcPr>
          <w:p>
            <w:pPr>
              <w:jc w:val="right"/>
              <w:ind w:right="590"/>
              <w:spacing w:after="0"/>
              <w:rPr>
                <w:sz w:val="20"/>
                <w:szCs w:val="20"/>
                <w:color w:val="auto"/>
              </w:rPr>
            </w:pPr>
            <w:r>
              <w:rPr>
                <w:rFonts w:ascii="Arial" w:cs="Arial" w:eastAsia="Arial" w:hAnsi="Arial"/>
                <w:sz w:val="18"/>
                <w:szCs w:val="18"/>
                <w:b w:val="1"/>
                <w:bCs w:val="1"/>
                <w:color w:val="auto"/>
              </w:rPr>
              <w:t>September 30,</w:t>
            </w:r>
          </w:p>
        </w:tc>
      </w:tr>
      <w:tr>
        <w:trPr>
          <w:trHeight w:val="227"/>
        </w:trPr>
        <w:tc>
          <w:tcPr>
            <w:tcW w:w="6260" w:type="dxa"/>
            <w:vAlign w:val="bottom"/>
            <w:tcBorders>
              <w:bottom w:val="single" w:sz="8" w:color="CCEEFF"/>
            </w:tcBorders>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920" w:type="dxa"/>
            <w:vAlign w:val="bottom"/>
            <w:tcBorders>
              <w:top w:val="single" w:sz="8" w:color="auto"/>
              <w:bottom w:val="single" w:sz="8" w:color="auto"/>
            </w:tcBorders>
          </w:tcPr>
          <w:p>
            <w:pPr>
              <w:ind w:left="140"/>
              <w:spacing w:after="0"/>
              <w:rPr>
                <w:sz w:val="20"/>
                <w:szCs w:val="20"/>
                <w:color w:val="auto"/>
              </w:rPr>
            </w:pPr>
            <w:r>
              <w:rPr>
                <w:rFonts w:ascii="Arial" w:cs="Arial" w:eastAsia="Arial" w:hAnsi="Arial"/>
                <w:sz w:val="18"/>
                <w:szCs w:val="18"/>
                <w:b w:val="1"/>
                <w:bCs w:val="1"/>
                <w:color w:val="auto"/>
              </w:rPr>
              <w:t>2022</w:t>
            </w:r>
          </w:p>
        </w:tc>
        <w:tc>
          <w:tcPr>
            <w:tcW w:w="80" w:type="dxa"/>
            <w:vAlign w:val="bottom"/>
            <w:tcBorders>
              <w:top w:val="single" w:sz="8" w:color="auto"/>
              <w:bottom w:val="single" w:sz="8" w:color="CCEEFF"/>
            </w:tcBorders>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92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2021</w:t>
            </w:r>
          </w:p>
        </w:tc>
        <w:tc>
          <w:tcPr>
            <w:tcW w:w="100" w:type="dxa"/>
            <w:vAlign w:val="bottom"/>
            <w:tcBorders>
              <w:bottom w:val="single" w:sz="8" w:color="CCEEFF"/>
            </w:tcBorders>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920" w:type="dxa"/>
            <w:vAlign w:val="bottom"/>
            <w:tcBorders>
              <w:top w:val="single" w:sz="8" w:color="auto"/>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2022</w:t>
            </w:r>
          </w:p>
        </w:tc>
        <w:tc>
          <w:tcPr>
            <w:tcW w:w="80" w:type="dxa"/>
            <w:vAlign w:val="bottom"/>
            <w:tcBorders>
              <w:top w:val="single" w:sz="8" w:color="auto"/>
              <w:bottom w:val="single" w:sz="8" w:color="CCEEFF"/>
            </w:tcBorders>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92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2021</w:t>
            </w:r>
          </w:p>
        </w:tc>
      </w:tr>
      <w:tr>
        <w:trPr>
          <w:trHeight w:val="223"/>
        </w:trPr>
        <w:tc>
          <w:tcPr>
            <w:tcW w:w="62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Numerator:</w:t>
            </w: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r>
      <w:tr>
        <w:trPr>
          <w:trHeight w:val="229"/>
        </w:trPr>
        <w:tc>
          <w:tcPr>
            <w:tcW w:w="6260" w:type="dxa"/>
            <w:vAlign w:val="bottom"/>
          </w:tcPr>
          <w:p>
            <w:pPr>
              <w:ind w:left="140"/>
              <w:spacing w:after="0"/>
              <w:rPr>
                <w:sz w:val="20"/>
                <w:szCs w:val="20"/>
                <w:color w:val="auto"/>
              </w:rPr>
            </w:pPr>
            <w:r>
              <w:rPr>
                <w:rFonts w:ascii="Arial" w:cs="Arial" w:eastAsia="Arial" w:hAnsi="Arial"/>
                <w:sz w:val="18"/>
                <w:szCs w:val="18"/>
                <w:color w:val="auto"/>
              </w:rPr>
              <w:t>Net income attributable to The Pennant Group, Inc.</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4,831</w:t>
            </w:r>
          </w:p>
        </w:tc>
        <w:tc>
          <w:tcPr>
            <w:tcW w:w="80" w:type="dxa"/>
            <w:vAlign w:val="bottom"/>
          </w:tcPr>
          <w:p>
            <w:pPr>
              <w:spacing w:after="0"/>
              <w:rPr>
                <w:sz w:val="19"/>
                <w:szCs w:val="19"/>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1,245</w:t>
            </w:r>
          </w:p>
        </w:tc>
        <w:tc>
          <w:tcPr>
            <w:tcW w:w="100" w:type="dxa"/>
            <w:vAlign w:val="bottom"/>
          </w:tcPr>
          <w:p>
            <w:pPr>
              <w:spacing w:after="0"/>
              <w:rPr>
                <w:sz w:val="19"/>
                <w:szCs w:val="19"/>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3,169</w:t>
            </w:r>
          </w:p>
        </w:tc>
        <w:tc>
          <w:tcPr>
            <w:tcW w:w="80" w:type="dxa"/>
            <w:vAlign w:val="bottom"/>
          </w:tcPr>
          <w:p>
            <w:pPr>
              <w:spacing w:after="0"/>
              <w:rPr>
                <w:sz w:val="19"/>
                <w:szCs w:val="19"/>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4,845</w:t>
            </w:r>
          </w:p>
        </w:tc>
      </w:tr>
      <w:tr>
        <w:trPr>
          <w:trHeight w:val="270"/>
        </w:trPr>
        <w:tc>
          <w:tcPr>
            <w:tcW w:w="626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92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9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92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920" w:type="dxa"/>
            <w:vAlign w:val="bottom"/>
            <w:shd w:val="clear" w:color="auto" w:fill="CCEEFF"/>
          </w:tcPr>
          <w:p>
            <w:pPr>
              <w:spacing w:after="0"/>
              <w:rPr>
                <w:sz w:val="23"/>
                <w:szCs w:val="23"/>
                <w:color w:val="auto"/>
              </w:rPr>
            </w:pPr>
          </w:p>
        </w:tc>
      </w:tr>
      <w:tr>
        <w:trPr>
          <w:trHeight w:val="230"/>
        </w:trPr>
        <w:tc>
          <w:tcPr>
            <w:tcW w:w="6260" w:type="dxa"/>
            <w:vAlign w:val="bottom"/>
          </w:tcPr>
          <w:p>
            <w:pPr>
              <w:ind w:left="20"/>
              <w:spacing w:after="0"/>
              <w:rPr>
                <w:sz w:val="20"/>
                <w:szCs w:val="20"/>
                <w:color w:val="auto"/>
              </w:rPr>
            </w:pPr>
            <w:r>
              <w:rPr>
                <w:rFonts w:ascii="Arial" w:cs="Arial" w:eastAsia="Arial" w:hAnsi="Arial"/>
                <w:sz w:val="18"/>
                <w:szCs w:val="18"/>
                <w:b w:val="1"/>
                <w:bCs w:val="1"/>
                <w:color w:val="auto"/>
              </w:rPr>
              <w:t>Denominator:</w:t>
            </w:r>
          </w:p>
        </w:tc>
        <w:tc>
          <w:tcPr>
            <w:tcW w:w="2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spacing w:after="0"/>
              <w:rPr>
                <w:sz w:val="19"/>
                <w:szCs w:val="19"/>
                <w:color w:val="auto"/>
              </w:rPr>
            </w:pPr>
          </w:p>
        </w:tc>
      </w:tr>
      <w:tr>
        <w:trPr>
          <w:trHeight w:val="229"/>
        </w:trPr>
        <w:tc>
          <w:tcPr>
            <w:tcW w:w="62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Weighted average shares outstanding for basic net income per share</w:t>
            </w: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29,335</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28,444</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28,840</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28,364</w:t>
            </w:r>
          </w:p>
        </w:tc>
      </w:tr>
      <w:tr>
        <w:trPr>
          <w:trHeight w:val="176"/>
        </w:trPr>
        <w:tc>
          <w:tcPr>
            <w:tcW w:w="6260" w:type="dxa"/>
            <w:vAlign w:val="bottom"/>
          </w:tcPr>
          <w:p>
            <w:pPr>
              <w:ind w:left="140"/>
              <w:spacing w:after="0" w:line="176" w:lineRule="exact"/>
              <w:rPr>
                <w:sz w:val="20"/>
                <w:szCs w:val="20"/>
                <w:color w:val="auto"/>
              </w:rPr>
            </w:pPr>
            <w:r>
              <w:rPr>
                <w:rFonts w:ascii="Arial" w:cs="Arial" w:eastAsia="Arial" w:hAnsi="Arial"/>
                <w:sz w:val="18"/>
                <w:szCs w:val="18"/>
                <w:color w:val="auto"/>
                <w:w w:val="90"/>
              </w:rPr>
              <w:t>Plus: assumed incremental shares from exercise of options and assumed conversion</w:t>
            </w:r>
          </w:p>
        </w:tc>
        <w:tc>
          <w:tcPr>
            <w:tcW w:w="2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20" w:type="dxa"/>
            <w:vAlign w:val="bottom"/>
          </w:tcPr>
          <w:p>
            <w:pPr>
              <w:spacing w:after="0"/>
              <w:rPr>
                <w:sz w:val="15"/>
                <w:szCs w:val="15"/>
                <w:color w:val="auto"/>
              </w:rPr>
            </w:pPr>
          </w:p>
        </w:tc>
      </w:tr>
      <w:tr>
        <w:trPr>
          <w:trHeight w:val="243"/>
        </w:trPr>
        <w:tc>
          <w:tcPr>
            <w:tcW w:w="6260" w:type="dxa"/>
            <w:vAlign w:val="bottom"/>
            <w:tcBorders>
              <w:bottom w:val="single" w:sz="8" w:color="CCEEFF"/>
            </w:tcBorders>
          </w:tcPr>
          <w:p>
            <w:pPr>
              <w:ind w:left="140"/>
              <w:spacing w:after="0" w:line="243" w:lineRule="exact"/>
              <w:rPr>
                <w:sz w:val="20"/>
                <w:szCs w:val="20"/>
                <w:color w:val="auto"/>
              </w:rPr>
            </w:pPr>
            <w:r>
              <w:rPr>
                <w:rFonts w:ascii="Arial" w:cs="Arial" w:eastAsia="Arial" w:hAnsi="Arial"/>
                <w:sz w:val="18"/>
                <w:szCs w:val="18"/>
                <w:color w:val="auto"/>
              </w:rPr>
              <w:t>or vesting of restricted stock</w:t>
            </w:r>
            <w:r>
              <w:rPr>
                <w:rFonts w:ascii="Arial" w:cs="Arial" w:eastAsia="Arial" w:hAnsi="Arial"/>
                <w:sz w:val="23"/>
                <w:szCs w:val="23"/>
                <w:color w:val="auto"/>
                <w:vertAlign w:val="superscript"/>
              </w:rPr>
              <w:t>(a)</w:t>
            </w:r>
          </w:p>
        </w:tc>
        <w:tc>
          <w:tcPr>
            <w:tcW w:w="26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837</w:t>
            </w:r>
          </w:p>
        </w:tc>
        <w:tc>
          <w:tcPr>
            <w:tcW w:w="80" w:type="dxa"/>
            <w:vAlign w:val="bottom"/>
            <w:tcBorders>
              <w:bottom w:val="single" w:sz="8" w:color="CCEEFF"/>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2,112</w:t>
            </w:r>
          </w:p>
        </w:tc>
        <w:tc>
          <w:tcPr>
            <w:tcW w:w="100" w:type="dxa"/>
            <w:vAlign w:val="bottom"/>
            <w:tcBorders>
              <w:bottom w:val="single" w:sz="8" w:color="CCEEFF"/>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1,342</w:t>
            </w:r>
          </w:p>
        </w:tc>
        <w:tc>
          <w:tcPr>
            <w:tcW w:w="80" w:type="dxa"/>
            <w:vAlign w:val="bottom"/>
            <w:tcBorders>
              <w:bottom w:val="single" w:sz="8" w:color="CCEEFF"/>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2,355</w:t>
            </w:r>
          </w:p>
        </w:tc>
      </w:tr>
      <w:tr>
        <w:trPr>
          <w:trHeight w:val="156"/>
        </w:trPr>
        <w:tc>
          <w:tcPr>
            <w:tcW w:w="6260" w:type="dxa"/>
            <w:vAlign w:val="bottom"/>
            <w:shd w:val="clear" w:color="auto" w:fill="CCEEFF"/>
          </w:tcPr>
          <w:p>
            <w:pPr>
              <w:ind w:left="460"/>
              <w:spacing w:after="0" w:line="156" w:lineRule="exact"/>
              <w:rPr>
                <w:sz w:val="20"/>
                <w:szCs w:val="20"/>
                <w:color w:val="auto"/>
              </w:rPr>
            </w:pPr>
            <w:r>
              <w:rPr>
                <w:rFonts w:ascii="Arial" w:cs="Arial" w:eastAsia="Arial" w:hAnsi="Arial"/>
                <w:sz w:val="18"/>
                <w:szCs w:val="18"/>
                <w:color w:val="auto"/>
                <w:w w:val="92"/>
              </w:rPr>
              <w:t>Adjusted weighted average common shares outstanding for diluted income per</w:t>
            </w:r>
          </w:p>
        </w:tc>
        <w:tc>
          <w:tcPr>
            <w:tcW w:w="260" w:type="dxa"/>
            <w:vAlign w:val="bottom"/>
            <w:shd w:val="clear" w:color="auto" w:fill="CCEEFF"/>
          </w:tcPr>
          <w:p>
            <w:pPr>
              <w:spacing w:after="0"/>
              <w:rPr>
                <w:sz w:val="13"/>
                <w:szCs w:val="13"/>
                <w:color w:val="auto"/>
              </w:rPr>
            </w:pPr>
          </w:p>
        </w:tc>
        <w:tc>
          <w:tcPr>
            <w:tcW w:w="9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9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9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920" w:type="dxa"/>
            <w:vAlign w:val="bottom"/>
            <w:shd w:val="clear" w:color="auto" w:fill="CCEEFF"/>
          </w:tcPr>
          <w:p>
            <w:pPr>
              <w:spacing w:after="0"/>
              <w:rPr>
                <w:sz w:val="13"/>
                <w:szCs w:val="13"/>
                <w:color w:val="auto"/>
              </w:rPr>
            </w:pPr>
          </w:p>
        </w:tc>
      </w:tr>
      <w:tr>
        <w:trPr>
          <w:trHeight w:val="243"/>
        </w:trPr>
        <w:tc>
          <w:tcPr>
            <w:tcW w:w="6260" w:type="dxa"/>
            <w:vAlign w:val="bottom"/>
            <w:shd w:val="clear" w:color="auto" w:fill="CCEEFF"/>
          </w:tcPr>
          <w:p>
            <w:pPr>
              <w:ind w:left="460"/>
              <w:spacing w:after="0"/>
              <w:rPr>
                <w:sz w:val="20"/>
                <w:szCs w:val="20"/>
                <w:color w:val="auto"/>
              </w:rPr>
            </w:pPr>
            <w:r>
              <w:rPr>
                <w:rFonts w:ascii="Arial" w:cs="Arial" w:eastAsia="Arial" w:hAnsi="Arial"/>
                <w:sz w:val="18"/>
                <w:szCs w:val="18"/>
                <w:color w:val="auto"/>
              </w:rPr>
              <w:t>share</w:t>
            </w:r>
          </w:p>
        </w:tc>
        <w:tc>
          <w:tcPr>
            <w:tcW w:w="260" w:type="dxa"/>
            <w:vAlign w:val="bottom"/>
            <w:shd w:val="clear" w:color="auto" w:fill="CCEEFF"/>
          </w:tcPr>
          <w:p>
            <w:pPr>
              <w:spacing w:after="0"/>
              <w:rPr>
                <w:sz w:val="21"/>
                <w:szCs w:val="21"/>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30,172</w:t>
            </w:r>
          </w:p>
        </w:tc>
        <w:tc>
          <w:tcPr>
            <w:tcW w:w="8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30,556</w:t>
            </w:r>
          </w:p>
        </w:tc>
        <w:tc>
          <w:tcPr>
            <w:tcW w:w="10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30,182</w:t>
            </w:r>
          </w:p>
        </w:tc>
        <w:tc>
          <w:tcPr>
            <w:tcW w:w="8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30,719</w:t>
            </w:r>
          </w:p>
        </w:tc>
      </w:tr>
      <w:tr>
        <w:trPr>
          <w:trHeight w:val="270"/>
        </w:trPr>
        <w:tc>
          <w:tcPr>
            <w:tcW w:w="626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920" w:type="dxa"/>
            <w:vAlign w:val="bottom"/>
          </w:tcPr>
          <w:p>
            <w:pPr>
              <w:spacing w:after="0"/>
              <w:rPr>
                <w:sz w:val="23"/>
                <w:szCs w:val="23"/>
                <w:color w:val="auto"/>
              </w:rPr>
            </w:pPr>
          </w:p>
        </w:tc>
      </w:tr>
      <w:tr>
        <w:trPr>
          <w:trHeight w:val="229"/>
        </w:trPr>
        <w:tc>
          <w:tcPr>
            <w:tcW w:w="62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Earnings Per Share:</w:t>
            </w: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r>
      <w:tr>
        <w:trPr>
          <w:trHeight w:val="229"/>
        </w:trPr>
        <w:tc>
          <w:tcPr>
            <w:tcW w:w="6260" w:type="dxa"/>
            <w:vAlign w:val="bottom"/>
          </w:tcPr>
          <w:p>
            <w:pPr>
              <w:ind w:left="140"/>
              <w:spacing w:after="0"/>
              <w:rPr>
                <w:sz w:val="20"/>
                <w:szCs w:val="20"/>
                <w:color w:val="auto"/>
              </w:rPr>
            </w:pPr>
            <w:r>
              <w:rPr>
                <w:rFonts w:ascii="Arial" w:cs="Arial" w:eastAsia="Arial" w:hAnsi="Arial"/>
                <w:sz w:val="18"/>
                <w:szCs w:val="18"/>
                <w:color w:val="auto"/>
              </w:rPr>
              <w:t>Basic net income per common share</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0.16</w:t>
            </w:r>
          </w:p>
        </w:tc>
        <w:tc>
          <w:tcPr>
            <w:tcW w:w="80" w:type="dxa"/>
            <w:vAlign w:val="bottom"/>
          </w:tcPr>
          <w:p>
            <w:pPr>
              <w:spacing w:after="0"/>
              <w:rPr>
                <w:sz w:val="19"/>
                <w:szCs w:val="19"/>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0.04</w:t>
            </w:r>
          </w:p>
        </w:tc>
        <w:tc>
          <w:tcPr>
            <w:tcW w:w="100" w:type="dxa"/>
            <w:vAlign w:val="bottom"/>
          </w:tcPr>
          <w:p>
            <w:pPr>
              <w:spacing w:after="0"/>
              <w:rPr>
                <w:sz w:val="19"/>
                <w:szCs w:val="19"/>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0.11</w:t>
            </w:r>
          </w:p>
        </w:tc>
        <w:tc>
          <w:tcPr>
            <w:tcW w:w="80" w:type="dxa"/>
            <w:vAlign w:val="bottom"/>
          </w:tcPr>
          <w:p>
            <w:pPr>
              <w:spacing w:after="0"/>
              <w:rPr>
                <w:sz w:val="19"/>
                <w:szCs w:val="19"/>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0.17</w:t>
            </w:r>
          </w:p>
        </w:tc>
      </w:tr>
      <w:tr>
        <w:trPr>
          <w:trHeight w:val="230"/>
        </w:trPr>
        <w:tc>
          <w:tcPr>
            <w:tcW w:w="62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Diluted net income per common share</w:t>
            </w: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0.16</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0.04</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0.10</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0.16</w:t>
            </w:r>
          </w:p>
        </w:tc>
      </w:tr>
    </w:tbl>
    <w:p>
      <w:pPr>
        <w:spacing w:after="0" w:line="130" w:lineRule="exact"/>
        <w:rPr>
          <w:sz w:val="20"/>
          <w:szCs w:val="20"/>
          <w:color w:val="auto"/>
        </w:rPr>
      </w:pPr>
    </w:p>
    <w:p>
      <w:pPr>
        <w:ind w:left="480" w:right="40" w:hanging="454"/>
        <w:spacing w:after="0" w:line="273" w:lineRule="auto"/>
        <w:tabs>
          <w:tab w:leader="none" w:pos="480" w:val="left"/>
        </w:tabs>
        <w:numPr>
          <w:ilvl w:val="1"/>
          <w:numId w:val="4"/>
        </w:numPr>
        <w:rPr>
          <w:rFonts w:ascii="Arial" w:cs="Arial" w:eastAsia="Arial" w:hAnsi="Arial"/>
          <w:sz w:val="14"/>
          <w:szCs w:val="14"/>
          <w:color w:val="auto"/>
        </w:rPr>
      </w:pPr>
      <w:r>
        <w:rPr>
          <w:rFonts w:ascii="Arial" w:cs="Arial" w:eastAsia="Arial" w:hAnsi="Arial"/>
          <w:sz w:val="14"/>
          <w:szCs w:val="14"/>
          <w:color w:val="auto"/>
        </w:rPr>
        <w:t>The diluted per share amounts do not reflect common equivalent shares outstanding of 1,858 and 1,806 for the three and nine months ended September 30, 2022 and 815 and 437 for the three and nine months ended September 30, 2021, respectively, because of their anti-dilutive effect.</w:t>
      </w:r>
    </w:p>
    <w:p>
      <w:pPr>
        <w:spacing w:after="0" w:line="147" w:lineRule="exact"/>
        <w:rPr>
          <w:rFonts w:ascii="Arial" w:cs="Arial" w:eastAsia="Arial" w:hAnsi="Arial"/>
          <w:sz w:val="14"/>
          <w:szCs w:val="14"/>
          <w:color w:val="auto"/>
        </w:rPr>
      </w:pPr>
    </w:p>
    <w:p>
      <w:pPr>
        <w:ind w:left="180" w:hanging="172"/>
        <w:spacing w:after="0"/>
        <w:tabs>
          <w:tab w:leader="none" w:pos="180" w:val="left"/>
        </w:tabs>
        <w:numPr>
          <w:ilvl w:val="0"/>
          <w:numId w:val="5"/>
        </w:numPr>
        <w:rPr>
          <w:rFonts w:ascii="Arial" w:cs="Arial" w:eastAsia="Arial" w:hAnsi="Arial"/>
          <w:sz w:val="18"/>
          <w:szCs w:val="18"/>
          <w:b w:val="1"/>
          <w:bCs w:val="1"/>
          <w:color w:val="auto"/>
        </w:rPr>
      </w:pPr>
      <w:r>
        <w:rPr>
          <w:rFonts w:ascii="Arial" w:cs="Arial" w:eastAsia="Arial" w:hAnsi="Arial"/>
          <w:sz w:val="18"/>
          <w:szCs w:val="18"/>
          <w:b w:val="1"/>
          <w:bCs w:val="1"/>
          <w:color w:val="auto"/>
        </w:rPr>
        <w:t>REVENUE AND ACCOUNTS RECEIVABLE</w:t>
      </w:r>
    </w:p>
    <w:p>
      <w:pPr>
        <w:spacing w:after="0" w:line="67"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Revenue is recognized when services are provided to the patients at the amount that reflects the consideration to which the Company expects to be entitled from patients and third-party payors, including Medicaid, Medicare and managed care programs (Commercial, Medicare Advantage and Managed Medicaid plans), in exchange for providing patient care. The healthcare services in home health and hospice patient contracts include routine services in exchange for a contractual agreed-upon amount or rate. Routine services are treated as a single performance obligation satisfied over time as services are rendered. As such, patient care services represent a bundle of services that are not capable of being distinct within the context of the contract. Additionally, there may be ancillary services which are not included in the rates for routine services, but instead are treated as separate performance obligations satisfied at a point in time, if and when those services are rendered.</w:t>
      </w:r>
    </w:p>
    <w:p>
      <w:pPr>
        <w:spacing w:after="0" w:line="204"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Revenue recognized from healthcare services are adjusted for estimates of variable consideration to arrive at the transaction price. The Company determines the transaction price based on contractually agreed-upon amounts or rate, adjusted for estimates of variable consideration. The Company uses the expected value method in determining the variable component that should be used to arrive at the transaction price, using contractual agreements and historical reimbursement experience within each payor type. The amount of variable consideration which is included in the transaction price may be constrained, and is included in the net revenue only to the extent that it is probable that a significant reversal in the amount of the cumulative revenue recognized will not occur in a future period. If actual amounts of consideration ultimately received differ from the Company’s estimates, the Company adjusts these estimates, which would affect net service revenue in the period such variances become known.</w:t>
      </w:r>
    </w:p>
    <w:p>
      <w:pPr>
        <w:spacing w:after="0" w:line="204"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Revenue from the Medicare and Medicaid programs accounted for 62.4% and 62.3% of the Company’s revenue, for the three and nine months ended September 30, 2022, and 62.2% and 62.6% for the three and nine months ended September 30, 2021, respectively. The Company records revenue from these governmental and managed care programs as services are performed at their expected net realizable amounts under these programs. The Company’s revenue from governmental and managed care programs is subject to audit and retroactive adjustment by governmental and third-party agencies. Consistent with healthcare industry accounting practices, any changes to these governmental revenue estimates are recorded in the period the change or adjustment becomes known based on final settlement.</w:t>
      </w: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1" w:name="page12"/>
    <w:bookmarkEnd w:id="11"/>
    <w:p>
      <w:pPr>
        <w:spacing w:after="0"/>
        <w:rPr>
          <w:sz w:val="20"/>
          <w:szCs w:val="20"/>
          <w:color w:val="auto"/>
        </w:rPr>
      </w:pPr>
      <w:r>
        <w:rPr>
          <w:rFonts w:ascii="Arial" w:cs="Arial" w:eastAsia="Arial" w:hAnsi="Arial"/>
          <w:sz w:val="18"/>
          <w:szCs w:val="18"/>
          <w:u w:val="single" w:color="auto"/>
          <w:color w:val="0000FF"/>
        </w:rPr>
        <w:t>Table of Contents</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THE PENNANT GROUP, INC.</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THE CONDENSED CONSOLIDATED FINANCIAL STATEMENTS - (Continued)</w:t>
      </w:r>
    </w:p>
    <w:p>
      <w:pPr>
        <w:spacing w:after="0" w:line="200" w:lineRule="exact"/>
        <w:rPr>
          <w:sz w:val="20"/>
          <w:szCs w:val="20"/>
          <w:color w:val="auto"/>
        </w:rPr>
      </w:pPr>
    </w:p>
    <w:p>
      <w:pPr>
        <w:spacing w:after="0" w:line="3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Disaggregation of Revenue</w:t>
      </w:r>
    </w:p>
    <w:p>
      <w:pPr>
        <w:spacing w:after="0" w:line="252"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The Company disaggregates revenue from contracts with its patients by reportable operating segments and payors. The Company has determined that disaggregating revenue into these categories achieves the disclosure objectives to depict how the nature, amount, timing and uncertainty of revenue and cash flows are affected by economic factors.</w:t>
      </w:r>
    </w:p>
    <w:p>
      <w:pPr>
        <w:spacing w:after="0" w:line="21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Company’s service specific revenue recognition policies are as follows:</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Home Health Revenue</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Medicare Revenue</w:t>
      </w:r>
    </w:p>
    <w:p>
      <w:pPr>
        <w:spacing w:after="0" w:line="252"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6"/>
          <w:szCs w:val="16"/>
          <w:color w:val="auto"/>
        </w:rPr>
        <w:t>Net service revenue is recognized in accordance with the Patient Driven Groupings Model (“PDGM”). Under PDGM, Medicare provides agencies with payments for each 30-day payment period provided to beneficiaries. If a beneficiary is still eligible for care after the end of the first 30-day payment period, a second 30-day payment period can begin. There are no limits to the number of periods of care a beneficiary who remains eligible for the home health benefit can receive. While payment for each 30-day payment period is adjusted to reflect the beneficiary’s health condition and needs, a special outlier provision exists to ensure appropriate payment for those beneficiaries that have the most expensive care needs. The payment under the Medicare program is also adjusted for certain variables including, but not limited to: (a) a low utilization payment adjustment if the number of visits is below an established threshold that varies based on the diagnosis of a beneficiary; (b) a partial payment if the patient transferred to another provider or the Company received a patient from another provider before completing the period of care; (c) adjustment to the admission source of claim if it is determined that the patient had a qualifying stay in a post-acute care setting within 14 days prior to the start of a 30-day payment period; (d) the timing of the 30-day payment period provided to a patient in relation to the admission date, regardless of whether the same home health provider provided care for the entire series of episodes; (e) changes to the acuity of the patient during the previous 30-day payment period; (f) changes in the base payments established by the Medicare program; (g) adjustments to the base payments for case mix and geographic wages; and (h) recoveries of overpayments.</w:t>
      </w:r>
    </w:p>
    <w:p>
      <w:pPr>
        <w:spacing w:after="0" w:line="195"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The Company adjusts Medicare revenue on completed episodes to reflect differences between estimated and actual payment amounts, an inability to obtain appropriate billing documentation and other reasons unrelated to credit risk. Therefore, the Company believes that its reported net service revenue and patient accounts receivable will be the net amounts to be realized from Medicare for services rendered.</w:t>
      </w:r>
    </w:p>
    <w:p>
      <w:pPr>
        <w:spacing w:after="0" w:line="192"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7"/>
          <w:szCs w:val="17"/>
          <w:color w:val="auto"/>
        </w:rPr>
        <w:t>In addition to revenue recognized on completed episodes and periods, the Company also recognizes a portion of revenue associated with episodes and periods in progress. Episodes in progress are 30-day payment periods that begin during the reporting period but were not completed as of the end of the period. As such, the Company estimates revenue and recognizes it on a daily basis. The primary factors underlying this estimate are the number of episodes in progress at the end of the reporting period, expected Medicare revenue per period of care or episode of care and the Company’s estimate of the average percentage complete based on the scheduled end of period and end of episode dates.</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Non-Medicare Revenue</w:t>
      </w:r>
    </w:p>
    <w:p>
      <w:pPr>
        <w:spacing w:after="0" w:line="252" w:lineRule="exact"/>
        <w:rPr>
          <w:sz w:val="20"/>
          <w:szCs w:val="20"/>
          <w:color w:val="auto"/>
        </w:rPr>
      </w:pPr>
    </w:p>
    <w:p>
      <w:pPr>
        <w:jc w:val="both"/>
        <w:ind w:firstLine="648"/>
        <w:spacing w:after="0" w:line="308" w:lineRule="auto"/>
        <w:rPr>
          <w:sz w:val="20"/>
          <w:szCs w:val="20"/>
          <w:color w:val="auto"/>
        </w:rPr>
      </w:pPr>
      <w:r>
        <w:rPr>
          <w:rFonts w:ascii="Arial" w:cs="Arial" w:eastAsia="Arial" w:hAnsi="Arial"/>
          <w:sz w:val="17"/>
          <w:szCs w:val="17"/>
          <w:i w:val="1"/>
          <w:iCs w:val="1"/>
          <w:color w:val="auto"/>
        </w:rPr>
        <w:t xml:space="preserve">Episodic Based Revenue - </w:t>
      </w:r>
      <w:r>
        <w:rPr>
          <w:rFonts w:ascii="Arial" w:cs="Arial" w:eastAsia="Arial" w:hAnsi="Arial"/>
          <w:sz w:val="17"/>
          <w:szCs w:val="17"/>
          <w:color w:val="auto"/>
        </w:rPr>
        <w:t>The Company recognizes revenue in a similar manner as it recognizes Medicare revenue for episodic-based rates that</w:t>
      </w:r>
      <w:r>
        <w:rPr>
          <w:rFonts w:ascii="Arial" w:cs="Arial" w:eastAsia="Arial" w:hAnsi="Arial"/>
          <w:sz w:val="17"/>
          <w:szCs w:val="17"/>
          <w:i w:val="1"/>
          <w:iCs w:val="1"/>
          <w:color w:val="auto"/>
        </w:rPr>
        <w:t xml:space="preserve"> </w:t>
      </w:r>
      <w:r>
        <w:rPr>
          <w:rFonts w:ascii="Arial" w:cs="Arial" w:eastAsia="Arial" w:hAnsi="Arial"/>
          <w:sz w:val="17"/>
          <w:szCs w:val="17"/>
          <w:color w:val="auto"/>
        </w:rPr>
        <w:t>are paid by other insurance carriers, including Medicare Advantage programs. These rates can vary based upon the negotiated terms.</w:t>
      </w:r>
    </w:p>
    <w:p>
      <w:pPr>
        <w:spacing w:after="0" w:line="173"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i w:val="1"/>
          <w:iCs w:val="1"/>
          <w:color w:val="auto"/>
        </w:rPr>
        <w:t xml:space="preserve">Non-episodic Based Revenue - </w:t>
      </w:r>
      <w:r>
        <w:rPr>
          <w:rFonts w:ascii="Arial" w:cs="Arial" w:eastAsia="Arial" w:hAnsi="Arial"/>
          <w:sz w:val="18"/>
          <w:szCs w:val="18"/>
          <w:color w:val="auto"/>
        </w:rPr>
        <w:t>Revenue is recognized on an accrual basis based upon the date of service at amounts equal to its established or</w:t>
      </w:r>
      <w:r>
        <w:rPr>
          <w:rFonts w:ascii="Arial" w:cs="Arial" w:eastAsia="Arial" w:hAnsi="Arial"/>
          <w:sz w:val="18"/>
          <w:szCs w:val="18"/>
          <w:i w:val="1"/>
          <w:iCs w:val="1"/>
          <w:color w:val="auto"/>
        </w:rPr>
        <w:t xml:space="preserve"> </w:t>
      </w:r>
      <w:r>
        <w:rPr>
          <w:rFonts w:ascii="Arial" w:cs="Arial" w:eastAsia="Arial" w:hAnsi="Arial"/>
          <w:sz w:val="18"/>
          <w:szCs w:val="18"/>
          <w:color w:val="auto"/>
        </w:rPr>
        <w:t>estimated per visit rates, as applicable.</w:t>
      </w: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2" w:name="page13"/>
    <w:bookmarkEnd w:id="12"/>
    <w:p>
      <w:pPr>
        <w:spacing w:after="0"/>
        <w:rPr>
          <w:sz w:val="20"/>
          <w:szCs w:val="20"/>
          <w:color w:val="auto"/>
        </w:rPr>
      </w:pPr>
      <w:r>
        <w:rPr>
          <w:rFonts w:ascii="Arial" w:cs="Arial" w:eastAsia="Arial" w:hAnsi="Arial"/>
          <w:sz w:val="18"/>
          <w:szCs w:val="18"/>
          <w:u w:val="single" w:color="auto"/>
          <w:color w:val="0000FF"/>
        </w:rPr>
        <w:t>Table of Contents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PENNANT GROUP,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CONDENSED CONSOLIDATED FINANCIAL STATEMENTS - (Continued)</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Hospice Revenue</w:t>
      </w:r>
    </w:p>
    <w:p>
      <w:pPr>
        <w:spacing w:after="0" w:line="256" w:lineRule="exact"/>
        <w:rPr>
          <w:sz w:val="20"/>
          <w:szCs w:val="20"/>
          <w:color w:val="auto"/>
        </w:rPr>
      </w:pPr>
    </w:p>
    <w:p>
      <w:pPr>
        <w:jc w:val="both"/>
        <w:ind w:firstLine="648"/>
        <w:spacing w:after="0" w:line="296" w:lineRule="auto"/>
        <w:rPr>
          <w:sz w:val="20"/>
          <w:szCs w:val="20"/>
          <w:color w:val="auto"/>
        </w:rPr>
      </w:pPr>
      <w:r>
        <w:rPr>
          <w:rFonts w:ascii="Arial" w:cs="Arial" w:eastAsia="Arial" w:hAnsi="Arial"/>
          <w:sz w:val="16"/>
          <w:szCs w:val="16"/>
          <w:color w:val="auto"/>
        </w:rPr>
        <w:t>Revenue is recognized on an accrual basis based upon the date of service at amounts equal to the estimated payment rates. The estimated payment rates are calculated as daily rates for each of the levels of care the Company delivers. Revenue is adjusted for an inability to obtain appropriate billing documentation or authorizations acceptable to the payor and other reasons unrelated to credit risk. Additionally, as Medicare hospice revenue is subject to an inpatient cap and an overall payment cap, the Company monitors its provider numbers and estimates amounts due back to Medicare if a cap has been exceeded. The Company regularly evaluates and records these adjustments as a reduction to revenue and an increase to other accrued liabilities.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Senior Living Revenue</w:t>
      </w:r>
    </w:p>
    <w:p>
      <w:pPr>
        <w:spacing w:after="0" w:line="256"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 xml:space="preserve">The Company has elected the lessor practical expedient within ASC Topic 842, </w:t>
      </w:r>
      <w:r>
        <w:rPr>
          <w:rFonts w:ascii="Arial" w:cs="Arial" w:eastAsia="Arial" w:hAnsi="Arial"/>
          <w:sz w:val="18"/>
          <w:szCs w:val="18"/>
          <w:i w:val="1"/>
          <w:iCs w:val="1"/>
          <w:color w:val="auto"/>
        </w:rPr>
        <w:t>Leases</w:t>
      </w:r>
      <w:r>
        <w:rPr>
          <w:rFonts w:ascii="Arial" w:cs="Arial" w:eastAsia="Arial" w:hAnsi="Arial"/>
          <w:sz w:val="18"/>
          <w:szCs w:val="18"/>
          <w:color w:val="auto"/>
        </w:rPr>
        <w:t xml:space="preserve"> (“ASC 842”) and therefore recognizes, measures, presents, and discloses the revenue for services rendered under the Company’s senior living residency agreements based upon the predominant component, either the lease or non-lease component, of the contracts. The Company has determined that the services included under the Company’s senior living residency agreements each have the same timing and pattern of transfer. The Company recognizes revenue under ASC Topic 606, </w:t>
      </w:r>
      <w:r>
        <w:rPr>
          <w:rFonts w:ascii="Arial" w:cs="Arial" w:eastAsia="Arial" w:hAnsi="Arial"/>
          <w:sz w:val="18"/>
          <w:szCs w:val="18"/>
          <w:i w:val="1"/>
          <w:iCs w:val="1"/>
          <w:color w:val="auto"/>
        </w:rPr>
        <w:t>Revenue from Contracts with</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Customers </w:t>
      </w:r>
      <w:r>
        <w:rPr>
          <w:rFonts w:ascii="Arial" w:cs="Arial" w:eastAsia="Arial" w:hAnsi="Arial"/>
          <w:sz w:val="18"/>
          <w:szCs w:val="18"/>
          <w:color w:val="auto"/>
        </w:rPr>
        <w:t>for its senior residency agreements, for which it has determined that the non-lease components of such residency agreements are the</w:t>
      </w:r>
      <w:r>
        <w:rPr>
          <w:rFonts w:ascii="Arial" w:cs="Arial" w:eastAsia="Arial" w:hAnsi="Arial"/>
          <w:sz w:val="18"/>
          <w:szCs w:val="18"/>
          <w:i w:val="1"/>
          <w:iCs w:val="1"/>
          <w:color w:val="auto"/>
        </w:rPr>
        <w:t xml:space="preserve"> </w:t>
      </w:r>
      <w:r>
        <w:rPr>
          <w:rFonts w:ascii="Arial" w:cs="Arial" w:eastAsia="Arial" w:hAnsi="Arial"/>
          <w:sz w:val="18"/>
          <w:szCs w:val="18"/>
          <w:color w:val="auto"/>
        </w:rPr>
        <w:t>predominant component of each such contract.</w:t>
      </w:r>
    </w:p>
    <w:p>
      <w:pPr>
        <w:spacing w:after="0" w:line="219"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The Company’s senior living revenue consists of fees for basic housing and assisted living care. Accordingly, the Company records revenue when services are rendered on the date services are provided at amounts billable to individual residents. Residency agreements are generally for a term of 30 days, with resident fees billed monthly in advance. For residents under reimbursement arrangements with Medicaid, revenue is recorded based on contractually agreed-upon amounts or rates on a per resident, daily basis or as services are rendered.</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Revenue By Payor</w:t>
      </w:r>
    </w:p>
    <w:p>
      <w:pPr>
        <w:spacing w:after="0" w:line="25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Revenue by payor for the three months ended September 30, 2022 and 2021, is summarized in the following tables:</w:t>
      </w:r>
    </w:p>
    <w:p>
      <w:pPr>
        <w:spacing w:after="0" w:line="28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32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46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5180" w:type="dxa"/>
            <w:vAlign w:val="bottom"/>
            <w:tcBorders>
              <w:bottom w:val="single" w:sz="8" w:color="auto"/>
            </w:tcBorders>
            <w:gridSpan w:val="8"/>
          </w:tcPr>
          <w:p>
            <w:pPr>
              <w:ind w:left="940"/>
              <w:spacing w:after="0"/>
              <w:rPr>
                <w:sz w:val="20"/>
                <w:szCs w:val="20"/>
                <w:color w:val="auto"/>
              </w:rPr>
            </w:pPr>
            <w:r>
              <w:rPr>
                <w:rFonts w:ascii="Arial" w:cs="Arial" w:eastAsia="Arial" w:hAnsi="Arial"/>
                <w:sz w:val="18"/>
                <w:szCs w:val="18"/>
                <w:b w:val="1"/>
                <w:bCs w:val="1"/>
                <w:color w:val="auto"/>
              </w:rPr>
              <w:t>Three Months Ended September 30, 2022</w:t>
            </w:r>
          </w:p>
        </w:tc>
        <w:tc>
          <w:tcPr>
            <w:tcW w:w="1820" w:type="dxa"/>
            <w:vAlign w:val="bottom"/>
            <w:tcBorders>
              <w:bottom w:val="single" w:sz="8" w:color="auto"/>
            </w:tcBorders>
          </w:tcPr>
          <w:p>
            <w:pPr>
              <w:spacing w:after="0"/>
              <w:rPr>
                <w:sz w:val="20"/>
                <w:szCs w:val="20"/>
                <w:color w:val="auto"/>
              </w:rPr>
            </w:pPr>
          </w:p>
        </w:tc>
      </w:tr>
      <w:tr>
        <w:trPr>
          <w:trHeight w:val="223"/>
        </w:trPr>
        <w:tc>
          <w:tcPr>
            <w:tcW w:w="23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340" w:type="dxa"/>
            <w:vAlign w:val="bottom"/>
            <w:gridSpan w:val="5"/>
          </w:tcPr>
          <w:p>
            <w:pPr>
              <w:ind w:left="160"/>
              <w:spacing w:after="0"/>
              <w:rPr>
                <w:sz w:val="20"/>
                <w:szCs w:val="20"/>
                <w:color w:val="auto"/>
              </w:rPr>
            </w:pPr>
            <w:r>
              <w:rPr>
                <w:rFonts w:ascii="Arial" w:cs="Arial" w:eastAsia="Arial" w:hAnsi="Arial"/>
                <w:sz w:val="18"/>
                <w:szCs w:val="18"/>
                <w:b w:val="1"/>
                <w:bCs w:val="1"/>
                <w:color w:val="auto"/>
              </w:rPr>
              <w:t>Home Health and Hospice Services</w:t>
            </w:r>
          </w:p>
        </w:tc>
        <w:tc>
          <w:tcPr>
            <w:tcW w:w="20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20" w:type="dxa"/>
            <w:vAlign w:val="bottom"/>
          </w:tcPr>
          <w:p>
            <w:pPr>
              <w:spacing w:after="0"/>
              <w:rPr>
                <w:sz w:val="19"/>
                <w:szCs w:val="19"/>
                <w:color w:val="auto"/>
              </w:rPr>
            </w:pPr>
          </w:p>
        </w:tc>
      </w:tr>
      <w:tr>
        <w:trPr>
          <w:trHeight w:val="169"/>
        </w:trPr>
        <w:tc>
          <w:tcPr>
            <w:tcW w:w="2320" w:type="dxa"/>
            <w:vAlign w:val="bottom"/>
          </w:tcPr>
          <w:p>
            <w:pPr>
              <w:spacing w:after="0"/>
              <w:rPr>
                <w:sz w:val="14"/>
                <w:szCs w:val="14"/>
                <w:color w:val="auto"/>
              </w:rPr>
            </w:pPr>
          </w:p>
        </w:tc>
        <w:tc>
          <w:tcPr>
            <w:tcW w:w="200" w:type="dxa"/>
            <w:vAlign w:val="bottom"/>
            <w:tcBorders>
              <w:top w:val="single" w:sz="8" w:color="auto"/>
            </w:tcBorders>
          </w:tcPr>
          <w:p>
            <w:pPr>
              <w:spacing w:after="0"/>
              <w:rPr>
                <w:sz w:val="14"/>
                <w:szCs w:val="14"/>
                <w:color w:val="auto"/>
              </w:rPr>
            </w:pPr>
          </w:p>
        </w:tc>
        <w:tc>
          <w:tcPr>
            <w:tcW w:w="1560" w:type="dxa"/>
            <w:vAlign w:val="bottom"/>
            <w:tcBorders>
              <w:top w:val="single" w:sz="8" w:color="auto"/>
            </w:tcBorders>
            <w:gridSpan w:val="2"/>
          </w:tcPr>
          <w:p>
            <w:pPr>
              <w:jc w:val="center"/>
              <w:ind w:right="300"/>
              <w:spacing w:after="0" w:line="169" w:lineRule="exact"/>
              <w:rPr>
                <w:sz w:val="20"/>
                <w:szCs w:val="20"/>
                <w:color w:val="auto"/>
              </w:rPr>
            </w:pPr>
            <w:r>
              <w:rPr>
                <w:rFonts w:ascii="Arial" w:cs="Arial" w:eastAsia="Arial" w:hAnsi="Arial"/>
                <w:sz w:val="18"/>
                <w:szCs w:val="18"/>
                <w:b w:val="1"/>
                <w:bCs w:val="1"/>
                <w:color w:val="auto"/>
                <w:w w:val="92"/>
              </w:rPr>
              <w:t>Home Health</w:t>
            </w:r>
          </w:p>
        </w:tc>
        <w:tc>
          <w:tcPr>
            <w:tcW w:w="160" w:type="dxa"/>
            <w:vAlign w:val="bottom"/>
            <w:tcBorders>
              <w:top w:val="single" w:sz="8" w:color="auto"/>
            </w:tcBorders>
          </w:tcPr>
          <w:p>
            <w:pPr>
              <w:spacing w:after="0"/>
              <w:rPr>
                <w:sz w:val="14"/>
                <w:szCs w:val="14"/>
                <w:color w:val="auto"/>
              </w:rPr>
            </w:pPr>
          </w:p>
        </w:tc>
        <w:tc>
          <w:tcPr>
            <w:tcW w:w="150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580" w:type="dxa"/>
            <w:vAlign w:val="bottom"/>
            <w:gridSpan w:val="2"/>
          </w:tcPr>
          <w:p>
            <w:pPr>
              <w:jc w:val="center"/>
              <w:ind w:right="320"/>
              <w:spacing w:after="0" w:line="169" w:lineRule="exact"/>
              <w:rPr>
                <w:sz w:val="20"/>
                <w:szCs w:val="20"/>
                <w:color w:val="auto"/>
              </w:rPr>
            </w:pPr>
            <w:r>
              <w:rPr>
                <w:rFonts w:ascii="Arial" w:cs="Arial" w:eastAsia="Arial" w:hAnsi="Arial"/>
                <w:sz w:val="18"/>
                <w:szCs w:val="18"/>
                <w:b w:val="1"/>
                <w:bCs w:val="1"/>
                <w:color w:val="auto"/>
                <w:w w:val="92"/>
              </w:rPr>
              <w:t>Senior Living</w:t>
            </w:r>
          </w:p>
        </w:tc>
        <w:tc>
          <w:tcPr>
            <w:tcW w:w="20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20" w:type="dxa"/>
            <w:vAlign w:val="bottom"/>
          </w:tcPr>
          <w:p>
            <w:pPr>
              <w:spacing w:after="0"/>
              <w:rPr>
                <w:sz w:val="14"/>
                <w:szCs w:val="14"/>
                <w:color w:val="auto"/>
              </w:rPr>
            </w:pPr>
          </w:p>
        </w:tc>
      </w:tr>
      <w:tr>
        <w:trPr>
          <w:trHeight w:val="243"/>
        </w:trPr>
        <w:tc>
          <w:tcPr>
            <w:tcW w:w="23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6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83"/>
              </w:rPr>
              <w:t>Services</w:t>
            </w:r>
          </w:p>
        </w:tc>
        <w:tc>
          <w:tcPr>
            <w:tcW w:w="160" w:type="dxa"/>
            <w:vAlign w:val="bottom"/>
          </w:tcPr>
          <w:p>
            <w:pPr>
              <w:spacing w:after="0"/>
              <w:rPr>
                <w:sz w:val="21"/>
                <w:szCs w:val="21"/>
                <w:color w:val="auto"/>
              </w:rPr>
            </w:pPr>
          </w:p>
        </w:tc>
        <w:tc>
          <w:tcPr>
            <w:tcW w:w="1620" w:type="dxa"/>
            <w:vAlign w:val="bottom"/>
            <w:gridSpan w:val="2"/>
          </w:tcPr>
          <w:p>
            <w:pPr>
              <w:ind w:left="40"/>
              <w:spacing w:after="0"/>
              <w:rPr>
                <w:sz w:val="20"/>
                <w:szCs w:val="20"/>
                <w:color w:val="auto"/>
              </w:rPr>
            </w:pPr>
            <w:r>
              <w:rPr>
                <w:rFonts w:ascii="Arial" w:cs="Arial" w:eastAsia="Arial" w:hAnsi="Arial"/>
                <w:sz w:val="18"/>
                <w:szCs w:val="18"/>
                <w:b w:val="1"/>
                <w:bCs w:val="1"/>
                <w:color w:val="auto"/>
              </w:rPr>
              <w:t>Hospice Services</w:t>
            </w:r>
          </w:p>
        </w:tc>
        <w:tc>
          <w:tcPr>
            <w:tcW w:w="200" w:type="dxa"/>
            <w:vAlign w:val="bottom"/>
          </w:tcPr>
          <w:p>
            <w:pPr>
              <w:spacing w:after="0"/>
              <w:rPr>
                <w:sz w:val="21"/>
                <w:szCs w:val="21"/>
                <w:color w:val="auto"/>
              </w:rPr>
            </w:pPr>
          </w:p>
        </w:tc>
        <w:tc>
          <w:tcPr>
            <w:tcW w:w="158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83"/>
              </w:rPr>
              <w:t>Services</w:t>
            </w:r>
          </w:p>
        </w:tc>
        <w:tc>
          <w:tcPr>
            <w:tcW w:w="200" w:type="dxa"/>
            <w:vAlign w:val="bottom"/>
          </w:tcPr>
          <w:p>
            <w:pPr>
              <w:spacing w:after="0"/>
              <w:rPr>
                <w:sz w:val="21"/>
                <w:szCs w:val="21"/>
                <w:color w:val="auto"/>
              </w:rPr>
            </w:pPr>
          </w:p>
        </w:tc>
        <w:tc>
          <w:tcPr>
            <w:tcW w:w="1580" w:type="dxa"/>
            <w:vAlign w:val="bottom"/>
            <w:gridSpan w:val="2"/>
          </w:tcPr>
          <w:p>
            <w:pPr>
              <w:ind w:left="80"/>
              <w:spacing w:after="0"/>
              <w:rPr>
                <w:sz w:val="20"/>
                <w:szCs w:val="20"/>
                <w:color w:val="auto"/>
              </w:rPr>
            </w:pPr>
            <w:r>
              <w:rPr>
                <w:rFonts w:ascii="Arial" w:cs="Arial" w:eastAsia="Arial" w:hAnsi="Arial"/>
                <w:sz w:val="18"/>
                <w:szCs w:val="18"/>
                <w:b w:val="1"/>
                <w:bCs w:val="1"/>
                <w:color w:val="auto"/>
              </w:rPr>
              <w:t>Total Revenue</w:t>
            </w:r>
          </w:p>
        </w:tc>
        <w:tc>
          <w:tcPr>
            <w:tcW w:w="1820" w:type="dxa"/>
            <w:vAlign w:val="bottom"/>
          </w:tcPr>
          <w:p>
            <w:pPr>
              <w:jc w:val="right"/>
              <w:ind w:right="370"/>
              <w:spacing w:after="0"/>
              <w:rPr>
                <w:sz w:val="20"/>
                <w:szCs w:val="20"/>
                <w:color w:val="auto"/>
              </w:rPr>
            </w:pPr>
            <w:r>
              <w:rPr>
                <w:rFonts w:ascii="Arial" w:cs="Arial" w:eastAsia="Arial" w:hAnsi="Arial"/>
                <w:sz w:val="18"/>
                <w:szCs w:val="18"/>
                <w:b w:val="1"/>
                <w:bCs w:val="1"/>
                <w:color w:val="auto"/>
              </w:rPr>
              <w:t>Revenue %</w:t>
            </w:r>
          </w:p>
        </w:tc>
      </w:tr>
      <w:tr>
        <w:trPr>
          <w:trHeight w:val="223"/>
        </w:trPr>
        <w:tc>
          <w:tcPr>
            <w:tcW w:w="2320" w:type="dxa"/>
            <w:vAlign w:val="bottom"/>
          </w:tcPr>
          <w:p>
            <w:pPr>
              <w:ind w:left="20"/>
              <w:spacing w:after="0"/>
              <w:rPr>
                <w:sz w:val="20"/>
                <w:szCs w:val="20"/>
                <w:color w:val="auto"/>
              </w:rPr>
            </w:pPr>
            <w:r>
              <w:rPr>
                <w:rFonts w:ascii="Arial" w:cs="Arial" w:eastAsia="Arial" w:hAnsi="Arial"/>
                <w:sz w:val="18"/>
                <w:szCs w:val="18"/>
                <w:color w:val="auto"/>
              </w:rPr>
              <w:t>Medicare</w:t>
            </w:r>
          </w:p>
        </w:tc>
        <w:tc>
          <w:tcPr>
            <w:tcW w:w="2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4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23,040</w:t>
            </w:r>
          </w:p>
        </w:tc>
        <w:tc>
          <w:tcPr>
            <w:tcW w:w="100" w:type="dxa"/>
            <w:vAlign w:val="bottom"/>
          </w:tcPr>
          <w:p>
            <w:pPr>
              <w:spacing w:after="0"/>
              <w:rPr>
                <w:sz w:val="19"/>
                <w:szCs w:val="19"/>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5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35,367</w:t>
            </w:r>
          </w:p>
        </w:tc>
        <w:tc>
          <w:tcPr>
            <w:tcW w:w="120" w:type="dxa"/>
            <w:vAlign w:val="bottom"/>
          </w:tcPr>
          <w:p>
            <w:pPr>
              <w:spacing w:after="0"/>
              <w:rPr>
                <w:sz w:val="19"/>
                <w:szCs w:val="19"/>
                <w:color w:val="auto"/>
              </w:rPr>
            </w:pPr>
          </w:p>
        </w:tc>
        <w:tc>
          <w:tcPr>
            <w:tcW w:w="2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4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2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4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58,407</w:t>
            </w:r>
          </w:p>
        </w:tc>
        <w:tc>
          <w:tcPr>
            <w:tcW w:w="120" w:type="dxa"/>
            <w:vAlign w:val="bottom"/>
          </w:tcPr>
          <w:p>
            <w:pPr>
              <w:spacing w:after="0"/>
              <w:rPr>
                <w:sz w:val="19"/>
                <w:szCs w:val="19"/>
                <w:color w:val="auto"/>
              </w:rPr>
            </w:pPr>
          </w:p>
        </w:tc>
        <w:tc>
          <w:tcPr>
            <w:tcW w:w="1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49.4 %</w:t>
            </w:r>
          </w:p>
        </w:tc>
      </w:tr>
      <w:tr>
        <w:trPr>
          <w:trHeight w:val="230"/>
        </w:trPr>
        <w:tc>
          <w:tcPr>
            <w:tcW w:w="2320" w:type="dxa"/>
            <w:vAlign w:val="bottom"/>
            <w:shd w:val="clear" w:color="auto" w:fill="CCEEFF"/>
          </w:tcPr>
          <w:p>
            <w:pPr>
              <w:ind w:left="20"/>
              <w:spacing w:after="0"/>
              <w:rPr>
                <w:sz w:val="20"/>
                <w:szCs w:val="20"/>
                <w:color w:val="auto"/>
              </w:rPr>
            </w:pPr>
            <w:r>
              <w:rPr>
                <w:rFonts w:ascii="Arial" w:cs="Arial" w:eastAsia="Arial" w:hAnsi="Arial"/>
                <w:sz w:val="18"/>
                <w:szCs w:val="18"/>
                <w:color w:val="auto"/>
              </w:rPr>
              <w:t>Medicaid</w:t>
            </w:r>
          </w:p>
        </w:tc>
        <w:tc>
          <w:tcPr>
            <w:tcW w:w="200" w:type="dxa"/>
            <w:vAlign w:val="bottom"/>
            <w:tcBorders>
              <w:bottom w:val="single" w:sz="8" w:color="auto"/>
            </w:tcBorders>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2,151</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4,065</w:t>
            </w:r>
          </w:p>
        </w:tc>
        <w:tc>
          <w:tcPr>
            <w:tcW w:w="12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9,127</w:t>
            </w:r>
          </w:p>
        </w:tc>
        <w:tc>
          <w:tcPr>
            <w:tcW w:w="12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15,343</w:t>
            </w:r>
          </w:p>
        </w:tc>
        <w:tc>
          <w:tcPr>
            <w:tcW w:w="120" w:type="dxa"/>
            <w:vAlign w:val="bottom"/>
            <w:shd w:val="clear" w:color="auto" w:fill="CCEEFF"/>
          </w:tcPr>
          <w:p>
            <w:pPr>
              <w:spacing w:after="0"/>
              <w:rPr>
                <w:sz w:val="19"/>
                <w:szCs w:val="19"/>
                <w:color w:val="auto"/>
              </w:rPr>
            </w:pPr>
          </w:p>
        </w:tc>
        <w:tc>
          <w:tcPr>
            <w:tcW w:w="18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13.0</w:t>
            </w:r>
          </w:p>
        </w:tc>
      </w:tr>
      <w:tr>
        <w:trPr>
          <w:trHeight w:val="223"/>
        </w:trPr>
        <w:tc>
          <w:tcPr>
            <w:tcW w:w="2320" w:type="dxa"/>
            <w:vAlign w:val="bottom"/>
          </w:tcPr>
          <w:p>
            <w:pPr>
              <w:ind w:left="220"/>
              <w:spacing w:after="0"/>
              <w:rPr>
                <w:sz w:val="20"/>
                <w:szCs w:val="20"/>
                <w:color w:val="auto"/>
              </w:rPr>
            </w:pPr>
            <w:r>
              <w:rPr>
                <w:rFonts w:ascii="Arial" w:cs="Arial" w:eastAsia="Arial" w:hAnsi="Arial"/>
                <w:sz w:val="18"/>
                <w:szCs w:val="18"/>
                <w:color w:val="auto"/>
              </w:rPr>
              <w:t>Subtotal</w:t>
            </w:r>
          </w:p>
        </w:tc>
        <w:tc>
          <w:tcPr>
            <w:tcW w:w="20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25,191</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39,432</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9,127</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73,750</w:t>
            </w:r>
          </w:p>
        </w:tc>
        <w:tc>
          <w:tcPr>
            <w:tcW w:w="120" w:type="dxa"/>
            <w:vAlign w:val="bottom"/>
          </w:tcPr>
          <w:p>
            <w:pPr>
              <w:spacing w:after="0"/>
              <w:rPr>
                <w:sz w:val="19"/>
                <w:szCs w:val="19"/>
                <w:color w:val="auto"/>
              </w:rPr>
            </w:pPr>
          </w:p>
        </w:tc>
        <w:tc>
          <w:tcPr>
            <w:tcW w:w="1820" w:type="dxa"/>
            <w:vAlign w:val="bottom"/>
          </w:tcPr>
          <w:p>
            <w:pPr>
              <w:jc w:val="right"/>
              <w:ind w:right="130"/>
              <w:spacing w:after="0"/>
              <w:rPr>
                <w:sz w:val="20"/>
                <w:szCs w:val="20"/>
                <w:color w:val="auto"/>
              </w:rPr>
            </w:pPr>
            <w:r>
              <w:rPr>
                <w:rFonts w:ascii="Arial" w:cs="Arial" w:eastAsia="Arial" w:hAnsi="Arial"/>
                <w:sz w:val="18"/>
                <w:szCs w:val="18"/>
                <w:color w:val="auto"/>
              </w:rPr>
              <w:t>62.4</w:t>
            </w:r>
          </w:p>
        </w:tc>
      </w:tr>
      <w:tr>
        <w:trPr>
          <w:trHeight w:val="230"/>
        </w:trPr>
        <w:tc>
          <w:tcPr>
            <w:tcW w:w="2320" w:type="dxa"/>
            <w:vAlign w:val="bottom"/>
            <w:shd w:val="clear" w:color="auto" w:fill="CCEEFF"/>
          </w:tcPr>
          <w:p>
            <w:pPr>
              <w:ind w:left="20"/>
              <w:spacing w:after="0"/>
              <w:rPr>
                <w:sz w:val="20"/>
                <w:szCs w:val="20"/>
                <w:color w:val="auto"/>
              </w:rPr>
            </w:pPr>
            <w:r>
              <w:rPr>
                <w:rFonts w:ascii="Arial" w:cs="Arial" w:eastAsia="Arial" w:hAnsi="Arial"/>
                <w:sz w:val="18"/>
                <w:szCs w:val="18"/>
                <w:color w:val="auto"/>
              </w:rPr>
              <w:t>Managed care</w:t>
            </w:r>
          </w:p>
        </w:tc>
        <w:tc>
          <w:tcPr>
            <w:tcW w:w="20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14,594</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1,062</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5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15,656</w:t>
            </w:r>
          </w:p>
        </w:tc>
        <w:tc>
          <w:tcPr>
            <w:tcW w:w="120" w:type="dxa"/>
            <w:vAlign w:val="bottom"/>
            <w:shd w:val="clear" w:color="auto" w:fill="CCEEFF"/>
          </w:tcPr>
          <w:p>
            <w:pPr>
              <w:spacing w:after="0"/>
              <w:rPr>
                <w:sz w:val="19"/>
                <w:szCs w:val="19"/>
                <w:color w:val="auto"/>
              </w:rPr>
            </w:pPr>
          </w:p>
        </w:tc>
        <w:tc>
          <w:tcPr>
            <w:tcW w:w="18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13.2</w:t>
            </w:r>
          </w:p>
        </w:tc>
      </w:tr>
      <w:tr>
        <w:trPr>
          <w:trHeight w:val="229"/>
        </w:trPr>
        <w:tc>
          <w:tcPr>
            <w:tcW w:w="2320" w:type="dxa"/>
            <w:vAlign w:val="bottom"/>
            <w:tcBorders>
              <w:bottom w:val="single" w:sz="8" w:color="CCEEFF"/>
            </w:tcBorders>
          </w:tcPr>
          <w:p>
            <w:pPr>
              <w:ind w:left="20"/>
              <w:spacing w:after="0" w:line="230" w:lineRule="exact"/>
              <w:rPr>
                <w:sz w:val="20"/>
                <w:szCs w:val="20"/>
                <w:color w:val="auto"/>
              </w:rPr>
            </w:pPr>
            <w:r>
              <w:rPr>
                <w:rFonts w:ascii="Arial" w:cs="Arial" w:eastAsia="Arial" w:hAnsi="Arial"/>
                <w:sz w:val="18"/>
                <w:szCs w:val="18"/>
                <w:color w:val="auto"/>
              </w:rPr>
              <w:t>Private and other</w:t>
            </w:r>
            <w:r>
              <w:rPr>
                <w:rFonts w:ascii="Arial" w:cs="Arial" w:eastAsia="Arial" w:hAnsi="Arial"/>
                <w:sz w:val="23"/>
                <w:szCs w:val="23"/>
                <w:color w:val="auto"/>
                <w:vertAlign w:val="superscript"/>
              </w:rPr>
              <w:t>(a)</w:t>
            </w:r>
          </w:p>
        </w:tc>
        <w:tc>
          <w:tcPr>
            <w:tcW w:w="20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5,472</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w:t>
            </w:r>
          </w:p>
        </w:tc>
        <w:tc>
          <w:tcPr>
            <w:tcW w:w="1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23,444</w:t>
            </w:r>
          </w:p>
        </w:tc>
        <w:tc>
          <w:tcPr>
            <w:tcW w:w="1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28,944</w:t>
            </w:r>
          </w:p>
        </w:tc>
        <w:tc>
          <w:tcPr>
            <w:tcW w:w="120" w:type="dxa"/>
            <w:vAlign w:val="bottom"/>
            <w:tcBorders>
              <w:bottom w:val="single" w:sz="8" w:color="CCEEFF"/>
            </w:tcBorders>
          </w:tcPr>
          <w:p>
            <w:pPr>
              <w:spacing w:after="0"/>
              <w:rPr>
                <w:sz w:val="19"/>
                <w:szCs w:val="19"/>
                <w:color w:val="auto"/>
              </w:rPr>
            </w:pPr>
          </w:p>
        </w:tc>
        <w:tc>
          <w:tcPr>
            <w:tcW w:w="18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24.4</w:t>
            </w:r>
          </w:p>
        </w:tc>
      </w:tr>
      <w:tr>
        <w:trPr>
          <w:trHeight w:val="248"/>
        </w:trPr>
        <w:tc>
          <w:tcPr>
            <w:tcW w:w="232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Total revenue</w:t>
            </w: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45,257</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40,522</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32,571</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118,350</w:t>
            </w:r>
          </w:p>
        </w:tc>
        <w:tc>
          <w:tcPr>
            <w:tcW w:w="120" w:type="dxa"/>
            <w:vAlign w:val="bottom"/>
            <w:tcBorders>
              <w:bottom w:val="single" w:sz="8" w:color="CCEEFF"/>
            </w:tcBorders>
            <w:shd w:val="clear" w:color="auto" w:fill="CCEEFF"/>
          </w:tcPr>
          <w:p>
            <w:pPr>
              <w:spacing w:after="0"/>
              <w:rPr>
                <w:sz w:val="21"/>
                <w:szCs w:val="21"/>
                <w:color w:val="auto"/>
              </w:rPr>
            </w:pPr>
          </w:p>
        </w:tc>
        <w:tc>
          <w:tcPr>
            <w:tcW w:w="1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100.0 %</w:t>
            </w:r>
          </w:p>
        </w:tc>
      </w:tr>
      <w:tr>
        <w:trPr>
          <w:trHeight w:val="20"/>
        </w:trPr>
        <w:tc>
          <w:tcPr>
            <w:tcW w:w="23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20" w:type="dxa"/>
            <w:vAlign w:val="bottom"/>
            <w:tcBorders>
              <w:top w:val="single" w:sz="8" w:color="CCEEFF"/>
              <w:bottom w:val="single" w:sz="8" w:color="auto"/>
            </w:tcBorders>
          </w:tcPr>
          <w:p>
            <w:pPr>
              <w:spacing w:after="0" w:line="20" w:lineRule="exact"/>
              <w:rPr>
                <w:sz w:val="1"/>
                <w:szCs w:val="1"/>
                <w:color w:val="auto"/>
              </w:rPr>
            </w:pPr>
          </w:p>
        </w:tc>
      </w:tr>
    </w:tbl>
    <w:p>
      <w:pPr>
        <w:spacing w:after="0" w:line="130" w:lineRule="exact"/>
        <w:rPr>
          <w:sz w:val="20"/>
          <w:szCs w:val="20"/>
          <w:color w:val="auto"/>
        </w:rPr>
      </w:pPr>
    </w:p>
    <w:p>
      <w:pPr>
        <w:ind w:left="480" w:hanging="454"/>
        <w:spacing w:after="0"/>
        <w:tabs>
          <w:tab w:leader="none" w:pos="480" w:val="left"/>
        </w:tabs>
        <w:numPr>
          <w:ilvl w:val="0"/>
          <w:numId w:val="6"/>
        </w:numPr>
        <w:rPr>
          <w:rFonts w:ascii="Arial" w:cs="Arial" w:eastAsia="Arial" w:hAnsi="Arial"/>
          <w:sz w:val="14"/>
          <w:szCs w:val="14"/>
          <w:color w:val="auto"/>
        </w:rPr>
      </w:pPr>
      <w:r>
        <w:rPr>
          <w:rFonts w:ascii="Arial" w:cs="Arial" w:eastAsia="Arial" w:hAnsi="Arial"/>
          <w:sz w:val="14"/>
          <w:szCs w:val="14"/>
          <w:color w:val="auto"/>
        </w:rPr>
        <w:t>Private and other payors in the Company’s home health and hospice services segment includes revenue from all payors generated in the Company’s home care operations.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3" w:name="page14"/>
    <w:bookmarkEnd w:id="13"/>
    <w:p>
      <w:pPr>
        <w:spacing w:after="0"/>
        <w:rPr>
          <w:sz w:val="20"/>
          <w:szCs w:val="20"/>
          <w:color w:val="auto"/>
        </w:rPr>
      </w:pPr>
      <w:r>
        <w:rPr>
          <w:rFonts w:ascii="Arial" w:cs="Arial" w:eastAsia="Arial" w:hAnsi="Arial"/>
          <w:sz w:val="18"/>
          <w:szCs w:val="18"/>
          <w:u w:val="single" w:color="auto"/>
          <w:color w:val="0000FF"/>
        </w:rPr>
        <w:t>Table of Contents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PENNANT GROUP,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CONDENSED CONSOLIDATED FINANCIAL STATEMENTS - (Continued)</w:t>
      </w:r>
    </w:p>
    <w:p>
      <w:pPr>
        <w:spacing w:after="0" w:line="200" w:lineRule="exact"/>
        <w:rPr>
          <w:sz w:val="20"/>
          <w:szCs w:val="20"/>
          <w:color w:val="auto"/>
        </w:rPr>
      </w:pPr>
    </w:p>
    <w:p>
      <w:pPr>
        <w:spacing w:after="0" w:line="35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28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46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5160" w:type="dxa"/>
            <w:vAlign w:val="bottom"/>
            <w:tcBorders>
              <w:bottom w:val="single" w:sz="8" w:color="auto"/>
            </w:tcBorders>
            <w:gridSpan w:val="8"/>
          </w:tcPr>
          <w:p>
            <w:pPr>
              <w:ind w:left="940"/>
              <w:spacing w:after="0"/>
              <w:rPr>
                <w:sz w:val="20"/>
                <w:szCs w:val="20"/>
                <w:color w:val="auto"/>
              </w:rPr>
            </w:pPr>
            <w:r>
              <w:rPr>
                <w:rFonts w:ascii="Arial" w:cs="Arial" w:eastAsia="Arial" w:hAnsi="Arial"/>
                <w:sz w:val="18"/>
                <w:szCs w:val="18"/>
                <w:b w:val="1"/>
                <w:bCs w:val="1"/>
                <w:color w:val="auto"/>
              </w:rPr>
              <w:t>Three Months Ended September 30, 2021</w:t>
            </w:r>
          </w:p>
        </w:tc>
        <w:tc>
          <w:tcPr>
            <w:tcW w:w="1820" w:type="dxa"/>
            <w:vAlign w:val="bottom"/>
            <w:tcBorders>
              <w:bottom w:val="single" w:sz="8" w:color="auto"/>
            </w:tcBorders>
          </w:tcPr>
          <w:p>
            <w:pPr>
              <w:spacing w:after="0"/>
              <w:rPr>
                <w:sz w:val="20"/>
                <w:szCs w:val="20"/>
                <w:color w:val="auto"/>
              </w:rPr>
            </w:pPr>
          </w:p>
        </w:tc>
      </w:tr>
      <w:tr>
        <w:trPr>
          <w:trHeight w:val="223"/>
        </w:trPr>
        <w:tc>
          <w:tcPr>
            <w:tcW w:w="22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340" w:type="dxa"/>
            <w:vAlign w:val="bottom"/>
            <w:gridSpan w:val="5"/>
          </w:tcPr>
          <w:p>
            <w:pPr>
              <w:ind w:left="160"/>
              <w:spacing w:after="0"/>
              <w:rPr>
                <w:sz w:val="20"/>
                <w:szCs w:val="20"/>
                <w:color w:val="auto"/>
              </w:rPr>
            </w:pPr>
            <w:r>
              <w:rPr>
                <w:rFonts w:ascii="Arial" w:cs="Arial" w:eastAsia="Arial" w:hAnsi="Arial"/>
                <w:sz w:val="18"/>
                <w:szCs w:val="18"/>
                <w:b w:val="1"/>
                <w:bCs w:val="1"/>
                <w:color w:val="auto"/>
              </w:rPr>
              <w:t>Home Health and Hospice Services</w:t>
            </w:r>
          </w:p>
        </w:tc>
        <w:tc>
          <w:tcPr>
            <w:tcW w:w="20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20" w:type="dxa"/>
            <w:vAlign w:val="bottom"/>
          </w:tcPr>
          <w:p>
            <w:pPr>
              <w:spacing w:after="0"/>
              <w:rPr>
                <w:sz w:val="19"/>
                <w:szCs w:val="19"/>
                <w:color w:val="auto"/>
              </w:rPr>
            </w:pPr>
          </w:p>
        </w:tc>
      </w:tr>
      <w:tr>
        <w:trPr>
          <w:trHeight w:val="169"/>
        </w:trPr>
        <w:tc>
          <w:tcPr>
            <w:tcW w:w="2280" w:type="dxa"/>
            <w:vAlign w:val="bottom"/>
          </w:tcPr>
          <w:p>
            <w:pPr>
              <w:spacing w:after="0"/>
              <w:rPr>
                <w:sz w:val="14"/>
                <w:szCs w:val="14"/>
                <w:color w:val="auto"/>
              </w:rPr>
            </w:pPr>
          </w:p>
        </w:tc>
        <w:tc>
          <w:tcPr>
            <w:tcW w:w="200" w:type="dxa"/>
            <w:vAlign w:val="bottom"/>
            <w:tcBorders>
              <w:top w:val="single" w:sz="8" w:color="auto"/>
            </w:tcBorders>
          </w:tcPr>
          <w:p>
            <w:pPr>
              <w:spacing w:after="0"/>
              <w:rPr>
                <w:sz w:val="14"/>
                <w:szCs w:val="14"/>
                <w:color w:val="auto"/>
              </w:rPr>
            </w:pPr>
          </w:p>
        </w:tc>
        <w:tc>
          <w:tcPr>
            <w:tcW w:w="1560" w:type="dxa"/>
            <w:vAlign w:val="bottom"/>
            <w:tcBorders>
              <w:top w:val="single" w:sz="8" w:color="auto"/>
            </w:tcBorders>
            <w:gridSpan w:val="2"/>
          </w:tcPr>
          <w:p>
            <w:pPr>
              <w:jc w:val="center"/>
              <w:ind w:right="300"/>
              <w:spacing w:after="0" w:line="169" w:lineRule="exact"/>
              <w:rPr>
                <w:sz w:val="20"/>
                <w:szCs w:val="20"/>
                <w:color w:val="auto"/>
              </w:rPr>
            </w:pPr>
            <w:r>
              <w:rPr>
                <w:rFonts w:ascii="Arial" w:cs="Arial" w:eastAsia="Arial" w:hAnsi="Arial"/>
                <w:sz w:val="18"/>
                <w:szCs w:val="18"/>
                <w:b w:val="1"/>
                <w:bCs w:val="1"/>
                <w:color w:val="auto"/>
                <w:w w:val="92"/>
              </w:rPr>
              <w:t>Home Health</w:t>
            </w:r>
          </w:p>
        </w:tc>
        <w:tc>
          <w:tcPr>
            <w:tcW w:w="160" w:type="dxa"/>
            <w:vAlign w:val="bottom"/>
            <w:tcBorders>
              <w:top w:val="single" w:sz="8" w:color="auto"/>
            </w:tcBorders>
          </w:tcPr>
          <w:p>
            <w:pPr>
              <w:spacing w:after="0"/>
              <w:rPr>
                <w:sz w:val="14"/>
                <w:szCs w:val="14"/>
                <w:color w:val="auto"/>
              </w:rPr>
            </w:pPr>
          </w:p>
        </w:tc>
        <w:tc>
          <w:tcPr>
            <w:tcW w:w="150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560" w:type="dxa"/>
            <w:vAlign w:val="bottom"/>
            <w:gridSpan w:val="2"/>
          </w:tcPr>
          <w:p>
            <w:pPr>
              <w:jc w:val="center"/>
              <w:ind w:right="320"/>
              <w:spacing w:after="0" w:line="169" w:lineRule="exact"/>
              <w:rPr>
                <w:sz w:val="20"/>
                <w:szCs w:val="20"/>
                <w:color w:val="auto"/>
              </w:rPr>
            </w:pPr>
            <w:r>
              <w:rPr>
                <w:rFonts w:ascii="Arial" w:cs="Arial" w:eastAsia="Arial" w:hAnsi="Arial"/>
                <w:sz w:val="18"/>
                <w:szCs w:val="18"/>
                <w:b w:val="1"/>
                <w:bCs w:val="1"/>
                <w:color w:val="auto"/>
                <w:w w:val="91"/>
              </w:rPr>
              <w:t>Senior Living</w:t>
            </w:r>
          </w:p>
        </w:tc>
        <w:tc>
          <w:tcPr>
            <w:tcW w:w="20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20" w:type="dxa"/>
            <w:vAlign w:val="bottom"/>
          </w:tcPr>
          <w:p>
            <w:pPr>
              <w:spacing w:after="0"/>
              <w:rPr>
                <w:sz w:val="14"/>
                <w:szCs w:val="14"/>
                <w:color w:val="auto"/>
              </w:rPr>
            </w:pPr>
          </w:p>
        </w:tc>
      </w:tr>
      <w:tr>
        <w:trPr>
          <w:trHeight w:val="243"/>
        </w:trPr>
        <w:tc>
          <w:tcPr>
            <w:tcW w:w="22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6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83"/>
              </w:rPr>
              <w:t>Services</w:t>
            </w:r>
          </w:p>
        </w:tc>
        <w:tc>
          <w:tcPr>
            <w:tcW w:w="160" w:type="dxa"/>
            <w:vAlign w:val="bottom"/>
          </w:tcPr>
          <w:p>
            <w:pPr>
              <w:spacing w:after="0"/>
              <w:rPr>
                <w:sz w:val="21"/>
                <w:szCs w:val="21"/>
                <w:color w:val="auto"/>
              </w:rPr>
            </w:pPr>
          </w:p>
        </w:tc>
        <w:tc>
          <w:tcPr>
            <w:tcW w:w="1620" w:type="dxa"/>
            <w:vAlign w:val="bottom"/>
            <w:gridSpan w:val="2"/>
          </w:tcPr>
          <w:p>
            <w:pPr>
              <w:ind w:left="40"/>
              <w:spacing w:after="0"/>
              <w:rPr>
                <w:sz w:val="20"/>
                <w:szCs w:val="20"/>
                <w:color w:val="auto"/>
              </w:rPr>
            </w:pPr>
            <w:r>
              <w:rPr>
                <w:rFonts w:ascii="Arial" w:cs="Arial" w:eastAsia="Arial" w:hAnsi="Arial"/>
                <w:sz w:val="18"/>
                <w:szCs w:val="18"/>
                <w:b w:val="1"/>
                <w:bCs w:val="1"/>
                <w:color w:val="auto"/>
              </w:rPr>
              <w:t>Hospice Services</w:t>
            </w:r>
          </w:p>
        </w:tc>
        <w:tc>
          <w:tcPr>
            <w:tcW w:w="200" w:type="dxa"/>
            <w:vAlign w:val="bottom"/>
          </w:tcPr>
          <w:p>
            <w:pPr>
              <w:spacing w:after="0"/>
              <w:rPr>
                <w:sz w:val="21"/>
                <w:szCs w:val="21"/>
                <w:color w:val="auto"/>
              </w:rPr>
            </w:pPr>
          </w:p>
        </w:tc>
        <w:tc>
          <w:tcPr>
            <w:tcW w:w="156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86"/>
              </w:rPr>
              <w:t>Services</w:t>
            </w:r>
          </w:p>
        </w:tc>
        <w:tc>
          <w:tcPr>
            <w:tcW w:w="200" w:type="dxa"/>
            <w:vAlign w:val="bottom"/>
          </w:tcPr>
          <w:p>
            <w:pPr>
              <w:spacing w:after="0"/>
              <w:rPr>
                <w:sz w:val="21"/>
                <w:szCs w:val="21"/>
                <w:color w:val="auto"/>
              </w:rPr>
            </w:pPr>
          </w:p>
        </w:tc>
        <w:tc>
          <w:tcPr>
            <w:tcW w:w="1580" w:type="dxa"/>
            <w:vAlign w:val="bottom"/>
            <w:gridSpan w:val="2"/>
          </w:tcPr>
          <w:p>
            <w:pPr>
              <w:ind w:left="80"/>
              <w:spacing w:after="0"/>
              <w:rPr>
                <w:sz w:val="20"/>
                <w:szCs w:val="20"/>
                <w:color w:val="auto"/>
              </w:rPr>
            </w:pPr>
            <w:r>
              <w:rPr>
                <w:rFonts w:ascii="Arial" w:cs="Arial" w:eastAsia="Arial" w:hAnsi="Arial"/>
                <w:sz w:val="18"/>
                <w:szCs w:val="18"/>
                <w:b w:val="1"/>
                <w:bCs w:val="1"/>
                <w:color w:val="auto"/>
              </w:rPr>
              <w:t>Total Revenue</w:t>
            </w:r>
          </w:p>
        </w:tc>
        <w:tc>
          <w:tcPr>
            <w:tcW w:w="1820" w:type="dxa"/>
            <w:vAlign w:val="bottom"/>
          </w:tcPr>
          <w:p>
            <w:pPr>
              <w:jc w:val="right"/>
              <w:ind w:right="370"/>
              <w:spacing w:after="0"/>
              <w:rPr>
                <w:sz w:val="20"/>
                <w:szCs w:val="20"/>
                <w:color w:val="auto"/>
              </w:rPr>
            </w:pPr>
            <w:r>
              <w:rPr>
                <w:rFonts w:ascii="Arial" w:cs="Arial" w:eastAsia="Arial" w:hAnsi="Arial"/>
                <w:sz w:val="18"/>
                <w:szCs w:val="18"/>
                <w:b w:val="1"/>
                <w:bCs w:val="1"/>
                <w:color w:val="auto"/>
              </w:rPr>
              <w:t>Revenue %</w:t>
            </w:r>
          </w:p>
        </w:tc>
      </w:tr>
      <w:tr>
        <w:trPr>
          <w:trHeight w:val="223"/>
        </w:trPr>
        <w:tc>
          <w:tcPr>
            <w:tcW w:w="2280" w:type="dxa"/>
            <w:vAlign w:val="bottom"/>
          </w:tcPr>
          <w:p>
            <w:pPr>
              <w:ind w:left="20"/>
              <w:spacing w:after="0"/>
              <w:rPr>
                <w:sz w:val="20"/>
                <w:szCs w:val="20"/>
                <w:color w:val="auto"/>
              </w:rPr>
            </w:pPr>
            <w:r>
              <w:rPr>
                <w:rFonts w:ascii="Arial" w:cs="Arial" w:eastAsia="Arial" w:hAnsi="Arial"/>
                <w:sz w:val="18"/>
                <w:szCs w:val="18"/>
                <w:color w:val="auto"/>
              </w:rPr>
              <w:t>Medicare</w:t>
            </w:r>
          </w:p>
        </w:tc>
        <w:tc>
          <w:tcPr>
            <w:tcW w:w="2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4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20,227</w:t>
            </w:r>
          </w:p>
        </w:tc>
        <w:tc>
          <w:tcPr>
            <w:tcW w:w="100" w:type="dxa"/>
            <w:vAlign w:val="bottom"/>
          </w:tcPr>
          <w:p>
            <w:pPr>
              <w:spacing w:after="0"/>
              <w:rPr>
                <w:sz w:val="19"/>
                <w:szCs w:val="19"/>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5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35,059</w:t>
            </w:r>
          </w:p>
        </w:tc>
        <w:tc>
          <w:tcPr>
            <w:tcW w:w="120" w:type="dxa"/>
            <w:vAlign w:val="bottom"/>
          </w:tcPr>
          <w:p>
            <w:pPr>
              <w:spacing w:after="0"/>
              <w:rPr>
                <w:sz w:val="19"/>
                <w:szCs w:val="19"/>
                <w:color w:val="auto"/>
              </w:rPr>
            </w:pPr>
          </w:p>
        </w:tc>
        <w:tc>
          <w:tcPr>
            <w:tcW w:w="2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4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2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4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55,286</w:t>
            </w:r>
          </w:p>
        </w:tc>
        <w:tc>
          <w:tcPr>
            <w:tcW w:w="100" w:type="dxa"/>
            <w:vAlign w:val="bottom"/>
          </w:tcPr>
          <w:p>
            <w:pPr>
              <w:spacing w:after="0"/>
              <w:rPr>
                <w:sz w:val="19"/>
                <w:szCs w:val="19"/>
                <w:color w:val="auto"/>
              </w:rPr>
            </w:pPr>
          </w:p>
        </w:tc>
        <w:tc>
          <w:tcPr>
            <w:tcW w:w="1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49.4 %</w:t>
            </w:r>
          </w:p>
        </w:tc>
      </w:tr>
      <w:tr>
        <w:trPr>
          <w:trHeight w:val="229"/>
        </w:trPr>
        <w:tc>
          <w:tcPr>
            <w:tcW w:w="2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Medicaid</w:t>
            </w:r>
          </w:p>
        </w:tc>
        <w:tc>
          <w:tcPr>
            <w:tcW w:w="200" w:type="dxa"/>
            <w:vAlign w:val="bottom"/>
            <w:tcBorders>
              <w:bottom w:val="single" w:sz="8" w:color="auto"/>
            </w:tcBorders>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1,938</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3,074</w:t>
            </w:r>
          </w:p>
        </w:tc>
        <w:tc>
          <w:tcPr>
            <w:tcW w:w="12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9,330</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14,342</w:t>
            </w:r>
          </w:p>
        </w:tc>
        <w:tc>
          <w:tcPr>
            <w:tcW w:w="100" w:type="dxa"/>
            <w:vAlign w:val="bottom"/>
            <w:shd w:val="clear" w:color="auto" w:fill="CCEEFF"/>
          </w:tcPr>
          <w:p>
            <w:pPr>
              <w:spacing w:after="0"/>
              <w:rPr>
                <w:sz w:val="19"/>
                <w:szCs w:val="19"/>
                <w:color w:val="auto"/>
              </w:rPr>
            </w:pPr>
          </w:p>
        </w:tc>
        <w:tc>
          <w:tcPr>
            <w:tcW w:w="18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12.8</w:t>
            </w:r>
          </w:p>
        </w:tc>
      </w:tr>
      <w:tr>
        <w:trPr>
          <w:trHeight w:val="223"/>
        </w:trPr>
        <w:tc>
          <w:tcPr>
            <w:tcW w:w="2280" w:type="dxa"/>
            <w:vAlign w:val="bottom"/>
          </w:tcPr>
          <w:p>
            <w:pPr>
              <w:ind w:left="220"/>
              <w:spacing w:after="0"/>
              <w:rPr>
                <w:sz w:val="20"/>
                <w:szCs w:val="20"/>
                <w:color w:val="auto"/>
              </w:rPr>
            </w:pPr>
            <w:r>
              <w:rPr>
                <w:rFonts w:ascii="Arial" w:cs="Arial" w:eastAsia="Arial" w:hAnsi="Arial"/>
                <w:sz w:val="18"/>
                <w:szCs w:val="18"/>
                <w:color w:val="auto"/>
              </w:rPr>
              <w:t>Subtotal</w:t>
            </w:r>
          </w:p>
        </w:tc>
        <w:tc>
          <w:tcPr>
            <w:tcW w:w="20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22,165</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38,133</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9,330</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69,628</w:t>
            </w:r>
          </w:p>
        </w:tc>
        <w:tc>
          <w:tcPr>
            <w:tcW w:w="100" w:type="dxa"/>
            <w:vAlign w:val="bottom"/>
          </w:tcPr>
          <w:p>
            <w:pPr>
              <w:spacing w:after="0"/>
              <w:rPr>
                <w:sz w:val="19"/>
                <w:szCs w:val="19"/>
                <w:color w:val="auto"/>
              </w:rPr>
            </w:pPr>
          </w:p>
        </w:tc>
        <w:tc>
          <w:tcPr>
            <w:tcW w:w="1820" w:type="dxa"/>
            <w:vAlign w:val="bottom"/>
          </w:tcPr>
          <w:p>
            <w:pPr>
              <w:jc w:val="right"/>
              <w:ind w:right="130"/>
              <w:spacing w:after="0"/>
              <w:rPr>
                <w:sz w:val="20"/>
                <w:szCs w:val="20"/>
                <w:color w:val="auto"/>
              </w:rPr>
            </w:pPr>
            <w:r>
              <w:rPr>
                <w:rFonts w:ascii="Arial" w:cs="Arial" w:eastAsia="Arial" w:hAnsi="Arial"/>
                <w:sz w:val="18"/>
                <w:szCs w:val="18"/>
                <w:color w:val="auto"/>
              </w:rPr>
              <w:t>62.2</w:t>
            </w:r>
          </w:p>
        </w:tc>
      </w:tr>
      <w:tr>
        <w:trPr>
          <w:trHeight w:val="229"/>
        </w:trPr>
        <w:tc>
          <w:tcPr>
            <w:tcW w:w="2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Managed care</w:t>
            </w:r>
          </w:p>
        </w:tc>
        <w:tc>
          <w:tcPr>
            <w:tcW w:w="20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11,969</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879</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5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12,848</w:t>
            </w:r>
          </w:p>
        </w:tc>
        <w:tc>
          <w:tcPr>
            <w:tcW w:w="100" w:type="dxa"/>
            <w:vAlign w:val="bottom"/>
            <w:shd w:val="clear" w:color="auto" w:fill="CCEEFF"/>
          </w:tcPr>
          <w:p>
            <w:pPr>
              <w:spacing w:after="0"/>
              <w:rPr>
                <w:sz w:val="19"/>
                <w:szCs w:val="19"/>
                <w:color w:val="auto"/>
              </w:rPr>
            </w:pPr>
          </w:p>
        </w:tc>
        <w:tc>
          <w:tcPr>
            <w:tcW w:w="18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11.5</w:t>
            </w:r>
          </w:p>
        </w:tc>
      </w:tr>
      <w:tr>
        <w:trPr>
          <w:trHeight w:val="230"/>
        </w:trPr>
        <w:tc>
          <w:tcPr>
            <w:tcW w:w="2280" w:type="dxa"/>
            <w:vAlign w:val="bottom"/>
            <w:tcBorders>
              <w:bottom w:val="single" w:sz="8" w:color="CCEEFF"/>
            </w:tcBorders>
          </w:tcPr>
          <w:p>
            <w:pPr>
              <w:ind w:left="20"/>
              <w:spacing w:after="0" w:line="230" w:lineRule="exact"/>
              <w:rPr>
                <w:sz w:val="20"/>
                <w:szCs w:val="20"/>
                <w:color w:val="auto"/>
              </w:rPr>
            </w:pPr>
            <w:r>
              <w:rPr>
                <w:rFonts w:ascii="Arial" w:cs="Arial" w:eastAsia="Arial" w:hAnsi="Arial"/>
                <w:sz w:val="18"/>
                <w:szCs w:val="18"/>
                <w:color w:val="auto"/>
              </w:rPr>
              <w:t>Private and other</w:t>
            </w:r>
            <w:r>
              <w:rPr>
                <w:rFonts w:ascii="Arial" w:cs="Arial" w:eastAsia="Arial" w:hAnsi="Arial"/>
                <w:sz w:val="23"/>
                <w:szCs w:val="23"/>
                <w:color w:val="auto"/>
                <w:vertAlign w:val="superscript"/>
              </w:rPr>
              <w:t>(a)</w:t>
            </w:r>
          </w:p>
        </w:tc>
        <w:tc>
          <w:tcPr>
            <w:tcW w:w="20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5,800</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w:t>
            </w:r>
          </w:p>
        </w:tc>
        <w:tc>
          <w:tcPr>
            <w:tcW w:w="1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23,588</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29,445</w:t>
            </w:r>
          </w:p>
        </w:tc>
        <w:tc>
          <w:tcPr>
            <w:tcW w:w="100" w:type="dxa"/>
            <w:vAlign w:val="bottom"/>
            <w:tcBorders>
              <w:bottom w:val="single" w:sz="8" w:color="CCEEFF"/>
            </w:tcBorders>
          </w:tcPr>
          <w:p>
            <w:pPr>
              <w:spacing w:after="0"/>
              <w:rPr>
                <w:sz w:val="19"/>
                <w:szCs w:val="19"/>
                <w:color w:val="auto"/>
              </w:rPr>
            </w:pPr>
          </w:p>
        </w:tc>
        <w:tc>
          <w:tcPr>
            <w:tcW w:w="18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26.3</w:t>
            </w:r>
          </w:p>
        </w:tc>
      </w:tr>
      <w:tr>
        <w:trPr>
          <w:trHeight w:val="248"/>
        </w:trPr>
        <w:tc>
          <w:tcPr>
            <w:tcW w:w="228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Total revenue</w:t>
            </w: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39,934</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39,069</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32,918</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111,921</w:t>
            </w:r>
          </w:p>
        </w:tc>
        <w:tc>
          <w:tcPr>
            <w:tcW w:w="100" w:type="dxa"/>
            <w:vAlign w:val="bottom"/>
            <w:tcBorders>
              <w:bottom w:val="single" w:sz="8" w:color="CCEEFF"/>
            </w:tcBorders>
            <w:shd w:val="clear" w:color="auto" w:fill="CCEEFF"/>
          </w:tcPr>
          <w:p>
            <w:pPr>
              <w:spacing w:after="0"/>
              <w:rPr>
                <w:sz w:val="21"/>
                <w:szCs w:val="21"/>
                <w:color w:val="auto"/>
              </w:rPr>
            </w:pPr>
          </w:p>
        </w:tc>
        <w:tc>
          <w:tcPr>
            <w:tcW w:w="1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100.0 %</w:t>
            </w:r>
          </w:p>
        </w:tc>
      </w:tr>
      <w:tr>
        <w:trPr>
          <w:trHeight w:val="20"/>
        </w:trPr>
        <w:tc>
          <w:tcPr>
            <w:tcW w:w="22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20" w:type="dxa"/>
            <w:vAlign w:val="bottom"/>
            <w:tcBorders>
              <w:top w:val="single" w:sz="8" w:color="CCEEFF"/>
              <w:bottom w:val="single" w:sz="8" w:color="auto"/>
            </w:tcBorders>
          </w:tcPr>
          <w:p>
            <w:pPr>
              <w:spacing w:after="0" w:line="20" w:lineRule="exact"/>
              <w:rPr>
                <w:sz w:val="1"/>
                <w:szCs w:val="1"/>
                <w:color w:val="auto"/>
              </w:rPr>
            </w:pPr>
          </w:p>
        </w:tc>
      </w:tr>
    </w:tbl>
    <w:p>
      <w:pPr>
        <w:spacing w:after="0" w:line="130" w:lineRule="exact"/>
        <w:rPr>
          <w:sz w:val="20"/>
          <w:szCs w:val="20"/>
          <w:color w:val="auto"/>
        </w:rPr>
      </w:pPr>
    </w:p>
    <w:p>
      <w:pPr>
        <w:ind w:left="480" w:hanging="454"/>
        <w:spacing w:after="0"/>
        <w:tabs>
          <w:tab w:leader="none" w:pos="480" w:val="left"/>
        </w:tabs>
        <w:numPr>
          <w:ilvl w:val="0"/>
          <w:numId w:val="7"/>
        </w:numPr>
        <w:rPr>
          <w:rFonts w:ascii="Arial" w:cs="Arial" w:eastAsia="Arial" w:hAnsi="Arial"/>
          <w:sz w:val="14"/>
          <w:szCs w:val="14"/>
          <w:color w:val="auto"/>
        </w:rPr>
      </w:pPr>
      <w:r>
        <w:rPr>
          <w:rFonts w:ascii="Arial" w:cs="Arial" w:eastAsia="Arial" w:hAnsi="Arial"/>
          <w:sz w:val="14"/>
          <w:szCs w:val="14"/>
          <w:color w:val="auto"/>
        </w:rPr>
        <w:t>Private and other payors in the Company’s home health and hospice services segment includes revenue from all payors generated in the Company’s home care operations.</w:t>
      </w:r>
    </w:p>
    <w:p>
      <w:pPr>
        <w:spacing w:after="0" w:line="3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Revenue by payor for the nine months ended September 30, 2022 and 2021, is summarized in the following tables:</w:t>
      </w:r>
    </w:p>
    <w:p>
      <w:pPr>
        <w:spacing w:after="0" w:line="28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30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5200" w:type="dxa"/>
            <w:vAlign w:val="bottom"/>
            <w:tcBorders>
              <w:bottom w:val="single" w:sz="8" w:color="auto"/>
            </w:tcBorders>
            <w:gridSpan w:val="8"/>
          </w:tcPr>
          <w:p>
            <w:pPr>
              <w:ind w:left="1000"/>
              <w:spacing w:after="0"/>
              <w:rPr>
                <w:sz w:val="20"/>
                <w:szCs w:val="20"/>
                <w:color w:val="auto"/>
              </w:rPr>
            </w:pPr>
            <w:r>
              <w:rPr>
                <w:rFonts w:ascii="Arial" w:cs="Arial" w:eastAsia="Arial" w:hAnsi="Arial"/>
                <w:sz w:val="18"/>
                <w:szCs w:val="18"/>
                <w:b w:val="1"/>
                <w:bCs w:val="1"/>
                <w:color w:val="auto"/>
              </w:rPr>
              <w:t>Nine Months Ended September 30, 2022</w:t>
            </w:r>
          </w:p>
        </w:tc>
        <w:tc>
          <w:tcPr>
            <w:tcW w:w="1820" w:type="dxa"/>
            <w:vAlign w:val="bottom"/>
            <w:tcBorders>
              <w:bottom w:val="single" w:sz="8" w:color="auto"/>
            </w:tcBorders>
          </w:tcPr>
          <w:p>
            <w:pPr>
              <w:spacing w:after="0"/>
              <w:rPr>
                <w:sz w:val="20"/>
                <w:szCs w:val="20"/>
                <w:color w:val="auto"/>
              </w:rPr>
            </w:pPr>
          </w:p>
        </w:tc>
      </w:tr>
      <w:tr>
        <w:trPr>
          <w:trHeight w:val="223"/>
        </w:trPr>
        <w:tc>
          <w:tcPr>
            <w:tcW w:w="23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340" w:type="dxa"/>
            <w:vAlign w:val="bottom"/>
            <w:gridSpan w:val="5"/>
          </w:tcPr>
          <w:p>
            <w:pPr>
              <w:ind w:left="160"/>
              <w:spacing w:after="0"/>
              <w:rPr>
                <w:sz w:val="20"/>
                <w:szCs w:val="20"/>
                <w:color w:val="auto"/>
              </w:rPr>
            </w:pPr>
            <w:r>
              <w:rPr>
                <w:rFonts w:ascii="Arial" w:cs="Arial" w:eastAsia="Arial" w:hAnsi="Arial"/>
                <w:sz w:val="18"/>
                <w:szCs w:val="18"/>
                <w:b w:val="1"/>
                <w:bCs w:val="1"/>
                <w:color w:val="auto"/>
              </w:rPr>
              <w:t>Home Health and Hospice Services</w:t>
            </w:r>
          </w:p>
        </w:tc>
        <w:tc>
          <w:tcPr>
            <w:tcW w:w="20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20" w:type="dxa"/>
            <w:vAlign w:val="bottom"/>
          </w:tcPr>
          <w:p>
            <w:pPr>
              <w:spacing w:after="0"/>
              <w:rPr>
                <w:sz w:val="19"/>
                <w:szCs w:val="19"/>
                <w:color w:val="auto"/>
              </w:rPr>
            </w:pPr>
          </w:p>
        </w:tc>
      </w:tr>
      <w:tr>
        <w:trPr>
          <w:trHeight w:val="178"/>
        </w:trPr>
        <w:tc>
          <w:tcPr>
            <w:tcW w:w="2300" w:type="dxa"/>
            <w:vAlign w:val="bottom"/>
          </w:tcPr>
          <w:p>
            <w:pPr>
              <w:spacing w:after="0"/>
              <w:rPr>
                <w:sz w:val="15"/>
                <w:szCs w:val="15"/>
                <w:color w:val="auto"/>
              </w:rPr>
            </w:pPr>
          </w:p>
        </w:tc>
        <w:tc>
          <w:tcPr>
            <w:tcW w:w="220" w:type="dxa"/>
            <w:vAlign w:val="bottom"/>
            <w:tcBorders>
              <w:top w:val="single" w:sz="8" w:color="auto"/>
            </w:tcBorders>
          </w:tcPr>
          <w:p>
            <w:pPr>
              <w:spacing w:after="0"/>
              <w:rPr>
                <w:sz w:val="15"/>
                <w:szCs w:val="15"/>
                <w:color w:val="auto"/>
              </w:rPr>
            </w:pPr>
          </w:p>
        </w:tc>
        <w:tc>
          <w:tcPr>
            <w:tcW w:w="1560" w:type="dxa"/>
            <w:vAlign w:val="bottom"/>
            <w:tcBorders>
              <w:top w:val="single" w:sz="8" w:color="auto"/>
            </w:tcBorders>
            <w:gridSpan w:val="2"/>
          </w:tcPr>
          <w:p>
            <w:pPr>
              <w:jc w:val="center"/>
              <w:ind w:right="340"/>
              <w:spacing w:after="0" w:line="177" w:lineRule="exact"/>
              <w:rPr>
                <w:sz w:val="20"/>
                <w:szCs w:val="20"/>
                <w:color w:val="auto"/>
              </w:rPr>
            </w:pPr>
            <w:r>
              <w:rPr>
                <w:rFonts w:ascii="Arial" w:cs="Arial" w:eastAsia="Arial" w:hAnsi="Arial"/>
                <w:sz w:val="18"/>
                <w:szCs w:val="18"/>
                <w:b w:val="1"/>
                <w:bCs w:val="1"/>
                <w:color w:val="auto"/>
                <w:w w:val="92"/>
              </w:rPr>
              <w:t>Home Health</w:t>
            </w:r>
          </w:p>
        </w:tc>
        <w:tc>
          <w:tcPr>
            <w:tcW w:w="140" w:type="dxa"/>
            <w:vAlign w:val="bottom"/>
            <w:tcBorders>
              <w:top w:val="single" w:sz="8" w:color="auto"/>
            </w:tcBorders>
          </w:tcPr>
          <w:p>
            <w:pPr>
              <w:spacing w:after="0"/>
              <w:rPr>
                <w:sz w:val="15"/>
                <w:szCs w:val="15"/>
                <w:color w:val="auto"/>
              </w:rPr>
            </w:pPr>
          </w:p>
        </w:tc>
        <w:tc>
          <w:tcPr>
            <w:tcW w:w="152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580" w:type="dxa"/>
            <w:vAlign w:val="bottom"/>
            <w:gridSpan w:val="2"/>
          </w:tcPr>
          <w:p>
            <w:pPr>
              <w:jc w:val="center"/>
              <w:ind w:right="320"/>
              <w:spacing w:after="0" w:line="177" w:lineRule="exact"/>
              <w:rPr>
                <w:sz w:val="20"/>
                <w:szCs w:val="20"/>
                <w:color w:val="auto"/>
              </w:rPr>
            </w:pPr>
            <w:r>
              <w:rPr>
                <w:rFonts w:ascii="Arial" w:cs="Arial" w:eastAsia="Arial" w:hAnsi="Arial"/>
                <w:sz w:val="18"/>
                <w:szCs w:val="18"/>
                <w:b w:val="1"/>
                <w:bCs w:val="1"/>
                <w:color w:val="auto"/>
                <w:w w:val="92"/>
              </w:rPr>
              <w:t>Senior Living</w:t>
            </w:r>
          </w:p>
        </w:tc>
        <w:tc>
          <w:tcPr>
            <w:tcW w:w="20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20" w:type="dxa"/>
            <w:vAlign w:val="bottom"/>
          </w:tcPr>
          <w:p>
            <w:pPr>
              <w:spacing w:after="0"/>
              <w:rPr>
                <w:sz w:val="15"/>
                <w:szCs w:val="15"/>
                <w:color w:val="auto"/>
              </w:rPr>
            </w:pPr>
          </w:p>
        </w:tc>
      </w:tr>
      <w:tr>
        <w:trPr>
          <w:trHeight w:val="234"/>
        </w:trPr>
        <w:tc>
          <w:tcPr>
            <w:tcW w:w="23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56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83"/>
              </w:rPr>
              <w:t>Services</w:t>
            </w:r>
          </w:p>
        </w:tc>
        <w:tc>
          <w:tcPr>
            <w:tcW w:w="140" w:type="dxa"/>
            <w:vAlign w:val="bottom"/>
          </w:tcPr>
          <w:p>
            <w:pPr>
              <w:spacing w:after="0"/>
              <w:rPr>
                <w:sz w:val="20"/>
                <w:szCs w:val="20"/>
                <w:color w:val="auto"/>
              </w:rPr>
            </w:pPr>
          </w:p>
        </w:tc>
        <w:tc>
          <w:tcPr>
            <w:tcW w:w="1640" w:type="dxa"/>
            <w:vAlign w:val="bottom"/>
            <w:gridSpan w:val="2"/>
          </w:tcPr>
          <w:p>
            <w:pPr>
              <w:ind w:left="40"/>
              <w:spacing w:after="0"/>
              <w:rPr>
                <w:sz w:val="20"/>
                <w:szCs w:val="20"/>
                <w:color w:val="auto"/>
              </w:rPr>
            </w:pPr>
            <w:r>
              <w:rPr>
                <w:rFonts w:ascii="Arial" w:cs="Arial" w:eastAsia="Arial" w:hAnsi="Arial"/>
                <w:sz w:val="18"/>
                <w:szCs w:val="18"/>
                <w:b w:val="1"/>
                <w:bCs w:val="1"/>
                <w:color w:val="auto"/>
              </w:rPr>
              <w:t>Hospice Services</w:t>
            </w:r>
          </w:p>
        </w:tc>
        <w:tc>
          <w:tcPr>
            <w:tcW w:w="200" w:type="dxa"/>
            <w:vAlign w:val="bottom"/>
          </w:tcPr>
          <w:p>
            <w:pPr>
              <w:spacing w:after="0"/>
              <w:rPr>
                <w:sz w:val="20"/>
                <w:szCs w:val="20"/>
                <w:color w:val="auto"/>
              </w:rPr>
            </w:pPr>
          </w:p>
        </w:tc>
        <w:tc>
          <w:tcPr>
            <w:tcW w:w="158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83"/>
              </w:rPr>
              <w:t>Services</w:t>
            </w:r>
          </w:p>
        </w:tc>
        <w:tc>
          <w:tcPr>
            <w:tcW w:w="200" w:type="dxa"/>
            <w:vAlign w:val="bottom"/>
          </w:tcPr>
          <w:p>
            <w:pPr>
              <w:spacing w:after="0"/>
              <w:rPr>
                <w:sz w:val="20"/>
                <w:szCs w:val="20"/>
                <w:color w:val="auto"/>
              </w:rPr>
            </w:pPr>
          </w:p>
        </w:tc>
        <w:tc>
          <w:tcPr>
            <w:tcW w:w="1580" w:type="dxa"/>
            <w:vAlign w:val="bottom"/>
            <w:gridSpan w:val="2"/>
          </w:tcPr>
          <w:p>
            <w:pPr>
              <w:ind w:left="80"/>
              <w:spacing w:after="0"/>
              <w:rPr>
                <w:sz w:val="20"/>
                <w:szCs w:val="20"/>
                <w:color w:val="auto"/>
              </w:rPr>
            </w:pPr>
            <w:r>
              <w:rPr>
                <w:rFonts w:ascii="Arial" w:cs="Arial" w:eastAsia="Arial" w:hAnsi="Arial"/>
                <w:sz w:val="18"/>
                <w:szCs w:val="18"/>
                <w:b w:val="1"/>
                <w:bCs w:val="1"/>
                <w:color w:val="auto"/>
              </w:rPr>
              <w:t>Total Revenue</w:t>
            </w:r>
          </w:p>
        </w:tc>
        <w:tc>
          <w:tcPr>
            <w:tcW w:w="1820" w:type="dxa"/>
            <w:vAlign w:val="bottom"/>
          </w:tcPr>
          <w:p>
            <w:pPr>
              <w:jc w:val="right"/>
              <w:ind w:right="370"/>
              <w:spacing w:after="0"/>
              <w:rPr>
                <w:sz w:val="20"/>
                <w:szCs w:val="20"/>
                <w:color w:val="auto"/>
              </w:rPr>
            </w:pPr>
            <w:r>
              <w:rPr>
                <w:rFonts w:ascii="Arial" w:cs="Arial" w:eastAsia="Arial" w:hAnsi="Arial"/>
                <w:sz w:val="18"/>
                <w:szCs w:val="18"/>
                <w:b w:val="1"/>
                <w:bCs w:val="1"/>
                <w:color w:val="auto"/>
              </w:rPr>
              <w:t>Revenue %</w:t>
            </w:r>
          </w:p>
        </w:tc>
      </w:tr>
      <w:tr>
        <w:trPr>
          <w:trHeight w:val="223"/>
        </w:trPr>
        <w:tc>
          <w:tcPr>
            <w:tcW w:w="2300" w:type="dxa"/>
            <w:vAlign w:val="bottom"/>
          </w:tcPr>
          <w:p>
            <w:pPr>
              <w:ind w:left="20"/>
              <w:spacing w:after="0"/>
              <w:rPr>
                <w:sz w:val="20"/>
                <w:szCs w:val="20"/>
                <w:color w:val="auto"/>
              </w:rPr>
            </w:pPr>
            <w:r>
              <w:rPr>
                <w:rFonts w:ascii="Arial" w:cs="Arial" w:eastAsia="Arial" w:hAnsi="Arial"/>
                <w:sz w:val="18"/>
                <w:szCs w:val="18"/>
                <w:color w:val="auto"/>
              </w:rPr>
              <w:t>Medicare</w:t>
            </w:r>
          </w:p>
        </w:tc>
        <w:tc>
          <w:tcPr>
            <w:tcW w:w="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4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67,861</w:t>
            </w:r>
          </w:p>
        </w:tc>
        <w:tc>
          <w:tcPr>
            <w:tcW w:w="120" w:type="dxa"/>
            <w:vAlign w:val="bottom"/>
          </w:tcPr>
          <w:p>
            <w:pPr>
              <w:spacing w:after="0"/>
              <w:rPr>
                <w:sz w:val="19"/>
                <w:szCs w:val="19"/>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5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103,322</w:t>
            </w:r>
          </w:p>
        </w:tc>
        <w:tc>
          <w:tcPr>
            <w:tcW w:w="120" w:type="dxa"/>
            <w:vAlign w:val="bottom"/>
          </w:tcPr>
          <w:p>
            <w:pPr>
              <w:spacing w:after="0"/>
              <w:rPr>
                <w:sz w:val="19"/>
                <w:szCs w:val="19"/>
                <w:color w:val="auto"/>
              </w:rPr>
            </w:pPr>
          </w:p>
        </w:tc>
        <w:tc>
          <w:tcPr>
            <w:tcW w:w="2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4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2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4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171,183</w:t>
            </w:r>
          </w:p>
        </w:tc>
        <w:tc>
          <w:tcPr>
            <w:tcW w:w="120" w:type="dxa"/>
            <w:vAlign w:val="bottom"/>
          </w:tcPr>
          <w:p>
            <w:pPr>
              <w:spacing w:after="0"/>
              <w:rPr>
                <w:sz w:val="19"/>
                <w:szCs w:val="19"/>
                <w:color w:val="auto"/>
              </w:rPr>
            </w:pPr>
          </w:p>
        </w:tc>
        <w:tc>
          <w:tcPr>
            <w:tcW w:w="1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49.1 %</w:t>
            </w:r>
          </w:p>
        </w:tc>
      </w:tr>
      <w:tr>
        <w:trPr>
          <w:trHeight w:val="229"/>
        </w:trPr>
        <w:tc>
          <w:tcPr>
            <w:tcW w:w="2300" w:type="dxa"/>
            <w:vAlign w:val="bottom"/>
            <w:shd w:val="clear" w:color="auto" w:fill="CCEEFF"/>
          </w:tcPr>
          <w:p>
            <w:pPr>
              <w:ind w:left="20"/>
              <w:spacing w:after="0"/>
              <w:rPr>
                <w:sz w:val="20"/>
                <w:szCs w:val="20"/>
                <w:color w:val="auto"/>
              </w:rPr>
            </w:pPr>
            <w:r>
              <w:rPr>
                <w:rFonts w:ascii="Arial" w:cs="Arial" w:eastAsia="Arial" w:hAnsi="Arial"/>
                <w:sz w:val="18"/>
                <w:szCs w:val="18"/>
                <w:color w:val="auto"/>
              </w:rPr>
              <w:t>Medicaid</w:t>
            </w:r>
          </w:p>
        </w:tc>
        <w:tc>
          <w:tcPr>
            <w:tcW w:w="22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7,389</w:t>
            </w:r>
          </w:p>
        </w:tc>
        <w:tc>
          <w:tcPr>
            <w:tcW w:w="12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11,189</w:t>
            </w:r>
          </w:p>
        </w:tc>
        <w:tc>
          <w:tcPr>
            <w:tcW w:w="12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27,502</w:t>
            </w:r>
          </w:p>
        </w:tc>
        <w:tc>
          <w:tcPr>
            <w:tcW w:w="12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46,080</w:t>
            </w:r>
          </w:p>
        </w:tc>
        <w:tc>
          <w:tcPr>
            <w:tcW w:w="120" w:type="dxa"/>
            <w:vAlign w:val="bottom"/>
            <w:shd w:val="clear" w:color="auto" w:fill="CCEEFF"/>
          </w:tcPr>
          <w:p>
            <w:pPr>
              <w:spacing w:after="0"/>
              <w:rPr>
                <w:sz w:val="19"/>
                <w:szCs w:val="19"/>
                <w:color w:val="auto"/>
              </w:rPr>
            </w:pPr>
          </w:p>
        </w:tc>
        <w:tc>
          <w:tcPr>
            <w:tcW w:w="18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13.2</w:t>
            </w:r>
          </w:p>
        </w:tc>
      </w:tr>
      <w:tr>
        <w:trPr>
          <w:trHeight w:val="223"/>
        </w:trPr>
        <w:tc>
          <w:tcPr>
            <w:tcW w:w="2300" w:type="dxa"/>
            <w:vAlign w:val="bottom"/>
          </w:tcPr>
          <w:p>
            <w:pPr>
              <w:ind w:left="220"/>
              <w:spacing w:after="0"/>
              <w:rPr>
                <w:sz w:val="20"/>
                <w:szCs w:val="20"/>
                <w:color w:val="auto"/>
              </w:rPr>
            </w:pPr>
            <w:r>
              <w:rPr>
                <w:rFonts w:ascii="Arial" w:cs="Arial" w:eastAsia="Arial" w:hAnsi="Arial"/>
                <w:sz w:val="18"/>
                <w:szCs w:val="18"/>
                <w:color w:val="auto"/>
              </w:rPr>
              <w:t>Subtotal</w:t>
            </w:r>
          </w:p>
        </w:tc>
        <w:tc>
          <w:tcPr>
            <w:tcW w:w="22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75,250</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114,511</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27,502</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217,263</w:t>
            </w:r>
          </w:p>
        </w:tc>
        <w:tc>
          <w:tcPr>
            <w:tcW w:w="120" w:type="dxa"/>
            <w:vAlign w:val="bottom"/>
          </w:tcPr>
          <w:p>
            <w:pPr>
              <w:spacing w:after="0"/>
              <w:rPr>
                <w:sz w:val="19"/>
                <w:szCs w:val="19"/>
                <w:color w:val="auto"/>
              </w:rPr>
            </w:pPr>
          </w:p>
        </w:tc>
        <w:tc>
          <w:tcPr>
            <w:tcW w:w="1820" w:type="dxa"/>
            <w:vAlign w:val="bottom"/>
          </w:tcPr>
          <w:p>
            <w:pPr>
              <w:jc w:val="right"/>
              <w:ind w:right="130"/>
              <w:spacing w:after="0"/>
              <w:rPr>
                <w:sz w:val="20"/>
                <w:szCs w:val="20"/>
                <w:color w:val="auto"/>
              </w:rPr>
            </w:pPr>
            <w:r>
              <w:rPr>
                <w:rFonts w:ascii="Arial" w:cs="Arial" w:eastAsia="Arial" w:hAnsi="Arial"/>
                <w:sz w:val="18"/>
                <w:szCs w:val="18"/>
                <w:color w:val="auto"/>
              </w:rPr>
              <w:t>62.3</w:t>
            </w:r>
          </w:p>
        </w:tc>
      </w:tr>
      <w:tr>
        <w:trPr>
          <w:trHeight w:val="230"/>
        </w:trPr>
        <w:tc>
          <w:tcPr>
            <w:tcW w:w="2300" w:type="dxa"/>
            <w:vAlign w:val="bottom"/>
            <w:shd w:val="clear" w:color="auto" w:fill="CCEEFF"/>
          </w:tcPr>
          <w:p>
            <w:pPr>
              <w:ind w:left="20"/>
              <w:spacing w:after="0"/>
              <w:rPr>
                <w:sz w:val="20"/>
                <w:szCs w:val="20"/>
                <w:color w:val="auto"/>
              </w:rPr>
            </w:pPr>
            <w:r>
              <w:rPr>
                <w:rFonts w:ascii="Arial" w:cs="Arial" w:eastAsia="Arial" w:hAnsi="Arial"/>
                <w:sz w:val="18"/>
                <w:szCs w:val="18"/>
                <w:color w:val="auto"/>
              </w:rPr>
              <w:t>Managed care</w:t>
            </w:r>
          </w:p>
        </w:tc>
        <w:tc>
          <w:tcPr>
            <w:tcW w:w="22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42,106</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2,999</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5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45,105</w:t>
            </w:r>
          </w:p>
        </w:tc>
        <w:tc>
          <w:tcPr>
            <w:tcW w:w="120" w:type="dxa"/>
            <w:vAlign w:val="bottom"/>
            <w:shd w:val="clear" w:color="auto" w:fill="CCEEFF"/>
          </w:tcPr>
          <w:p>
            <w:pPr>
              <w:spacing w:after="0"/>
              <w:rPr>
                <w:sz w:val="19"/>
                <w:szCs w:val="19"/>
                <w:color w:val="auto"/>
              </w:rPr>
            </w:pPr>
          </w:p>
        </w:tc>
        <w:tc>
          <w:tcPr>
            <w:tcW w:w="18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13.0</w:t>
            </w:r>
          </w:p>
        </w:tc>
      </w:tr>
      <w:tr>
        <w:trPr>
          <w:trHeight w:val="230"/>
        </w:trPr>
        <w:tc>
          <w:tcPr>
            <w:tcW w:w="2300" w:type="dxa"/>
            <w:vAlign w:val="bottom"/>
            <w:tcBorders>
              <w:bottom w:val="single" w:sz="8" w:color="CCEEFF"/>
            </w:tcBorders>
          </w:tcPr>
          <w:p>
            <w:pPr>
              <w:ind w:left="20"/>
              <w:spacing w:after="0" w:line="230" w:lineRule="exact"/>
              <w:rPr>
                <w:sz w:val="20"/>
                <w:szCs w:val="20"/>
                <w:color w:val="auto"/>
              </w:rPr>
            </w:pPr>
            <w:r>
              <w:rPr>
                <w:rFonts w:ascii="Arial" w:cs="Arial" w:eastAsia="Arial" w:hAnsi="Arial"/>
                <w:sz w:val="18"/>
                <w:szCs w:val="18"/>
                <w:color w:val="auto"/>
              </w:rPr>
              <w:t>Private and other</w:t>
            </w:r>
            <w:r>
              <w:rPr>
                <w:rFonts w:ascii="Arial" w:cs="Arial" w:eastAsia="Arial" w:hAnsi="Arial"/>
                <w:sz w:val="23"/>
                <w:szCs w:val="23"/>
                <w:color w:val="auto"/>
                <w:vertAlign w:val="superscript"/>
              </w:rPr>
              <w:t>(a)</w:t>
            </w:r>
          </w:p>
        </w:tc>
        <w:tc>
          <w:tcPr>
            <w:tcW w:w="22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16,538</w:t>
            </w:r>
          </w:p>
        </w:tc>
        <w:tc>
          <w:tcPr>
            <w:tcW w:w="12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194</w:t>
            </w:r>
          </w:p>
        </w:tc>
        <w:tc>
          <w:tcPr>
            <w:tcW w:w="1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69,476</w:t>
            </w:r>
          </w:p>
        </w:tc>
        <w:tc>
          <w:tcPr>
            <w:tcW w:w="1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86,208</w:t>
            </w:r>
          </w:p>
        </w:tc>
        <w:tc>
          <w:tcPr>
            <w:tcW w:w="120" w:type="dxa"/>
            <w:vAlign w:val="bottom"/>
            <w:tcBorders>
              <w:bottom w:val="single" w:sz="8" w:color="CCEEFF"/>
            </w:tcBorders>
          </w:tcPr>
          <w:p>
            <w:pPr>
              <w:spacing w:after="0"/>
              <w:rPr>
                <w:sz w:val="19"/>
                <w:szCs w:val="19"/>
                <w:color w:val="auto"/>
              </w:rPr>
            </w:pPr>
          </w:p>
        </w:tc>
        <w:tc>
          <w:tcPr>
            <w:tcW w:w="18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24.7</w:t>
            </w:r>
          </w:p>
        </w:tc>
      </w:tr>
      <w:tr>
        <w:trPr>
          <w:trHeight w:val="248"/>
        </w:trPr>
        <w:tc>
          <w:tcPr>
            <w:tcW w:w="230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Total revenue</w:t>
            </w: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133,894</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117,704</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96,978</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348,576</w:t>
            </w:r>
          </w:p>
        </w:tc>
        <w:tc>
          <w:tcPr>
            <w:tcW w:w="120" w:type="dxa"/>
            <w:vAlign w:val="bottom"/>
            <w:tcBorders>
              <w:bottom w:val="single" w:sz="8" w:color="CCEEFF"/>
            </w:tcBorders>
            <w:shd w:val="clear" w:color="auto" w:fill="CCEEFF"/>
          </w:tcPr>
          <w:p>
            <w:pPr>
              <w:spacing w:after="0"/>
              <w:rPr>
                <w:sz w:val="21"/>
                <w:szCs w:val="21"/>
                <w:color w:val="auto"/>
              </w:rPr>
            </w:pPr>
          </w:p>
        </w:tc>
        <w:tc>
          <w:tcPr>
            <w:tcW w:w="1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100.0 %</w:t>
            </w:r>
          </w:p>
        </w:tc>
      </w:tr>
      <w:tr>
        <w:trPr>
          <w:trHeight w:val="20"/>
        </w:trPr>
        <w:tc>
          <w:tcPr>
            <w:tcW w:w="23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20" w:type="dxa"/>
            <w:vAlign w:val="bottom"/>
            <w:tcBorders>
              <w:top w:val="single" w:sz="8" w:color="CCEEFF"/>
              <w:bottom w:val="single" w:sz="8" w:color="auto"/>
            </w:tcBorders>
          </w:tcPr>
          <w:p>
            <w:pPr>
              <w:spacing w:after="0" w:line="20" w:lineRule="exact"/>
              <w:rPr>
                <w:sz w:val="1"/>
                <w:szCs w:val="1"/>
                <w:color w:val="auto"/>
              </w:rPr>
            </w:pPr>
          </w:p>
        </w:tc>
      </w:tr>
    </w:tbl>
    <w:p>
      <w:pPr>
        <w:spacing w:after="0" w:line="130" w:lineRule="exact"/>
        <w:rPr>
          <w:sz w:val="20"/>
          <w:szCs w:val="20"/>
          <w:color w:val="auto"/>
        </w:rPr>
      </w:pPr>
    </w:p>
    <w:p>
      <w:pPr>
        <w:ind w:left="480" w:hanging="454"/>
        <w:spacing w:after="0"/>
        <w:tabs>
          <w:tab w:leader="none" w:pos="480" w:val="left"/>
        </w:tabs>
        <w:numPr>
          <w:ilvl w:val="0"/>
          <w:numId w:val="8"/>
        </w:numPr>
        <w:rPr>
          <w:rFonts w:ascii="Arial" w:cs="Arial" w:eastAsia="Arial" w:hAnsi="Arial"/>
          <w:sz w:val="14"/>
          <w:szCs w:val="14"/>
          <w:color w:val="auto"/>
        </w:rPr>
      </w:pPr>
      <w:r>
        <w:rPr>
          <w:rFonts w:ascii="Arial" w:cs="Arial" w:eastAsia="Arial" w:hAnsi="Arial"/>
          <w:sz w:val="14"/>
          <w:szCs w:val="14"/>
          <w:color w:val="auto"/>
        </w:rPr>
        <w:t>Private and other payors in the Company’s home health and hospice services segment includes revenue from all payors generated in the Company’s home care operations.</w:t>
      </w:r>
    </w:p>
    <w:p>
      <w:pPr>
        <w:spacing w:after="0" w:line="200" w:lineRule="exact"/>
        <w:rPr>
          <w:sz w:val="20"/>
          <w:szCs w:val="20"/>
          <w:color w:val="auto"/>
        </w:rPr>
      </w:pP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26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5180" w:type="dxa"/>
            <w:vAlign w:val="bottom"/>
            <w:tcBorders>
              <w:bottom w:val="single" w:sz="8" w:color="auto"/>
            </w:tcBorders>
            <w:gridSpan w:val="8"/>
          </w:tcPr>
          <w:p>
            <w:pPr>
              <w:ind w:left="1000"/>
              <w:spacing w:after="0"/>
              <w:rPr>
                <w:sz w:val="20"/>
                <w:szCs w:val="20"/>
                <w:color w:val="auto"/>
              </w:rPr>
            </w:pPr>
            <w:r>
              <w:rPr>
                <w:rFonts w:ascii="Arial" w:cs="Arial" w:eastAsia="Arial" w:hAnsi="Arial"/>
                <w:sz w:val="18"/>
                <w:szCs w:val="18"/>
                <w:b w:val="1"/>
                <w:bCs w:val="1"/>
                <w:color w:val="auto"/>
              </w:rPr>
              <w:t>Nine Months Ended September 30, 2021</w:t>
            </w:r>
          </w:p>
        </w:tc>
        <w:tc>
          <w:tcPr>
            <w:tcW w:w="1820" w:type="dxa"/>
            <w:vAlign w:val="bottom"/>
            <w:tcBorders>
              <w:bottom w:val="single" w:sz="8" w:color="auto"/>
            </w:tcBorders>
          </w:tcPr>
          <w:p>
            <w:pPr>
              <w:spacing w:after="0"/>
              <w:rPr>
                <w:sz w:val="20"/>
                <w:szCs w:val="20"/>
                <w:color w:val="auto"/>
              </w:rPr>
            </w:pPr>
          </w:p>
        </w:tc>
      </w:tr>
      <w:tr>
        <w:trPr>
          <w:trHeight w:val="223"/>
        </w:trPr>
        <w:tc>
          <w:tcPr>
            <w:tcW w:w="22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340" w:type="dxa"/>
            <w:vAlign w:val="bottom"/>
            <w:gridSpan w:val="5"/>
          </w:tcPr>
          <w:p>
            <w:pPr>
              <w:ind w:left="160"/>
              <w:spacing w:after="0"/>
              <w:rPr>
                <w:sz w:val="20"/>
                <w:szCs w:val="20"/>
                <w:color w:val="auto"/>
              </w:rPr>
            </w:pPr>
            <w:r>
              <w:rPr>
                <w:rFonts w:ascii="Arial" w:cs="Arial" w:eastAsia="Arial" w:hAnsi="Arial"/>
                <w:sz w:val="18"/>
                <w:szCs w:val="18"/>
                <w:b w:val="1"/>
                <w:bCs w:val="1"/>
                <w:color w:val="auto"/>
              </w:rPr>
              <w:t>Home Health and Hospice Services</w:t>
            </w:r>
          </w:p>
        </w:tc>
        <w:tc>
          <w:tcPr>
            <w:tcW w:w="20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20" w:type="dxa"/>
            <w:vAlign w:val="bottom"/>
          </w:tcPr>
          <w:p>
            <w:pPr>
              <w:spacing w:after="0"/>
              <w:rPr>
                <w:sz w:val="19"/>
                <w:szCs w:val="19"/>
                <w:color w:val="auto"/>
              </w:rPr>
            </w:pPr>
          </w:p>
        </w:tc>
      </w:tr>
      <w:tr>
        <w:trPr>
          <w:trHeight w:val="169"/>
        </w:trPr>
        <w:tc>
          <w:tcPr>
            <w:tcW w:w="2260" w:type="dxa"/>
            <w:vAlign w:val="bottom"/>
          </w:tcPr>
          <w:p>
            <w:pPr>
              <w:spacing w:after="0"/>
              <w:rPr>
                <w:sz w:val="14"/>
                <w:szCs w:val="14"/>
                <w:color w:val="auto"/>
              </w:rPr>
            </w:pPr>
          </w:p>
        </w:tc>
        <w:tc>
          <w:tcPr>
            <w:tcW w:w="220" w:type="dxa"/>
            <w:vAlign w:val="bottom"/>
            <w:tcBorders>
              <w:top w:val="single" w:sz="8" w:color="auto"/>
            </w:tcBorders>
          </w:tcPr>
          <w:p>
            <w:pPr>
              <w:spacing w:after="0"/>
              <w:rPr>
                <w:sz w:val="14"/>
                <w:szCs w:val="14"/>
                <w:color w:val="auto"/>
              </w:rPr>
            </w:pPr>
          </w:p>
        </w:tc>
        <w:tc>
          <w:tcPr>
            <w:tcW w:w="1560" w:type="dxa"/>
            <w:vAlign w:val="bottom"/>
            <w:tcBorders>
              <w:top w:val="single" w:sz="8" w:color="auto"/>
            </w:tcBorders>
            <w:gridSpan w:val="2"/>
          </w:tcPr>
          <w:p>
            <w:pPr>
              <w:jc w:val="center"/>
              <w:ind w:right="340"/>
              <w:spacing w:after="0" w:line="169" w:lineRule="exact"/>
              <w:rPr>
                <w:sz w:val="20"/>
                <w:szCs w:val="20"/>
                <w:color w:val="auto"/>
              </w:rPr>
            </w:pPr>
            <w:r>
              <w:rPr>
                <w:rFonts w:ascii="Arial" w:cs="Arial" w:eastAsia="Arial" w:hAnsi="Arial"/>
                <w:sz w:val="18"/>
                <w:szCs w:val="18"/>
                <w:b w:val="1"/>
                <w:bCs w:val="1"/>
                <w:color w:val="auto"/>
                <w:w w:val="92"/>
              </w:rPr>
              <w:t>Home Health</w:t>
            </w:r>
          </w:p>
        </w:tc>
        <w:tc>
          <w:tcPr>
            <w:tcW w:w="140" w:type="dxa"/>
            <w:vAlign w:val="bottom"/>
            <w:tcBorders>
              <w:top w:val="single" w:sz="8" w:color="auto"/>
            </w:tcBorders>
          </w:tcPr>
          <w:p>
            <w:pPr>
              <w:spacing w:after="0"/>
              <w:rPr>
                <w:sz w:val="14"/>
                <w:szCs w:val="14"/>
                <w:color w:val="auto"/>
              </w:rPr>
            </w:pPr>
          </w:p>
        </w:tc>
        <w:tc>
          <w:tcPr>
            <w:tcW w:w="152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560" w:type="dxa"/>
            <w:vAlign w:val="bottom"/>
            <w:gridSpan w:val="2"/>
          </w:tcPr>
          <w:p>
            <w:pPr>
              <w:jc w:val="center"/>
              <w:ind w:right="320"/>
              <w:spacing w:after="0" w:line="169" w:lineRule="exact"/>
              <w:rPr>
                <w:sz w:val="20"/>
                <w:szCs w:val="20"/>
                <w:color w:val="auto"/>
              </w:rPr>
            </w:pPr>
            <w:r>
              <w:rPr>
                <w:rFonts w:ascii="Arial" w:cs="Arial" w:eastAsia="Arial" w:hAnsi="Arial"/>
                <w:sz w:val="18"/>
                <w:szCs w:val="18"/>
                <w:b w:val="1"/>
                <w:bCs w:val="1"/>
                <w:color w:val="auto"/>
                <w:w w:val="91"/>
              </w:rPr>
              <w:t>Senior Living</w:t>
            </w:r>
          </w:p>
        </w:tc>
        <w:tc>
          <w:tcPr>
            <w:tcW w:w="20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20" w:type="dxa"/>
            <w:vAlign w:val="bottom"/>
          </w:tcPr>
          <w:p>
            <w:pPr>
              <w:spacing w:after="0"/>
              <w:rPr>
                <w:sz w:val="14"/>
                <w:szCs w:val="14"/>
                <w:color w:val="auto"/>
              </w:rPr>
            </w:pPr>
          </w:p>
        </w:tc>
      </w:tr>
      <w:tr>
        <w:trPr>
          <w:trHeight w:val="243"/>
        </w:trPr>
        <w:tc>
          <w:tcPr>
            <w:tcW w:w="22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56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83"/>
              </w:rPr>
              <w:t>Services</w:t>
            </w:r>
          </w:p>
        </w:tc>
        <w:tc>
          <w:tcPr>
            <w:tcW w:w="140" w:type="dxa"/>
            <w:vAlign w:val="bottom"/>
          </w:tcPr>
          <w:p>
            <w:pPr>
              <w:spacing w:after="0"/>
              <w:rPr>
                <w:sz w:val="21"/>
                <w:szCs w:val="21"/>
                <w:color w:val="auto"/>
              </w:rPr>
            </w:pPr>
          </w:p>
        </w:tc>
        <w:tc>
          <w:tcPr>
            <w:tcW w:w="1640" w:type="dxa"/>
            <w:vAlign w:val="bottom"/>
            <w:gridSpan w:val="2"/>
          </w:tcPr>
          <w:p>
            <w:pPr>
              <w:ind w:left="40"/>
              <w:spacing w:after="0"/>
              <w:rPr>
                <w:sz w:val="20"/>
                <w:szCs w:val="20"/>
                <w:color w:val="auto"/>
              </w:rPr>
            </w:pPr>
            <w:r>
              <w:rPr>
                <w:rFonts w:ascii="Arial" w:cs="Arial" w:eastAsia="Arial" w:hAnsi="Arial"/>
                <w:sz w:val="18"/>
                <w:szCs w:val="18"/>
                <w:b w:val="1"/>
                <w:bCs w:val="1"/>
                <w:color w:val="auto"/>
              </w:rPr>
              <w:t>Hospice Services</w:t>
            </w:r>
          </w:p>
        </w:tc>
        <w:tc>
          <w:tcPr>
            <w:tcW w:w="200" w:type="dxa"/>
            <w:vAlign w:val="bottom"/>
          </w:tcPr>
          <w:p>
            <w:pPr>
              <w:spacing w:after="0"/>
              <w:rPr>
                <w:sz w:val="21"/>
                <w:szCs w:val="21"/>
                <w:color w:val="auto"/>
              </w:rPr>
            </w:pPr>
          </w:p>
        </w:tc>
        <w:tc>
          <w:tcPr>
            <w:tcW w:w="156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86"/>
              </w:rPr>
              <w:t>Services</w:t>
            </w:r>
          </w:p>
        </w:tc>
        <w:tc>
          <w:tcPr>
            <w:tcW w:w="200" w:type="dxa"/>
            <w:vAlign w:val="bottom"/>
          </w:tcPr>
          <w:p>
            <w:pPr>
              <w:spacing w:after="0"/>
              <w:rPr>
                <w:sz w:val="21"/>
                <w:szCs w:val="21"/>
                <w:color w:val="auto"/>
              </w:rPr>
            </w:pPr>
          </w:p>
        </w:tc>
        <w:tc>
          <w:tcPr>
            <w:tcW w:w="1580" w:type="dxa"/>
            <w:vAlign w:val="bottom"/>
            <w:gridSpan w:val="2"/>
          </w:tcPr>
          <w:p>
            <w:pPr>
              <w:ind w:left="80"/>
              <w:spacing w:after="0"/>
              <w:rPr>
                <w:sz w:val="20"/>
                <w:szCs w:val="20"/>
                <w:color w:val="auto"/>
              </w:rPr>
            </w:pPr>
            <w:r>
              <w:rPr>
                <w:rFonts w:ascii="Arial" w:cs="Arial" w:eastAsia="Arial" w:hAnsi="Arial"/>
                <w:sz w:val="18"/>
                <w:szCs w:val="18"/>
                <w:b w:val="1"/>
                <w:bCs w:val="1"/>
                <w:color w:val="auto"/>
              </w:rPr>
              <w:t>Total Revenue</w:t>
            </w:r>
          </w:p>
        </w:tc>
        <w:tc>
          <w:tcPr>
            <w:tcW w:w="1820" w:type="dxa"/>
            <w:vAlign w:val="bottom"/>
          </w:tcPr>
          <w:p>
            <w:pPr>
              <w:jc w:val="right"/>
              <w:ind w:right="370"/>
              <w:spacing w:after="0"/>
              <w:rPr>
                <w:sz w:val="20"/>
                <w:szCs w:val="20"/>
                <w:color w:val="auto"/>
              </w:rPr>
            </w:pPr>
            <w:r>
              <w:rPr>
                <w:rFonts w:ascii="Arial" w:cs="Arial" w:eastAsia="Arial" w:hAnsi="Arial"/>
                <w:sz w:val="18"/>
                <w:szCs w:val="18"/>
                <w:b w:val="1"/>
                <w:bCs w:val="1"/>
                <w:color w:val="auto"/>
              </w:rPr>
              <w:t>Revenue %</w:t>
            </w:r>
          </w:p>
        </w:tc>
      </w:tr>
      <w:tr>
        <w:trPr>
          <w:trHeight w:val="223"/>
        </w:trPr>
        <w:tc>
          <w:tcPr>
            <w:tcW w:w="2260" w:type="dxa"/>
            <w:vAlign w:val="bottom"/>
          </w:tcPr>
          <w:p>
            <w:pPr>
              <w:ind w:left="20"/>
              <w:spacing w:after="0"/>
              <w:rPr>
                <w:sz w:val="20"/>
                <w:szCs w:val="20"/>
                <w:color w:val="auto"/>
              </w:rPr>
            </w:pPr>
            <w:r>
              <w:rPr>
                <w:rFonts w:ascii="Arial" w:cs="Arial" w:eastAsia="Arial" w:hAnsi="Arial"/>
                <w:sz w:val="18"/>
                <w:szCs w:val="18"/>
                <w:color w:val="auto"/>
              </w:rPr>
              <w:t>Medicare</w:t>
            </w:r>
          </w:p>
        </w:tc>
        <w:tc>
          <w:tcPr>
            <w:tcW w:w="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4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61,055</w:t>
            </w:r>
          </w:p>
        </w:tc>
        <w:tc>
          <w:tcPr>
            <w:tcW w:w="120" w:type="dxa"/>
            <w:vAlign w:val="bottom"/>
          </w:tcPr>
          <w:p>
            <w:pPr>
              <w:spacing w:after="0"/>
              <w:rPr>
                <w:sz w:val="19"/>
                <w:szCs w:val="19"/>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5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101,771</w:t>
            </w:r>
          </w:p>
        </w:tc>
        <w:tc>
          <w:tcPr>
            <w:tcW w:w="120" w:type="dxa"/>
            <w:vAlign w:val="bottom"/>
          </w:tcPr>
          <w:p>
            <w:pPr>
              <w:spacing w:after="0"/>
              <w:rPr>
                <w:sz w:val="19"/>
                <w:szCs w:val="19"/>
                <w:color w:val="auto"/>
              </w:rPr>
            </w:pPr>
          </w:p>
        </w:tc>
        <w:tc>
          <w:tcPr>
            <w:tcW w:w="2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4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2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4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162,826</w:t>
            </w:r>
          </w:p>
        </w:tc>
        <w:tc>
          <w:tcPr>
            <w:tcW w:w="100" w:type="dxa"/>
            <w:vAlign w:val="bottom"/>
          </w:tcPr>
          <w:p>
            <w:pPr>
              <w:spacing w:after="0"/>
              <w:rPr>
                <w:sz w:val="19"/>
                <w:szCs w:val="19"/>
                <w:color w:val="auto"/>
              </w:rPr>
            </w:pPr>
          </w:p>
        </w:tc>
        <w:tc>
          <w:tcPr>
            <w:tcW w:w="1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49.7 %</w:t>
            </w:r>
          </w:p>
        </w:tc>
      </w:tr>
      <w:tr>
        <w:trPr>
          <w:trHeight w:val="230"/>
        </w:trPr>
        <w:tc>
          <w:tcPr>
            <w:tcW w:w="2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Medicaid</w:t>
            </w:r>
          </w:p>
        </w:tc>
        <w:tc>
          <w:tcPr>
            <w:tcW w:w="22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6,659</w:t>
            </w:r>
          </w:p>
        </w:tc>
        <w:tc>
          <w:tcPr>
            <w:tcW w:w="12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8,507</w:t>
            </w:r>
          </w:p>
        </w:tc>
        <w:tc>
          <w:tcPr>
            <w:tcW w:w="12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27,266</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42,432</w:t>
            </w:r>
          </w:p>
        </w:tc>
        <w:tc>
          <w:tcPr>
            <w:tcW w:w="100" w:type="dxa"/>
            <w:vAlign w:val="bottom"/>
            <w:shd w:val="clear" w:color="auto" w:fill="CCEEFF"/>
          </w:tcPr>
          <w:p>
            <w:pPr>
              <w:spacing w:after="0"/>
              <w:rPr>
                <w:sz w:val="19"/>
                <w:szCs w:val="19"/>
                <w:color w:val="auto"/>
              </w:rPr>
            </w:pPr>
          </w:p>
        </w:tc>
        <w:tc>
          <w:tcPr>
            <w:tcW w:w="18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12.9</w:t>
            </w:r>
          </w:p>
        </w:tc>
      </w:tr>
      <w:tr>
        <w:trPr>
          <w:trHeight w:val="223"/>
        </w:trPr>
        <w:tc>
          <w:tcPr>
            <w:tcW w:w="2260" w:type="dxa"/>
            <w:vAlign w:val="bottom"/>
          </w:tcPr>
          <w:p>
            <w:pPr>
              <w:ind w:left="220"/>
              <w:spacing w:after="0"/>
              <w:rPr>
                <w:sz w:val="20"/>
                <w:szCs w:val="20"/>
                <w:color w:val="auto"/>
              </w:rPr>
            </w:pPr>
            <w:r>
              <w:rPr>
                <w:rFonts w:ascii="Arial" w:cs="Arial" w:eastAsia="Arial" w:hAnsi="Arial"/>
                <w:sz w:val="18"/>
                <w:szCs w:val="18"/>
                <w:color w:val="auto"/>
              </w:rPr>
              <w:t>Subtotal</w:t>
            </w:r>
          </w:p>
        </w:tc>
        <w:tc>
          <w:tcPr>
            <w:tcW w:w="22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67,714</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110,278</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27,266</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205,258</w:t>
            </w:r>
          </w:p>
        </w:tc>
        <w:tc>
          <w:tcPr>
            <w:tcW w:w="100" w:type="dxa"/>
            <w:vAlign w:val="bottom"/>
          </w:tcPr>
          <w:p>
            <w:pPr>
              <w:spacing w:after="0"/>
              <w:rPr>
                <w:sz w:val="19"/>
                <w:szCs w:val="19"/>
                <w:color w:val="auto"/>
              </w:rPr>
            </w:pPr>
          </w:p>
        </w:tc>
        <w:tc>
          <w:tcPr>
            <w:tcW w:w="1820" w:type="dxa"/>
            <w:vAlign w:val="bottom"/>
          </w:tcPr>
          <w:p>
            <w:pPr>
              <w:jc w:val="right"/>
              <w:ind w:right="130"/>
              <w:spacing w:after="0"/>
              <w:rPr>
                <w:sz w:val="20"/>
                <w:szCs w:val="20"/>
                <w:color w:val="auto"/>
              </w:rPr>
            </w:pPr>
            <w:r>
              <w:rPr>
                <w:rFonts w:ascii="Arial" w:cs="Arial" w:eastAsia="Arial" w:hAnsi="Arial"/>
                <w:sz w:val="18"/>
                <w:szCs w:val="18"/>
                <w:color w:val="auto"/>
              </w:rPr>
              <w:t>62.6</w:t>
            </w:r>
          </w:p>
        </w:tc>
      </w:tr>
      <w:tr>
        <w:trPr>
          <w:trHeight w:val="230"/>
        </w:trPr>
        <w:tc>
          <w:tcPr>
            <w:tcW w:w="2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Managed care</w:t>
            </w:r>
          </w:p>
        </w:tc>
        <w:tc>
          <w:tcPr>
            <w:tcW w:w="22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34,586</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2,241</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5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36,827</w:t>
            </w:r>
          </w:p>
        </w:tc>
        <w:tc>
          <w:tcPr>
            <w:tcW w:w="100" w:type="dxa"/>
            <w:vAlign w:val="bottom"/>
            <w:shd w:val="clear" w:color="auto" w:fill="CCEEFF"/>
          </w:tcPr>
          <w:p>
            <w:pPr>
              <w:spacing w:after="0"/>
              <w:rPr>
                <w:sz w:val="19"/>
                <w:szCs w:val="19"/>
                <w:color w:val="auto"/>
              </w:rPr>
            </w:pPr>
          </w:p>
        </w:tc>
        <w:tc>
          <w:tcPr>
            <w:tcW w:w="18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11.2</w:t>
            </w:r>
          </w:p>
        </w:tc>
      </w:tr>
      <w:tr>
        <w:trPr>
          <w:trHeight w:val="230"/>
        </w:trPr>
        <w:tc>
          <w:tcPr>
            <w:tcW w:w="2260" w:type="dxa"/>
            <w:vAlign w:val="bottom"/>
            <w:tcBorders>
              <w:bottom w:val="single" w:sz="8" w:color="CCEEFF"/>
            </w:tcBorders>
          </w:tcPr>
          <w:p>
            <w:pPr>
              <w:ind w:left="20"/>
              <w:spacing w:after="0" w:line="230" w:lineRule="exact"/>
              <w:rPr>
                <w:sz w:val="20"/>
                <w:szCs w:val="20"/>
                <w:color w:val="auto"/>
              </w:rPr>
            </w:pPr>
            <w:r>
              <w:rPr>
                <w:rFonts w:ascii="Arial" w:cs="Arial" w:eastAsia="Arial" w:hAnsi="Arial"/>
                <w:sz w:val="18"/>
                <w:szCs w:val="18"/>
                <w:color w:val="auto"/>
              </w:rPr>
              <w:t>Private and other</w:t>
            </w:r>
            <w:r>
              <w:rPr>
                <w:rFonts w:ascii="Arial" w:cs="Arial" w:eastAsia="Arial" w:hAnsi="Arial"/>
                <w:sz w:val="23"/>
                <w:szCs w:val="23"/>
                <w:color w:val="auto"/>
                <w:vertAlign w:val="superscript"/>
              </w:rPr>
              <w:t>(a)</w:t>
            </w:r>
          </w:p>
        </w:tc>
        <w:tc>
          <w:tcPr>
            <w:tcW w:w="22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16,594</w:t>
            </w:r>
          </w:p>
        </w:tc>
        <w:tc>
          <w:tcPr>
            <w:tcW w:w="12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302</w:t>
            </w:r>
          </w:p>
        </w:tc>
        <w:tc>
          <w:tcPr>
            <w:tcW w:w="1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68,948</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85,844</w:t>
            </w:r>
          </w:p>
        </w:tc>
        <w:tc>
          <w:tcPr>
            <w:tcW w:w="100" w:type="dxa"/>
            <w:vAlign w:val="bottom"/>
            <w:tcBorders>
              <w:bottom w:val="single" w:sz="8" w:color="CCEEFF"/>
            </w:tcBorders>
          </w:tcPr>
          <w:p>
            <w:pPr>
              <w:spacing w:after="0"/>
              <w:rPr>
                <w:sz w:val="19"/>
                <w:szCs w:val="19"/>
                <w:color w:val="auto"/>
              </w:rPr>
            </w:pPr>
          </w:p>
        </w:tc>
        <w:tc>
          <w:tcPr>
            <w:tcW w:w="18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26.2</w:t>
            </w:r>
          </w:p>
        </w:tc>
      </w:tr>
      <w:tr>
        <w:trPr>
          <w:trHeight w:val="248"/>
        </w:trPr>
        <w:tc>
          <w:tcPr>
            <w:tcW w:w="226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Total revenue</w:t>
            </w: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118,894</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112,821</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96,214</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327,929</w:t>
            </w:r>
          </w:p>
        </w:tc>
        <w:tc>
          <w:tcPr>
            <w:tcW w:w="100" w:type="dxa"/>
            <w:vAlign w:val="bottom"/>
            <w:tcBorders>
              <w:bottom w:val="single" w:sz="8" w:color="CCEEFF"/>
            </w:tcBorders>
            <w:shd w:val="clear" w:color="auto" w:fill="CCEEFF"/>
          </w:tcPr>
          <w:p>
            <w:pPr>
              <w:spacing w:after="0"/>
              <w:rPr>
                <w:sz w:val="21"/>
                <w:szCs w:val="21"/>
                <w:color w:val="auto"/>
              </w:rPr>
            </w:pPr>
          </w:p>
        </w:tc>
        <w:tc>
          <w:tcPr>
            <w:tcW w:w="1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100.0 %</w:t>
            </w:r>
          </w:p>
        </w:tc>
      </w:tr>
      <w:tr>
        <w:trPr>
          <w:trHeight w:val="20"/>
        </w:trPr>
        <w:tc>
          <w:tcPr>
            <w:tcW w:w="226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20" w:type="dxa"/>
            <w:vAlign w:val="bottom"/>
            <w:tcBorders>
              <w:top w:val="single" w:sz="8" w:color="CCEEFF"/>
              <w:bottom w:val="single" w:sz="8" w:color="auto"/>
            </w:tcBorders>
          </w:tcPr>
          <w:p>
            <w:pPr>
              <w:spacing w:after="0" w:line="20" w:lineRule="exact"/>
              <w:rPr>
                <w:sz w:val="1"/>
                <w:szCs w:val="1"/>
                <w:color w:val="auto"/>
              </w:rPr>
            </w:pPr>
          </w:p>
        </w:tc>
      </w:tr>
    </w:tbl>
    <w:p>
      <w:pPr>
        <w:spacing w:after="0" w:line="116" w:lineRule="exact"/>
        <w:rPr>
          <w:sz w:val="20"/>
          <w:szCs w:val="20"/>
          <w:color w:val="auto"/>
        </w:rPr>
      </w:pPr>
    </w:p>
    <w:p>
      <w:pPr>
        <w:ind w:left="480" w:hanging="454"/>
        <w:spacing w:after="0"/>
        <w:tabs>
          <w:tab w:leader="none" w:pos="480" w:val="left"/>
        </w:tabs>
        <w:numPr>
          <w:ilvl w:val="0"/>
          <w:numId w:val="9"/>
        </w:numPr>
        <w:rPr>
          <w:rFonts w:ascii="Arial" w:cs="Arial" w:eastAsia="Arial" w:hAnsi="Arial"/>
          <w:sz w:val="14"/>
          <w:szCs w:val="14"/>
          <w:color w:val="auto"/>
        </w:rPr>
      </w:pPr>
      <w:r>
        <w:rPr>
          <w:rFonts w:ascii="Arial" w:cs="Arial" w:eastAsia="Arial" w:hAnsi="Arial"/>
          <w:sz w:val="14"/>
          <w:szCs w:val="14"/>
          <w:color w:val="auto"/>
        </w:rPr>
        <w:t>Private and other payors in the Company’s home health and hospice services segment includes revenue from all payors generated in the Company’s home care operations.</w:t>
      </w:r>
    </w:p>
    <w:p>
      <w:pPr>
        <w:spacing w:after="0" w:line="3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Balance Sheet Impact</w:t>
      </w:r>
    </w:p>
    <w:p>
      <w:pPr>
        <w:spacing w:after="0" w:line="256"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Included in the Company’s Condensed Consolidated Balance Sheets are contract assets, comprised of billed accounts receivable and unbilled receivables, which are the result of the timing of revenue recognition, billings and cash collections, as well as, contract liabilities, which primarily represent payments the Company receives in advance of services provided.</w:t>
      </w: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4" w:name="page15"/>
    <w:bookmarkEnd w:id="14"/>
    <w:p>
      <w:pPr>
        <w:spacing w:after="0"/>
        <w:rPr>
          <w:sz w:val="20"/>
          <w:szCs w:val="20"/>
          <w:color w:val="auto"/>
        </w:rPr>
      </w:pPr>
      <w:r>
        <w:rPr>
          <w:rFonts w:ascii="Arial" w:cs="Arial" w:eastAsia="Arial" w:hAnsi="Arial"/>
          <w:sz w:val="18"/>
          <w:szCs w:val="18"/>
          <w:u w:val="single" w:color="auto"/>
          <w:color w:val="0000FF"/>
        </w:rPr>
        <w:t>Table of Contents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PENNANT GROUP,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CONDENSED CONSOLIDATED FINANCIAL STATEMENTS - (Continued)</w:t>
      </w:r>
    </w:p>
    <w:p>
      <w:pPr>
        <w:spacing w:after="0" w:line="200" w:lineRule="exact"/>
        <w:rPr>
          <w:sz w:val="20"/>
          <w:szCs w:val="20"/>
          <w:color w:val="auto"/>
        </w:rPr>
      </w:pPr>
    </w:p>
    <w:p>
      <w:pPr>
        <w:spacing w:after="0" w:line="32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Accounts receivable, net as of September 30, 2022 and December 31, 2021 is summarized in the following table:</w:t>
      </w:r>
    </w:p>
    <w:p>
      <w:pPr>
        <w:spacing w:after="0" w:line="28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3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240" w:type="dxa"/>
            <w:vAlign w:val="bottom"/>
            <w:gridSpan w:val="2"/>
          </w:tcPr>
          <w:p>
            <w:pPr>
              <w:ind w:left="180"/>
              <w:spacing w:after="0"/>
              <w:rPr>
                <w:sz w:val="20"/>
                <w:szCs w:val="20"/>
                <w:color w:val="auto"/>
              </w:rPr>
            </w:pPr>
            <w:r>
              <w:rPr>
                <w:rFonts w:ascii="Arial" w:cs="Arial" w:eastAsia="Arial" w:hAnsi="Arial"/>
                <w:sz w:val="18"/>
                <w:szCs w:val="18"/>
                <w:b w:val="1"/>
                <w:bCs w:val="1"/>
                <w:color w:val="auto"/>
              </w:rPr>
              <w:t>September 30, 2022</w:t>
            </w:r>
          </w:p>
        </w:tc>
        <w:tc>
          <w:tcPr>
            <w:tcW w:w="300" w:type="dxa"/>
            <w:vAlign w:val="bottom"/>
          </w:tcPr>
          <w:p>
            <w:pPr>
              <w:spacing w:after="0"/>
              <w:rPr>
                <w:sz w:val="20"/>
                <w:szCs w:val="20"/>
                <w:color w:val="auto"/>
              </w:rPr>
            </w:pPr>
          </w:p>
        </w:tc>
        <w:tc>
          <w:tcPr>
            <w:tcW w:w="2120" w:type="dxa"/>
            <w:vAlign w:val="bottom"/>
          </w:tcPr>
          <w:p>
            <w:pPr>
              <w:jc w:val="right"/>
              <w:ind w:right="390"/>
              <w:spacing w:after="0"/>
              <w:rPr>
                <w:sz w:val="20"/>
                <w:szCs w:val="20"/>
                <w:color w:val="auto"/>
              </w:rPr>
            </w:pPr>
            <w:r>
              <w:rPr>
                <w:rFonts w:ascii="Arial" w:cs="Arial" w:eastAsia="Arial" w:hAnsi="Arial"/>
                <w:sz w:val="18"/>
                <w:szCs w:val="18"/>
                <w:b w:val="1"/>
                <w:bCs w:val="1"/>
                <w:color w:val="auto"/>
                <w:w w:val="99"/>
              </w:rPr>
              <w:t>December 31, 2021</w:t>
            </w:r>
          </w:p>
        </w:tc>
      </w:tr>
      <w:tr>
        <w:trPr>
          <w:trHeight w:val="223"/>
        </w:trPr>
        <w:tc>
          <w:tcPr>
            <w:tcW w:w="63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Medicare</w:t>
            </w:r>
          </w:p>
        </w:tc>
        <w:tc>
          <w:tcPr>
            <w:tcW w:w="280" w:type="dxa"/>
            <w:vAlign w:val="bottom"/>
            <w:tcBorders>
              <w:top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2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31,125</w:t>
            </w:r>
          </w:p>
        </w:tc>
        <w:tc>
          <w:tcPr>
            <w:tcW w:w="10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2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31,327</w:t>
            </w:r>
          </w:p>
        </w:tc>
      </w:tr>
      <w:tr>
        <w:trPr>
          <w:trHeight w:val="229"/>
        </w:trPr>
        <w:tc>
          <w:tcPr>
            <w:tcW w:w="6300" w:type="dxa"/>
            <w:vAlign w:val="bottom"/>
          </w:tcPr>
          <w:p>
            <w:pPr>
              <w:ind w:left="20"/>
              <w:spacing w:after="0"/>
              <w:rPr>
                <w:sz w:val="20"/>
                <w:szCs w:val="20"/>
                <w:color w:val="auto"/>
              </w:rPr>
            </w:pPr>
            <w:r>
              <w:rPr>
                <w:rFonts w:ascii="Arial" w:cs="Arial" w:eastAsia="Arial" w:hAnsi="Arial"/>
                <w:sz w:val="18"/>
                <w:szCs w:val="18"/>
                <w:color w:val="auto"/>
              </w:rPr>
              <w:t>Medicaid</w:t>
            </w:r>
          </w:p>
        </w:tc>
        <w:tc>
          <w:tcPr>
            <w:tcW w:w="280" w:type="dxa"/>
            <w:vAlign w:val="bottom"/>
          </w:tcPr>
          <w:p>
            <w:pPr>
              <w:spacing w:after="0"/>
              <w:rPr>
                <w:sz w:val="19"/>
                <w:szCs w:val="19"/>
                <w:color w:val="auto"/>
              </w:rPr>
            </w:pPr>
          </w:p>
        </w:tc>
        <w:tc>
          <w:tcPr>
            <w:tcW w:w="2140" w:type="dxa"/>
            <w:vAlign w:val="bottom"/>
          </w:tcPr>
          <w:p>
            <w:pPr>
              <w:jc w:val="right"/>
              <w:spacing w:after="0"/>
              <w:rPr>
                <w:sz w:val="20"/>
                <w:szCs w:val="20"/>
                <w:color w:val="auto"/>
              </w:rPr>
            </w:pPr>
            <w:r>
              <w:rPr>
                <w:rFonts w:ascii="Arial" w:cs="Arial" w:eastAsia="Arial" w:hAnsi="Arial"/>
                <w:sz w:val="18"/>
                <w:szCs w:val="18"/>
                <w:color w:val="auto"/>
              </w:rPr>
              <w:t>9,127</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120" w:type="dxa"/>
            <w:vAlign w:val="bottom"/>
          </w:tcPr>
          <w:p>
            <w:pPr>
              <w:jc w:val="right"/>
              <w:spacing w:after="0"/>
              <w:rPr>
                <w:sz w:val="20"/>
                <w:szCs w:val="20"/>
                <w:color w:val="auto"/>
              </w:rPr>
            </w:pPr>
            <w:r>
              <w:rPr>
                <w:rFonts w:ascii="Arial" w:cs="Arial" w:eastAsia="Arial" w:hAnsi="Arial"/>
                <w:sz w:val="18"/>
                <w:szCs w:val="18"/>
                <w:color w:val="auto"/>
              </w:rPr>
              <w:t>11,793</w:t>
            </w:r>
          </w:p>
        </w:tc>
      </w:tr>
      <w:tr>
        <w:trPr>
          <w:trHeight w:val="230"/>
        </w:trPr>
        <w:tc>
          <w:tcPr>
            <w:tcW w:w="6300" w:type="dxa"/>
            <w:vAlign w:val="bottom"/>
            <w:shd w:val="clear" w:color="auto" w:fill="CCEEFF"/>
          </w:tcPr>
          <w:p>
            <w:pPr>
              <w:ind w:left="20"/>
              <w:spacing w:after="0"/>
              <w:rPr>
                <w:sz w:val="20"/>
                <w:szCs w:val="20"/>
                <w:color w:val="auto"/>
              </w:rPr>
            </w:pPr>
            <w:r>
              <w:rPr>
                <w:rFonts w:ascii="Arial" w:cs="Arial" w:eastAsia="Arial" w:hAnsi="Arial"/>
                <w:sz w:val="18"/>
                <w:szCs w:val="18"/>
                <w:color w:val="auto"/>
              </w:rPr>
              <w:t>Managed care</w:t>
            </w:r>
          </w:p>
        </w:tc>
        <w:tc>
          <w:tcPr>
            <w:tcW w:w="280" w:type="dxa"/>
            <w:vAlign w:val="bottom"/>
            <w:shd w:val="clear" w:color="auto" w:fill="CCEEFF"/>
          </w:tcPr>
          <w:p>
            <w:pPr>
              <w:spacing w:after="0"/>
              <w:rPr>
                <w:sz w:val="19"/>
                <w:szCs w:val="19"/>
                <w:color w:val="auto"/>
              </w:rPr>
            </w:pPr>
          </w:p>
        </w:tc>
        <w:tc>
          <w:tcPr>
            <w:tcW w:w="2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8,990</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2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7,901</w:t>
            </w:r>
          </w:p>
        </w:tc>
      </w:tr>
      <w:tr>
        <w:trPr>
          <w:trHeight w:val="229"/>
        </w:trPr>
        <w:tc>
          <w:tcPr>
            <w:tcW w:w="63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Private and other</w:t>
            </w:r>
          </w:p>
        </w:tc>
        <w:tc>
          <w:tcPr>
            <w:tcW w:w="280" w:type="dxa"/>
            <w:vAlign w:val="bottom"/>
            <w:tcBorders>
              <w:bottom w:val="single" w:sz="8" w:color="auto"/>
            </w:tcBorders>
          </w:tcPr>
          <w:p>
            <w:pPr>
              <w:spacing w:after="0"/>
              <w:rPr>
                <w:sz w:val="19"/>
                <w:szCs w:val="19"/>
                <w:color w:val="auto"/>
              </w:rPr>
            </w:pPr>
          </w:p>
        </w:tc>
        <w:tc>
          <w:tcPr>
            <w:tcW w:w="2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3,184</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2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3,821</w:t>
            </w:r>
          </w:p>
        </w:tc>
      </w:tr>
      <w:tr>
        <w:trPr>
          <w:trHeight w:val="223"/>
        </w:trPr>
        <w:tc>
          <w:tcPr>
            <w:tcW w:w="63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Accounts receivable, gross</w:t>
            </w:r>
          </w:p>
        </w:tc>
        <w:tc>
          <w:tcPr>
            <w:tcW w:w="280" w:type="dxa"/>
            <w:vAlign w:val="bottom"/>
            <w:shd w:val="clear" w:color="auto" w:fill="CCEEFF"/>
          </w:tcPr>
          <w:p>
            <w:pPr>
              <w:spacing w:after="0"/>
              <w:rPr>
                <w:sz w:val="19"/>
                <w:szCs w:val="19"/>
                <w:color w:val="auto"/>
              </w:rPr>
            </w:pPr>
          </w:p>
        </w:tc>
        <w:tc>
          <w:tcPr>
            <w:tcW w:w="2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52,426</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2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54,842</w:t>
            </w:r>
          </w:p>
        </w:tc>
      </w:tr>
      <w:tr>
        <w:trPr>
          <w:trHeight w:val="229"/>
        </w:trPr>
        <w:tc>
          <w:tcPr>
            <w:tcW w:w="63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Less: allowance for doubtful accounts</w:t>
            </w:r>
          </w:p>
        </w:tc>
        <w:tc>
          <w:tcPr>
            <w:tcW w:w="280" w:type="dxa"/>
            <w:vAlign w:val="bottom"/>
            <w:tcBorders>
              <w:bottom w:val="single" w:sz="8" w:color="auto"/>
            </w:tcBorders>
          </w:tcPr>
          <w:p>
            <w:pPr>
              <w:spacing w:after="0"/>
              <w:rPr>
                <w:sz w:val="19"/>
                <w:szCs w:val="19"/>
                <w:color w:val="auto"/>
              </w:rPr>
            </w:pPr>
          </w:p>
        </w:tc>
        <w:tc>
          <w:tcPr>
            <w:tcW w:w="2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(822)</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2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(902)</w:t>
            </w:r>
          </w:p>
        </w:tc>
      </w:tr>
      <w:tr>
        <w:trPr>
          <w:trHeight w:val="248"/>
        </w:trPr>
        <w:tc>
          <w:tcPr>
            <w:tcW w:w="630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Accounts receivable, net</w:t>
            </w: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2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51,604</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2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53,940</w:t>
            </w:r>
          </w:p>
        </w:tc>
      </w:tr>
      <w:tr>
        <w:trPr>
          <w:trHeight w:val="20"/>
        </w:trPr>
        <w:tc>
          <w:tcPr>
            <w:tcW w:w="63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2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2120" w:type="dxa"/>
            <w:vAlign w:val="bottom"/>
            <w:tcBorders>
              <w:top w:val="single" w:sz="8" w:color="CCEEFF"/>
              <w:bottom w:val="single" w:sz="8" w:color="auto"/>
            </w:tcBorders>
          </w:tcPr>
          <w:p>
            <w:pPr>
              <w:spacing w:after="0" w:line="20" w:lineRule="exact"/>
              <w:rPr>
                <w:sz w:val="1"/>
                <w:szCs w:val="1"/>
                <w:color w:val="auto"/>
              </w:rPr>
            </w:pPr>
          </w:p>
        </w:tc>
      </w:tr>
    </w:tbl>
    <w:p>
      <w:pPr>
        <w:spacing w:after="0" w:line="3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Concentrations- Credit Risk</w:t>
      </w:r>
    </w:p>
    <w:p>
      <w:pPr>
        <w:spacing w:after="0" w:line="256"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The Company has significant accounts receivable balances, the collectability of which is dependent on the availability of funds from certain governmental programs, primarily Medicare and Medicaid. These receivables represent the only significant concentration of credit risk for the Company. The Company does not believe there are significant credit risks associated with these governmental programs. The Company believes that an appropriate allowance has been recorded for the possibility of these receivables proving uncollectible, and continually monitors and adjusts these allowances as necessary. The Company’s gross receivables from the Medicare and Medicaid programs accounted for approximately 76.8% and 78.6% of its total gross accounts receivable as of September 30, 2022 and December 31, 2021, respectively. Revenue from reimbursement under the Medicare and Medicaid programs accounted for 62.4% and 62.3% for the three and nine months ended September 30, 2022, and 62.2% and 62.6% of the Company’s revenue for the three and nine months ended September 30, 2021.</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Practical Expedients and Exemptions</w:t>
      </w:r>
    </w:p>
    <w:p>
      <w:pPr>
        <w:spacing w:after="0" w:line="256" w:lineRule="exact"/>
        <w:rPr>
          <w:sz w:val="20"/>
          <w:szCs w:val="20"/>
          <w:color w:val="auto"/>
        </w:rPr>
      </w:pPr>
    </w:p>
    <w:p>
      <w:pPr>
        <w:jc w:val="both"/>
        <w:ind w:firstLine="648"/>
        <w:spacing w:after="0" w:line="296" w:lineRule="auto"/>
        <w:rPr>
          <w:sz w:val="20"/>
          <w:szCs w:val="20"/>
          <w:color w:val="auto"/>
        </w:rPr>
      </w:pPr>
      <w:r>
        <w:rPr>
          <w:rFonts w:ascii="Arial" w:cs="Arial" w:eastAsia="Arial" w:hAnsi="Arial"/>
          <w:sz w:val="16"/>
          <w:szCs w:val="16"/>
          <w:color w:val="auto"/>
        </w:rPr>
        <w:t xml:space="preserve">As the Company’s contracts have an original duration of one year or less, the Company uses the practical expedient applicable to its contracts and does not consider the time value of money. Further, because of the short duration of these contracts, the Company has not disclosed the transaction price for the remaining performance obligations as of the end of each reporting period or when the Company expects to recognize this revenue. In addition, the Company has applied the practical expedient provided by ASC 340, </w:t>
      </w:r>
      <w:r>
        <w:rPr>
          <w:rFonts w:ascii="Arial" w:cs="Arial" w:eastAsia="Arial" w:hAnsi="Arial"/>
          <w:sz w:val="16"/>
          <w:szCs w:val="16"/>
          <w:i w:val="1"/>
          <w:iCs w:val="1"/>
          <w:color w:val="auto"/>
        </w:rPr>
        <w:t>Other Assets and Deferred Costs</w:t>
      </w:r>
      <w:r>
        <w:rPr>
          <w:rFonts w:ascii="Arial" w:cs="Arial" w:eastAsia="Arial" w:hAnsi="Arial"/>
          <w:sz w:val="16"/>
          <w:szCs w:val="16"/>
          <w:color w:val="auto"/>
        </w:rPr>
        <w:t xml:space="preserve"> (“ASC 340”), and all incremental customer contract acquisition costs are expensed as they are incurred because the amortization period would have been one year or less.</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BUSINESS SEGMENTS</w:t>
      </w:r>
    </w:p>
    <w:p>
      <w:pPr>
        <w:spacing w:after="0" w:line="54"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The Company classifies its operations into the following reportable operating segments: (1) home health and hospice services, which includes the Company’s home health, hospice and home care businesses; and (2) senior living services, which includes the operation of assisted living, independent living and memory care communities. The reporting segments are business units that offer different services and are managed separately to provide greater visibility into those operations. The Company’s Chief Executive Officer, who is the Company’s Chief Operating Decision Maker (“CODM”), reviews financial information at the operating segment level. The Company also reports an “all other” category that includes general and administrative expense from the Company’s Service Center.</w:t>
      </w:r>
    </w:p>
    <w:p>
      <w:pPr>
        <w:spacing w:after="0" w:line="21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As of September 30, 2022, the Company provided services through 94 affiliated home health, hospice and home care agencies, and 49 affiliated senior living operations. The Company evaluates performance and allocates capital resources to each segment based on an operating model that is designed to maximize the quality of care provided and profitability. The Company’s Service Center provides various services to all lines of business. The Company does not review assets by segment and therefore assets by segment are not disclosed below.</w:t>
      </w:r>
    </w:p>
    <w:p>
      <w:pPr>
        <w:spacing w:after="0" w:line="214"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The CODM uses Segment Adjusted EBITDAR from Operations as the primary measure of profit and loss for the Company's reportable segments and to compare the performance of its operations with those of its competitors. Segment Adjusted EBITDAR from Operations is net income attributable to the Company's reportable segments excluding interest expense, provision for income taxes, depreciation and amortization expense, rent, and, in order to view the operations performance on a comparable basis from period to period, certain adjustments including: (1) costs at start-up operations, (2) share-based compensation, (3) acquisition related costs and credit allowances, (4) redundant and nonrecurring costs associated with the Transition Services Agreement, (5) the loss related to senior living operations transferred to Ensign, (6) unusual or</w:t>
      </w:r>
    </w:p>
    <w:p>
      <w:pPr>
        <w:spacing w:after="0" w:line="200" w:lineRule="exact"/>
        <w:rPr>
          <w:sz w:val="20"/>
          <w:szCs w:val="20"/>
          <w:color w:val="auto"/>
        </w:rPr>
      </w:pPr>
    </w:p>
    <w:p>
      <w:pPr>
        <w:spacing w:after="0" w:line="3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5" w:name="page16"/>
    <w:bookmarkEnd w:id="15"/>
    <w:p>
      <w:pPr>
        <w:spacing w:after="0"/>
        <w:rPr>
          <w:sz w:val="20"/>
          <w:szCs w:val="20"/>
          <w:color w:val="auto"/>
        </w:rPr>
      </w:pPr>
      <w:r>
        <w:rPr>
          <w:rFonts w:ascii="Arial" w:cs="Arial" w:eastAsia="Arial" w:hAnsi="Arial"/>
          <w:sz w:val="18"/>
          <w:szCs w:val="18"/>
          <w:u w:val="single" w:color="auto"/>
          <w:color w:val="0000FF"/>
        </w:rPr>
        <w:t>Table of Contents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PENNANT GROUP,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CONDENSED CONSOLIDATED FINANCIAL STATEMENTS - (Continued)</w:t>
      </w:r>
    </w:p>
    <w:p>
      <w:pPr>
        <w:spacing w:after="0" w:line="200" w:lineRule="exact"/>
        <w:rPr>
          <w:sz w:val="20"/>
          <w:szCs w:val="20"/>
          <w:color w:val="auto"/>
        </w:rPr>
      </w:pPr>
    </w:p>
    <w:p>
      <w:pPr>
        <w:spacing w:after="0" w:line="321"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non-recurring charges, and (7) net income attributable to noncontrolling interest. General and administrative expenses are not allocated to the reportable segments, and are included as “All Other”, accordingly the segment earnings measure reported is before allocation of corporate general and administrative expenses. The Company's segment measures may be different from the calculation methods used by other companies and, therefore, comparability may be limited.</w:t>
      </w:r>
    </w:p>
    <w:p>
      <w:pPr>
        <w:spacing w:after="0" w:line="2" w:lineRule="exact"/>
        <w:rPr>
          <w:sz w:val="20"/>
          <w:szCs w:val="20"/>
          <w:color w:val="auto"/>
        </w:rPr>
      </w:pPr>
    </w:p>
    <w:p>
      <w:pPr>
        <w:jc w:val="both"/>
        <w:ind w:firstLine="648"/>
        <w:spacing w:after="0" w:line="323" w:lineRule="auto"/>
        <w:rPr>
          <w:sz w:val="20"/>
          <w:szCs w:val="20"/>
          <w:color w:val="auto"/>
        </w:rPr>
      </w:pPr>
      <w:r>
        <w:rPr>
          <w:rFonts w:ascii="Arial" w:cs="Arial" w:eastAsia="Arial" w:hAnsi="Arial"/>
          <w:sz w:val="16"/>
          <w:szCs w:val="16"/>
          <w:color w:val="auto"/>
        </w:rPr>
        <w:t>The following tables present certain financial information regarding the Company’s reportable segments, general and administrative expenses are not allocated to the reportable segments and are included in “All Other” for the three and nine months ended September 30, 2022 and 2021:</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840" w:type="dxa"/>
            <w:vAlign w:val="bottom"/>
          </w:tcPr>
          <w:p>
            <w:pPr>
              <w:spacing w:after="0"/>
              <w:rPr>
                <w:sz w:val="17"/>
                <w:szCs w:val="17"/>
                <w:color w:val="auto"/>
              </w:rPr>
            </w:pPr>
          </w:p>
        </w:tc>
        <w:tc>
          <w:tcPr>
            <w:tcW w:w="1620" w:type="dxa"/>
            <w:vAlign w:val="bottom"/>
            <w:gridSpan w:val="3"/>
          </w:tcPr>
          <w:p>
            <w:pPr>
              <w:jc w:val="right"/>
              <w:ind w:right="180"/>
              <w:spacing w:after="0"/>
              <w:rPr>
                <w:sz w:val="20"/>
                <w:szCs w:val="20"/>
                <w:color w:val="auto"/>
              </w:rPr>
            </w:pPr>
            <w:r>
              <w:rPr>
                <w:rFonts w:ascii="Arial" w:cs="Arial" w:eastAsia="Arial" w:hAnsi="Arial"/>
                <w:sz w:val="18"/>
                <w:szCs w:val="18"/>
                <w:b w:val="1"/>
                <w:bCs w:val="1"/>
                <w:color w:val="auto"/>
                <w:w w:val="96"/>
              </w:rPr>
              <w:t>Home Health and</w:t>
            </w:r>
          </w:p>
        </w:tc>
        <w:tc>
          <w:tcPr>
            <w:tcW w:w="180" w:type="dxa"/>
            <w:vAlign w:val="bottom"/>
          </w:tcPr>
          <w:p>
            <w:pPr>
              <w:spacing w:after="0"/>
              <w:rPr>
                <w:sz w:val="17"/>
                <w:szCs w:val="17"/>
                <w:color w:val="auto"/>
              </w:rPr>
            </w:pPr>
          </w:p>
        </w:tc>
        <w:tc>
          <w:tcPr>
            <w:tcW w:w="144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1"/>
              </w:rPr>
              <w:t>Senior Living</w:t>
            </w:r>
          </w:p>
        </w:tc>
        <w:tc>
          <w:tcPr>
            <w:tcW w:w="24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00" w:type="dxa"/>
            <w:vAlign w:val="bottom"/>
          </w:tcPr>
          <w:p>
            <w:pPr>
              <w:spacing w:after="0"/>
              <w:rPr>
                <w:sz w:val="17"/>
                <w:szCs w:val="17"/>
                <w:color w:val="auto"/>
              </w:rPr>
            </w:pPr>
          </w:p>
        </w:tc>
      </w:tr>
      <w:tr>
        <w:trPr>
          <w:trHeight w:val="243"/>
        </w:trPr>
        <w:tc>
          <w:tcPr>
            <w:tcW w:w="48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500" w:type="dxa"/>
            <w:vAlign w:val="bottom"/>
            <w:gridSpan w:val="2"/>
          </w:tcPr>
          <w:p>
            <w:pPr>
              <w:spacing w:after="0"/>
              <w:rPr>
                <w:sz w:val="20"/>
                <w:szCs w:val="20"/>
                <w:color w:val="auto"/>
              </w:rPr>
            </w:pPr>
            <w:r>
              <w:rPr>
                <w:rFonts w:ascii="Arial" w:cs="Arial" w:eastAsia="Arial" w:hAnsi="Arial"/>
                <w:sz w:val="18"/>
                <w:szCs w:val="18"/>
                <w:b w:val="1"/>
                <w:bCs w:val="1"/>
                <w:color w:val="auto"/>
                <w:w w:val="99"/>
              </w:rPr>
              <w:t>Hospice Services</w:t>
            </w:r>
          </w:p>
        </w:tc>
        <w:tc>
          <w:tcPr>
            <w:tcW w:w="180" w:type="dxa"/>
            <w:vAlign w:val="bottom"/>
          </w:tcPr>
          <w:p>
            <w:pPr>
              <w:spacing w:after="0"/>
              <w:rPr>
                <w:sz w:val="21"/>
                <w:szCs w:val="21"/>
                <w:color w:val="auto"/>
              </w:rPr>
            </w:pPr>
          </w:p>
        </w:tc>
        <w:tc>
          <w:tcPr>
            <w:tcW w:w="144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86"/>
              </w:rPr>
              <w:t>Services</w:t>
            </w:r>
          </w:p>
        </w:tc>
        <w:tc>
          <w:tcPr>
            <w:tcW w:w="240" w:type="dxa"/>
            <w:vAlign w:val="bottom"/>
          </w:tcPr>
          <w:p>
            <w:pPr>
              <w:spacing w:after="0"/>
              <w:rPr>
                <w:sz w:val="21"/>
                <w:szCs w:val="21"/>
                <w:color w:val="auto"/>
              </w:rPr>
            </w:pPr>
          </w:p>
        </w:tc>
        <w:tc>
          <w:tcPr>
            <w:tcW w:w="1380" w:type="dxa"/>
            <w:vAlign w:val="bottom"/>
            <w:gridSpan w:val="2"/>
          </w:tcPr>
          <w:p>
            <w:pPr>
              <w:ind w:left="140"/>
              <w:spacing w:after="0"/>
              <w:rPr>
                <w:sz w:val="20"/>
                <w:szCs w:val="20"/>
                <w:color w:val="auto"/>
              </w:rPr>
            </w:pPr>
            <w:r>
              <w:rPr>
                <w:rFonts w:ascii="Arial" w:cs="Arial" w:eastAsia="Arial" w:hAnsi="Arial"/>
                <w:sz w:val="18"/>
                <w:szCs w:val="18"/>
                <w:b w:val="1"/>
                <w:bCs w:val="1"/>
                <w:color w:val="auto"/>
              </w:rPr>
              <w:t>All Other</w:t>
            </w:r>
          </w:p>
        </w:tc>
        <w:tc>
          <w:tcPr>
            <w:tcW w:w="340" w:type="dxa"/>
            <w:vAlign w:val="bottom"/>
          </w:tcPr>
          <w:p>
            <w:pPr>
              <w:spacing w:after="0"/>
              <w:rPr>
                <w:sz w:val="21"/>
                <w:szCs w:val="21"/>
                <w:color w:val="auto"/>
              </w:rPr>
            </w:pPr>
          </w:p>
        </w:tc>
        <w:tc>
          <w:tcPr>
            <w:tcW w:w="1200" w:type="dxa"/>
            <w:vAlign w:val="bottom"/>
          </w:tcPr>
          <w:p>
            <w:pPr>
              <w:jc w:val="right"/>
              <w:ind w:right="490"/>
              <w:spacing w:after="0"/>
              <w:rPr>
                <w:sz w:val="20"/>
                <w:szCs w:val="20"/>
                <w:color w:val="auto"/>
              </w:rPr>
            </w:pPr>
            <w:r>
              <w:rPr>
                <w:rFonts w:ascii="Arial" w:cs="Arial" w:eastAsia="Arial" w:hAnsi="Arial"/>
                <w:sz w:val="18"/>
                <w:szCs w:val="18"/>
                <w:b w:val="1"/>
                <w:bCs w:val="1"/>
                <w:color w:val="auto"/>
              </w:rPr>
              <w:t>Total</w:t>
            </w:r>
          </w:p>
        </w:tc>
      </w:tr>
      <w:tr>
        <w:trPr>
          <w:trHeight w:val="209"/>
        </w:trPr>
        <w:tc>
          <w:tcPr>
            <w:tcW w:w="48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Three Months Ended September 30, 2022</w:t>
            </w:r>
          </w:p>
        </w:tc>
        <w:tc>
          <w:tcPr>
            <w:tcW w:w="120" w:type="dxa"/>
            <w:vAlign w:val="bottom"/>
            <w:tcBorders>
              <w:top w:val="single" w:sz="8" w:color="auto"/>
            </w:tcBorders>
            <w:shd w:val="clear" w:color="auto" w:fill="CCEEFF"/>
          </w:tcPr>
          <w:p>
            <w:pPr>
              <w:spacing w:after="0"/>
              <w:rPr>
                <w:sz w:val="18"/>
                <w:szCs w:val="18"/>
                <w:color w:val="auto"/>
              </w:rPr>
            </w:pPr>
          </w:p>
        </w:tc>
        <w:tc>
          <w:tcPr>
            <w:tcW w:w="14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3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12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1200" w:type="dxa"/>
            <w:vAlign w:val="bottom"/>
            <w:tcBorders>
              <w:top w:val="single" w:sz="8" w:color="auto"/>
            </w:tcBorders>
            <w:shd w:val="clear" w:color="auto" w:fill="CCEEFF"/>
          </w:tcPr>
          <w:p>
            <w:pPr>
              <w:spacing w:after="0"/>
              <w:rPr>
                <w:sz w:val="18"/>
                <w:szCs w:val="18"/>
                <w:color w:val="auto"/>
              </w:rPr>
            </w:pPr>
          </w:p>
        </w:tc>
      </w:tr>
      <w:tr>
        <w:trPr>
          <w:trHeight w:val="230"/>
        </w:trPr>
        <w:tc>
          <w:tcPr>
            <w:tcW w:w="4840" w:type="dxa"/>
            <w:vAlign w:val="bottom"/>
          </w:tcPr>
          <w:p>
            <w:pPr>
              <w:ind w:left="20"/>
              <w:spacing w:after="0"/>
              <w:rPr>
                <w:sz w:val="20"/>
                <w:szCs w:val="20"/>
                <w:color w:val="auto"/>
              </w:rPr>
            </w:pPr>
            <w:r>
              <w:rPr>
                <w:rFonts w:ascii="Arial" w:cs="Arial" w:eastAsia="Arial" w:hAnsi="Arial"/>
                <w:sz w:val="18"/>
                <w:szCs w:val="18"/>
                <w:color w:val="auto"/>
              </w:rPr>
              <w:t>Revenue</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00" w:type="dxa"/>
            <w:vAlign w:val="bottom"/>
          </w:tcPr>
          <w:p>
            <w:pPr>
              <w:jc w:val="right"/>
              <w:spacing w:after="0"/>
              <w:rPr>
                <w:sz w:val="20"/>
                <w:szCs w:val="20"/>
                <w:color w:val="auto"/>
              </w:rPr>
            </w:pPr>
            <w:r>
              <w:rPr>
                <w:rFonts w:ascii="Arial" w:cs="Arial" w:eastAsia="Arial" w:hAnsi="Arial"/>
                <w:sz w:val="18"/>
                <w:szCs w:val="18"/>
                <w:color w:val="auto"/>
              </w:rPr>
              <w:t>85,779</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32,571</w:t>
            </w:r>
          </w:p>
        </w:tc>
        <w:tc>
          <w:tcPr>
            <w:tcW w:w="100" w:type="dxa"/>
            <w:vAlign w:val="bottom"/>
          </w:tcPr>
          <w:p>
            <w:pPr>
              <w:spacing w:after="0"/>
              <w:rPr>
                <w:sz w:val="19"/>
                <w:szCs w:val="19"/>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380" w:type="dxa"/>
            <w:vAlign w:val="bottom"/>
            <w:gridSpan w:val="2"/>
          </w:tcPr>
          <w:p>
            <w:pPr>
              <w:ind w:left="1020"/>
              <w:spacing w:after="0"/>
              <w:rPr>
                <w:sz w:val="20"/>
                <w:szCs w:val="20"/>
                <w:color w:val="auto"/>
              </w:rPr>
            </w:pPr>
            <w:r>
              <w:rPr>
                <w:rFonts w:ascii="Arial" w:cs="Arial" w:eastAsia="Arial" w:hAnsi="Arial"/>
                <w:sz w:val="18"/>
                <w:szCs w:val="18"/>
                <w:color w:val="auto"/>
              </w:rPr>
              <w:t>—</w:t>
            </w: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118,350</w:t>
            </w:r>
          </w:p>
        </w:tc>
      </w:tr>
      <w:tr>
        <w:trPr>
          <w:trHeight w:val="229"/>
        </w:trPr>
        <w:tc>
          <w:tcPr>
            <w:tcW w:w="484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Segment Adjusted EBITDAR from Operations</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15,380</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9,370</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(7,779)</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16,971</w:t>
            </w:r>
          </w:p>
        </w:tc>
      </w:tr>
      <w:tr>
        <w:trPr>
          <w:trHeight w:val="230"/>
        </w:trPr>
        <w:tc>
          <w:tcPr>
            <w:tcW w:w="4840" w:type="dxa"/>
            <w:vAlign w:val="bottom"/>
          </w:tcPr>
          <w:p>
            <w:pPr>
              <w:ind w:left="20"/>
              <w:spacing w:after="0"/>
              <w:rPr>
                <w:sz w:val="20"/>
                <w:szCs w:val="20"/>
                <w:color w:val="auto"/>
              </w:rPr>
            </w:pPr>
            <w:r>
              <w:rPr>
                <w:rFonts w:ascii="Arial" w:cs="Arial" w:eastAsia="Arial" w:hAnsi="Arial"/>
                <w:sz w:val="18"/>
                <w:szCs w:val="18"/>
                <w:b w:val="1"/>
                <w:bCs w:val="1"/>
                <w:color w:val="auto"/>
              </w:rPr>
              <w:t>Three Months Ended September 30, 2021</w:t>
            </w:r>
          </w:p>
        </w:tc>
        <w:tc>
          <w:tcPr>
            <w:tcW w:w="12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0" w:type="dxa"/>
            <w:vAlign w:val="bottom"/>
          </w:tcPr>
          <w:p>
            <w:pPr>
              <w:spacing w:after="0"/>
              <w:rPr>
                <w:sz w:val="19"/>
                <w:szCs w:val="19"/>
                <w:color w:val="auto"/>
              </w:rPr>
            </w:pPr>
          </w:p>
        </w:tc>
      </w:tr>
      <w:tr>
        <w:trPr>
          <w:trHeight w:val="229"/>
        </w:trPr>
        <w:tc>
          <w:tcPr>
            <w:tcW w:w="484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Revenue</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79,003</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32,918</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380" w:type="dxa"/>
            <w:vAlign w:val="bottom"/>
            <w:gridSpan w:val="2"/>
            <w:shd w:val="clear" w:color="auto" w:fill="CCEEFF"/>
          </w:tcPr>
          <w:p>
            <w:pPr>
              <w:ind w:left="102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111,921</w:t>
            </w:r>
          </w:p>
        </w:tc>
      </w:tr>
      <w:tr>
        <w:trPr>
          <w:trHeight w:val="230"/>
        </w:trPr>
        <w:tc>
          <w:tcPr>
            <w:tcW w:w="4840" w:type="dxa"/>
            <w:vAlign w:val="bottom"/>
          </w:tcPr>
          <w:p>
            <w:pPr>
              <w:ind w:left="20"/>
              <w:spacing w:after="0"/>
              <w:rPr>
                <w:sz w:val="20"/>
                <w:szCs w:val="20"/>
                <w:color w:val="auto"/>
              </w:rPr>
            </w:pPr>
            <w:r>
              <w:rPr>
                <w:rFonts w:ascii="Arial" w:cs="Arial" w:eastAsia="Arial" w:hAnsi="Arial"/>
                <w:sz w:val="18"/>
                <w:szCs w:val="18"/>
                <w:color w:val="auto"/>
              </w:rPr>
              <w:t>Segment Adjusted EBITDAR from Operations</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00" w:type="dxa"/>
            <w:vAlign w:val="bottom"/>
          </w:tcPr>
          <w:p>
            <w:pPr>
              <w:jc w:val="right"/>
              <w:spacing w:after="0"/>
              <w:rPr>
                <w:sz w:val="20"/>
                <w:szCs w:val="20"/>
                <w:color w:val="auto"/>
              </w:rPr>
            </w:pPr>
            <w:r>
              <w:rPr>
                <w:rFonts w:ascii="Arial" w:cs="Arial" w:eastAsia="Arial" w:hAnsi="Arial"/>
                <w:sz w:val="18"/>
                <w:szCs w:val="18"/>
                <w:color w:val="auto"/>
              </w:rPr>
              <w:t>14,409</w:t>
            </w:r>
          </w:p>
        </w:tc>
        <w:tc>
          <w:tcPr>
            <w:tcW w:w="10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9,106</w:t>
            </w:r>
          </w:p>
        </w:tc>
        <w:tc>
          <w:tcPr>
            <w:tcW w:w="100" w:type="dxa"/>
            <w:vAlign w:val="bottom"/>
          </w:tcPr>
          <w:p>
            <w:pPr>
              <w:spacing w:after="0"/>
              <w:rPr>
                <w:sz w:val="20"/>
                <w:szCs w:val="20"/>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(6,783)</w:t>
            </w:r>
          </w:p>
        </w:tc>
        <w:tc>
          <w:tcPr>
            <w:tcW w:w="100" w:type="dxa"/>
            <w:vAlign w:val="bottom"/>
          </w:tcPr>
          <w:p>
            <w:pPr>
              <w:spacing w:after="0"/>
              <w:rPr>
                <w:sz w:val="20"/>
                <w:szCs w:val="20"/>
                <w:color w:val="auto"/>
              </w:rPr>
            </w:pP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16,732</w:t>
            </w:r>
          </w:p>
        </w:tc>
      </w:tr>
    </w:tbl>
    <w:p>
      <w:pPr>
        <w:spacing w:after="0" w:line="33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840" w:type="dxa"/>
            <w:vAlign w:val="bottom"/>
          </w:tcPr>
          <w:p>
            <w:pPr>
              <w:spacing w:after="0"/>
              <w:rPr>
                <w:sz w:val="17"/>
                <w:szCs w:val="17"/>
                <w:color w:val="auto"/>
              </w:rPr>
            </w:pPr>
          </w:p>
        </w:tc>
        <w:tc>
          <w:tcPr>
            <w:tcW w:w="1620" w:type="dxa"/>
            <w:vAlign w:val="bottom"/>
            <w:gridSpan w:val="3"/>
          </w:tcPr>
          <w:p>
            <w:pPr>
              <w:jc w:val="center"/>
              <w:ind w:right="100"/>
              <w:spacing w:after="0"/>
              <w:rPr>
                <w:sz w:val="20"/>
                <w:szCs w:val="20"/>
                <w:color w:val="auto"/>
              </w:rPr>
            </w:pPr>
            <w:r>
              <w:rPr>
                <w:rFonts w:ascii="Arial" w:cs="Arial" w:eastAsia="Arial" w:hAnsi="Arial"/>
                <w:sz w:val="18"/>
                <w:szCs w:val="18"/>
                <w:b w:val="1"/>
                <w:bCs w:val="1"/>
                <w:color w:val="auto"/>
                <w:w w:val="92"/>
              </w:rPr>
              <w:t>Home Health and</w:t>
            </w:r>
          </w:p>
        </w:tc>
        <w:tc>
          <w:tcPr>
            <w:tcW w:w="180" w:type="dxa"/>
            <w:vAlign w:val="bottom"/>
          </w:tcPr>
          <w:p>
            <w:pPr>
              <w:spacing w:after="0"/>
              <w:rPr>
                <w:sz w:val="17"/>
                <w:szCs w:val="17"/>
                <w:color w:val="auto"/>
              </w:rPr>
            </w:pPr>
          </w:p>
        </w:tc>
        <w:tc>
          <w:tcPr>
            <w:tcW w:w="144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1"/>
              </w:rPr>
              <w:t>Senior Living</w:t>
            </w:r>
          </w:p>
        </w:tc>
        <w:tc>
          <w:tcPr>
            <w:tcW w:w="24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00" w:type="dxa"/>
            <w:vAlign w:val="bottom"/>
          </w:tcPr>
          <w:p>
            <w:pPr>
              <w:spacing w:after="0"/>
              <w:rPr>
                <w:sz w:val="17"/>
                <w:szCs w:val="17"/>
                <w:color w:val="auto"/>
              </w:rPr>
            </w:pPr>
          </w:p>
        </w:tc>
      </w:tr>
      <w:tr>
        <w:trPr>
          <w:trHeight w:val="243"/>
        </w:trPr>
        <w:tc>
          <w:tcPr>
            <w:tcW w:w="48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50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5"/>
              </w:rPr>
              <w:t>Hospice Services</w:t>
            </w:r>
          </w:p>
        </w:tc>
        <w:tc>
          <w:tcPr>
            <w:tcW w:w="180" w:type="dxa"/>
            <w:vAlign w:val="bottom"/>
          </w:tcPr>
          <w:p>
            <w:pPr>
              <w:spacing w:after="0"/>
              <w:rPr>
                <w:sz w:val="21"/>
                <w:szCs w:val="21"/>
                <w:color w:val="auto"/>
              </w:rPr>
            </w:pPr>
          </w:p>
        </w:tc>
        <w:tc>
          <w:tcPr>
            <w:tcW w:w="144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86"/>
              </w:rPr>
              <w:t>Services</w:t>
            </w:r>
          </w:p>
        </w:tc>
        <w:tc>
          <w:tcPr>
            <w:tcW w:w="240" w:type="dxa"/>
            <w:vAlign w:val="bottom"/>
          </w:tcPr>
          <w:p>
            <w:pPr>
              <w:spacing w:after="0"/>
              <w:rPr>
                <w:sz w:val="21"/>
                <w:szCs w:val="21"/>
                <w:color w:val="auto"/>
              </w:rPr>
            </w:pPr>
          </w:p>
        </w:tc>
        <w:tc>
          <w:tcPr>
            <w:tcW w:w="1380" w:type="dxa"/>
            <w:vAlign w:val="bottom"/>
            <w:gridSpan w:val="2"/>
          </w:tcPr>
          <w:p>
            <w:pPr>
              <w:ind w:left="140"/>
              <w:spacing w:after="0"/>
              <w:rPr>
                <w:sz w:val="20"/>
                <w:szCs w:val="20"/>
                <w:color w:val="auto"/>
              </w:rPr>
            </w:pPr>
            <w:r>
              <w:rPr>
                <w:rFonts w:ascii="Arial" w:cs="Arial" w:eastAsia="Arial" w:hAnsi="Arial"/>
                <w:sz w:val="18"/>
                <w:szCs w:val="18"/>
                <w:b w:val="1"/>
                <w:bCs w:val="1"/>
                <w:color w:val="auto"/>
              </w:rPr>
              <w:t>All Other</w:t>
            </w:r>
          </w:p>
        </w:tc>
        <w:tc>
          <w:tcPr>
            <w:tcW w:w="340" w:type="dxa"/>
            <w:vAlign w:val="bottom"/>
          </w:tcPr>
          <w:p>
            <w:pPr>
              <w:spacing w:after="0"/>
              <w:rPr>
                <w:sz w:val="21"/>
                <w:szCs w:val="21"/>
                <w:color w:val="auto"/>
              </w:rPr>
            </w:pPr>
          </w:p>
        </w:tc>
        <w:tc>
          <w:tcPr>
            <w:tcW w:w="1200" w:type="dxa"/>
            <w:vAlign w:val="bottom"/>
          </w:tcPr>
          <w:p>
            <w:pPr>
              <w:jc w:val="right"/>
              <w:ind w:right="490"/>
              <w:spacing w:after="0"/>
              <w:rPr>
                <w:sz w:val="20"/>
                <w:szCs w:val="20"/>
                <w:color w:val="auto"/>
              </w:rPr>
            </w:pPr>
            <w:r>
              <w:rPr>
                <w:rFonts w:ascii="Arial" w:cs="Arial" w:eastAsia="Arial" w:hAnsi="Arial"/>
                <w:sz w:val="18"/>
                <w:szCs w:val="18"/>
                <w:b w:val="1"/>
                <w:bCs w:val="1"/>
                <w:color w:val="auto"/>
              </w:rPr>
              <w:t>Total</w:t>
            </w:r>
          </w:p>
        </w:tc>
      </w:tr>
      <w:tr>
        <w:trPr>
          <w:trHeight w:val="209"/>
        </w:trPr>
        <w:tc>
          <w:tcPr>
            <w:tcW w:w="48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Nine Months Ended September 30, 2022</w:t>
            </w:r>
          </w:p>
        </w:tc>
        <w:tc>
          <w:tcPr>
            <w:tcW w:w="120" w:type="dxa"/>
            <w:vAlign w:val="bottom"/>
            <w:tcBorders>
              <w:top w:val="single" w:sz="8" w:color="auto"/>
            </w:tcBorders>
            <w:shd w:val="clear" w:color="auto" w:fill="CCEEFF"/>
          </w:tcPr>
          <w:p>
            <w:pPr>
              <w:spacing w:after="0"/>
              <w:rPr>
                <w:sz w:val="18"/>
                <w:szCs w:val="18"/>
                <w:color w:val="auto"/>
              </w:rPr>
            </w:pPr>
          </w:p>
        </w:tc>
        <w:tc>
          <w:tcPr>
            <w:tcW w:w="14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3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12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1200" w:type="dxa"/>
            <w:vAlign w:val="bottom"/>
            <w:tcBorders>
              <w:top w:val="single" w:sz="8" w:color="auto"/>
            </w:tcBorders>
            <w:shd w:val="clear" w:color="auto" w:fill="CCEEFF"/>
          </w:tcPr>
          <w:p>
            <w:pPr>
              <w:spacing w:after="0"/>
              <w:rPr>
                <w:sz w:val="18"/>
                <w:szCs w:val="18"/>
                <w:color w:val="auto"/>
              </w:rPr>
            </w:pPr>
          </w:p>
        </w:tc>
      </w:tr>
      <w:tr>
        <w:trPr>
          <w:trHeight w:val="230"/>
        </w:trPr>
        <w:tc>
          <w:tcPr>
            <w:tcW w:w="4840" w:type="dxa"/>
            <w:vAlign w:val="bottom"/>
          </w:tcPr>
          <w:p>
            <w:pPr>
              <w:ind w:left="20"/>
              <w:spacing w:after="0"/>
              <w:rPr>
                <w:sz w:val="20"/>
                <w:szCs w:val="20"/>
                <w:color w:val="auto"/>
              </w:rPr>
            </w:pPr>
            <w:r>
              <w:rPr>
                <w:rFonts w:ascii="Arial" w:cs="Arial" w:eastAsia="Arial" w:hAnsi="Arial"/>
                <w:sz w:val="18"/>
                <w:szCs w:val="18"/>
                <w:color w:val="auto"/>
              </w:rPr>
              <w:t>Revenue</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00" w:type="dxa"/>
            <w:vAlign w:val="bottom"/>
          </w:tcPr>
          <w:p>
            <w:pPr>
              <w:jc w:val="right"/>
              <w:spacing w:after="0"/>
              <w:rPr>
                <w:sz w:val="20"/>
                <w:szCs w:val="20"/>
                <w:color w:val="auto"/>
              </w:rPr>
            </w:pPr>
            <w:r>
              <w:rPr>
                <w:rFonts w:ascii="Arial" w:cs="Arial" w:eastAsia="Arial" w:hAnsi="Arial"/>
                <w:sz w:val="18"/>
                <w:szCs w:val="18"/>
                <w:color w:val="auto"/>
              </w:rPr>
              <w:t>251,598</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96,978</w:t>
            </w:r>
          </w:p>
        </w:tc>
        <w:tc>
          <w:tcPr>
            <w:tcW w:w="100" w:type="dxa"/>
            <w:vAlign w:val="bottom"/>
          </w:tcPr>
          <w:p>
            <w:pPr>
              <w:spacing w:after="0"/>
              <w:rPr>
                <w:sz w:val="19"/>
                <w:szCs w:val="19"/>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380" w:type="dxa"/>
            <w:vAlign w:val="bottom"/>
            <w:gridSpan w:val="2"/>
          </w:tcPr>
          <w:p>
            <w:pPr>
              <w:ind w:left="1020"/>
              <w:spacing w:after="0"/>
              <w:rPr>
                <w:sz w:val="20"/>
                <w:szCs w:val="20"/>
                <w:color w:val="auto"/>
              </w:rPr>
            </w:pPr>
            <w:r>
              <w:rPr>
                <w:rFonts w:ascii="Arial" w:cs="Arial" w:eastAsia="Arial" w:hAnsi="Arial"/>
                <w:sz w:val="18"/>
                <w:szCs w:val="18"/>
                <w:color w:val="auto"/>
              </w:rPr>
              <w:t>—</w:t>
            </w: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348,576</w:t>
            </w:r>
          </w:p>
        </w:tc>
      </w:tr>
      <w:tr>
        <w:trPr>
          <w:trHeight w:val="229"/>
        </w:trPr>
        <w:tc>
          <w:tcPr>
            <w:tcW w:w="484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Segment Adjusted EBITDAR from Operations</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45,056</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27,573</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(23,795)</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48,834</w:t>
            </w:r>
          </w:p>
        </w:tc>
      </w:tr>
      <w:tr>
        <w:trPr>
          <w:trHeight w:val="229"/>
        </w:trPr>
        <w:tc>
          <w:tcPr>
            <w:tcW w:w="4840" w:type="dxa"/>
            <w:vAlign w:val="bottom"/>
          </w:tcPr>
          <w:p>
            <w:pPr>
              <w:ind w:left="20"/>
              <w:spacing w:after="0"/>
              <w:rPr>
                <w:sz w:val="20"/>
                <w:szCs w:val="20"/>
                <w:color w:val="auto"/>
              </w:rPr>
            </w:pPr>
            <w:r>
              <w:rPr>
                <w:rFonts w:ascii="Arial" w:cs="Arial" w:eastAsia="Arial" w:hAnsi="Arial"/>
                <w:sz w:val="18"/>
                <w:szCs w:val="18"/>
                <w:b w:val="1"/>
                <w:bCs w:val="1"/>
                <w:color w:val="auto"/>
              </w:rPr>
              <w:t>Nine Months Ended September 30, 2021</w:t>
            </w:r>
          </w:p>
        </w:tc>
        <w:tc>
          <w:tcPr>
            <w:tcW w:w="12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0" w:type="dxa"/>
            <w:vAlign w:val="bottom"/>
          </w:tcPr>
          <w:p>
            <w:pPr>
              <w:spacing w:after="0"/>
              <w:rPr>
                <w:sz w:val="19"/>
                <w:szCs w:val="19"/>
                <w:color w:val="auto"/>
              </w:rPr>
            </w:pPr>
          </w:p>
        </w:tc>
      </w:tr>
      <w:tr>
        <w:trPr>
          <w:trHeight w:val="230"/>
        </w:trPr>
        <w:tc>
          <w:tcPr>
            <w:tcW w:w="484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Revenue</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231,715</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96,214</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380" w:type="dxa"/>
            <w:vAlign w:val="bottom"/>
            <w:gridSpan w:val="2"/>
            <w:shd w:val="clear" w:color="auto" w:fill="CCEEFF"/>
          </w:tcPr>
          <w:p>
            <w:pPr>
              <w:ind w:left="102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327,929</w:t>
            </w:r>
          </w:p>
        </w:tc>
      </w:tr>
      <w:tr>
        <w:trPr>
          <w:trHeight w:val="230"/>
        </w:trPr>
        <w:tc>
          <w:tcPr>
            <w:tcW w:w="4840" w:type="dxa"/>
            <w:vAlign w:val="bottom"/>
          </w:tcPr>
          <w:p>
            <w:pPr>
              <w:ind w:left="20"/>
              <w:spacing w:after="0"/>
              <w:rPr>
                <w:sz w:val="20"/>
                <w:szCs w:val="20"/>
                <w:color w:val="auto"/>
              </w:rPr>
            </w:pPr>
            <w:r>
              <w:rPr>
                <w:rFonts w:ascii="Arial" w:cs="Arial" w:eastAsia="Arial" w:hAnsi="Arial"/>
                <w:sz w:val="18"/>
                <w:szCs w:val="18"/>
                <w:color w:val="auto"/>
              </w:rPr>
              <w:t>Segment Adjusted EBITDAR from Operations</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00" w:type="dxa"/>
            <w:vAlign w:val="bottom"/>
          </w:tcPr>
          <w:p>
            <w:pPr>
              <w:jc w:val="right"/>
              <w:spacing w:after="0"/>
              <w:rPr>
                <w:sz w:val="20"/>
                <w:szCs w:val="20"/>
                <w:color w:val="auto"/>
              </w:rPr>
            </w:pPr>
            <w:r>
              <w:rPr>
                <w:rFonts w:ascii="Arial" w:cs="Arial" w:eastAsia="Arial" w:hAnsi="Arial"/>
                <w:sz w:val="18"/>
                <w:szCs w:val="18"/>
                <w:color w:val="auto"/>
              </w:rPr>
              <w:t>43,131</w:t>
            </w:r>
          </w:p>
        </w:tc>
        <w:tc>
          <w:tcPr>
            <w:tcW w:w="10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27,692</w:t>
            </w:r>
          </w:p>
        </w:tc>
        <w:tc>
          <w:tcPr>
            <w:tcW w:w="100" w:type="dxa"/>
            <w:vAlign w:val="bottom"/>
          </w:tcPr>
          <w:p>
            <w:pPr>
              <w:spacing w:after="0"/>
              <w:rPr>
                <w:sz w:val="20"/>
                <w:szCs w:val="20"/>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(19,249)</w:t>
            </w:r>
          </w:p>
        </w:tc>
        <w:tc>
          <w:tcPr>
            <w:tcW w:w="100" w:type="dxa"/>
            <w:vAlign w:val="bottom"/>
          </w:tcPr>
          <w:p>
            <w:pPr>
              <w:spacing w:after="0"/>
              <w:rPr>
                <w:sz w:val="20"/>
                <w:szCs w:val="20"/>
                <w:color w:val="auto"/>
              </w:rPr>
            </w:pP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51,574</w:t>
            </w:r>
          </w:p>
        </w:tc>
      </w:tr>
    </w:tbl>
    <w:p>
      <w:pPr>
        <w:spacing w:after="0" w:line="30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This following table provides a reconciliation of Segment Adjusted EBITDAR from Operations to income from operations:</w:t>
      </w:r>
    </w:p>
    <w:p>
      <w:pPr>
        <w:spacing w:after="0" w:line="27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2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700" w:type="dxa"/>
            <w:vAlign w:val="bottom"/>
            <w:gridSpan w:val="6"/>
          </w:tcPr>
          <w:p>
            <w:pPr>
              <w:ind w:left="40"/>
              <w:spacing w:after="0"/>
              <w:rPr>
                <w:sz w:val="20"/>
                <w:szCs w:val="20"/>
                <w:color w:val="auto"/>
              </w:rPr>
            </w:pPr>
            <w:r>
              <w:rPr>
                <w:rFonts w:ascii="Arial" w:cs="Arial" w:eastAsia="Arial" w:hAnsi="Arial"/>
                <w:sz w:val="18"/>
                <w:szCs w:val="18"/>
                <w:b w:val="1"/>
                <w:bCs w:val="1"/>
                <w:color w:val="auto"/>
                <w:w w:val="95"/>
              </w:rPr>
              <w:t>Three Months Ended September</w:t>
            </w:r>
          </w:p>
        </w:tc>
        <w:tc>
          <w:tcPr>
            <w:tcW w:w="2600" w:type="dxa"/>
            <w:vAlign w:val="bottom"/>
            <w:gridSpan w:val="6"/>
          </w:tcPr>
          <w:p>
            <w:pPr>
              <w:jc w:val="right"/>
              <w:spacing w:after="0"/>
              <w:rPr>
                <w:sz w:val="20"/>
                <w:szCs w:val="20"/>
                <w:color w:val="auto"/>
              </w:rPr>
            </w:pPr>
            <w:r>
              <w:rPr>
                <w:rFonts w:ascii="Arial" w:cs="Arial" w:eastAsia="Arial" w:hAnsi="Arial"/>
                <w:sz w:val="18"/>
                <w:szCs w:val="18"/>
                <w:b w:val="1"/>
                <w:bCs w:val="1"/>
                <w:color w:val="auto"/>
                <w:w w:val="93"/>
              </w:rPr>
              <w:t>Nine Months Ended September</w:t>
            </w:r>
          </w:p>
        </w:tc>
        <w:tc>
          <w:tcPr>
            <w:tcW w:w="0" w:type="dxa"/>
            <w:vAlign w:val="bottom"/>
          </w:tcPr>
          <w:p>
            <w:pPr>
              <w:spacing w:after="0"/>
              <w:rPr>
                <w:sz w:val="1"/>
                <w:szCs w:val="1"/>
                <w:color w:val="auto"/>
              </w:rPr>
            </w:pPr>
          </w:p>
        </w:tc>
      </w:tr>
      <w:tr>
        <w:trPr>
          <w:trHeight w:val="234"/>
        </w:trPr>
        <w:tc>
          <w:tcPr>
            <w:tcW w:w="52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gridSpan w:val="3"/>
          </w:tcPr>
          <w:p>
            <w:pPr>
              <w:jc w:val="right"/>
              <w:ind w:right="130"/>
              <w:spacing w:after="0"/>
              <w:rPr>
                <w:sz w:val="20"/>
                <w:szCs w:val="20"/>
                <w:color w:val="auto"/>
              </w:rPr>
            </w:pPr>
            <w:r>
              <w:rPr>
                <w:rFonts w:ascii="Arial" w:cs="Arial" w:eastAsia="Arial" w:hAnsi="Arial"/>
                <w:sz w:val="18"/>
                <w:szCs w:val="18"/>
                <w:b w:val="1"/>
                <w:bCs w:val="1"/>
                <w:color w:val="auto"/>
              </w:rPr>
              <w:t>30,</w:t>
            </w:r>
          </w:p>
        </w:tc>
        <w:tc>
          <w:tcPr>
            <w:tcW w:w="96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c>
          <w:tcPr>
            <w:tcW w:w="460" w:type="dxa"/>
            <w:vAlign w:val="bottom"/>
            <w:tcBorders>
              <w:bottom w:val="single" w:sz="8" w:color="auto"/>
            </w:tcBorders>
            <w:gridSpan w:val="3"/>
          </w:tcPr>
          <w:p>
            <w:pPr>
              <w:jc w:val="right"/>
              <w:ind w:right="130"/>
              <w:spacing w:after="0"/>
              <w:rPr>
                <w:sz w:val="20"/>
                <w:szCs w:val="20"/>
                <w:color w:val="auto"/>
              </w:rPr>
            </w:pPr>
            <w:r>
              <w:rPr>
                <w:rFonts w:ascii="Arial" w:cs="Arial" w:eastAsia="Arial" w:hAnsi="Arial"/>
                <w:sz w:val="18"/>
                <w:szCs w:val="18"/>
                <w:b w:val="1"/>
                <w:bCs w:val="1"/>
                <w:color w:val="auto"/>
                <w:w w:val="87"/>
              </w:rPr>
              <w:t>30,</w:t>
            </w:r>
          </w:p>
        </w:tc>
        <w:tc>
          <w:tcPr>
            <w:tcW w:w="96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52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2022</w:t>
            </w:r>
          </w:p>
        </w:tc>
        <w:tc>
          <w:tcPr>
            <w:tcW w:w="12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2021</w:t>
            </w:r>
          </w:p>
        </w:tc>
        <w:tc>
          <w:tcPr>
            <w:tcW w:w="10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2022</w:t>
            </w:r>
          </w:p>
        </w:tc>
        <w:tc>
          <w:tcPr>
            <w:tcW w:w="6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2021</w:t>
            </w:r>
          </w:p>
        </w:tc>
        <w:tc>
          <w:tcPr>
            <w:tcW w:w="0" w:type="dxa"/>
            <w:vAlign w:val="bottom"/>
          </w:tcPr>
          <w:p>
            <w:pPr>
              <w:spacing w:after="0"/>
              <w:rPr>
                <w:sz w:val="1"/>
                <w:szCs w:val="1"/>
                <w:color w:val="auto"/>
              </w:rPr>
            </w:pPr>
          </w:p>
        </w:tc>
      </w:tr>
      <w:tr>
        <w:trPr>
          <w:trHeight w:val="223"/>
        </w:trPr>
        <w:tc>
          <w:tcPr>
            <w:tcW w:w="5240" w:type="dxa"/>
            <w:vAlign w:val="bottom"/>
          </w:tcPr>
          <w:p>
            <w:pPr>
              <w:ind w:left="20"/>
              <w:spacing w:after="0"/>
              <w:rPr>
                <w:sz w:val="20"/>
                <w:szCs w:val="20"/>
                <w:color w:val="auto"/>
              </w:rPr>
            </w:pPr>
            <w:r>
              <w:rPr>
                <w:rFonts w:ascii="Arial" w:cs="Arial" w:eastAsia="Arial" w:hAnsi="Arial"/>
                <w:sz w:val="18"/>
                <w:szCs w:val="18"/>
                <w:color w:val="auto"/>
              </w:rPr>
              <w:t>Segment Adjusted EBITDAR from Operations</w:t>
            </w:r>
          </w:p>
        </w:tc>
        <w:tc>
          <w:tcPr>
            <w:tcW w:w="700" w:type="dxa"/>
            <w:vAlign w:val="bottom"/>
          </w:tcPr>
          <w:p>
            <w:pPr>
              <w:spacing w:after="0"/>
              <w:rPr>
                <w:sz w:val="19"/>
                <w:szCs w:val="19"/>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16,971</w:t>
            </w:r>
          </w:p>
        </w:tc>
        <w:tc>
          <w:tcPr>
            <w:tcW w:w="120" w:type="dxa"/>
            <w:vAlign w:val="bottom"/>
          </w:tcPr>
          <w:p>
            <w:pPr>
              <w:spacing w:after="0"/>
              <w:rPr>
                <w:sz w:val="19"/>
                <w:szCs w:val="19"/>
                <w:color w:val="auto"/>
              </w:rPr>
            </w:pP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16,732</w:t>
            </w:r>
          </w:p>
        </w:tc>
        <w:tc>
          <w:tcPr>
            <w:tcW w:w="100" w:type="dxa"/>
            <w:vAlign w:val="bottom"/>
          </w:tcPr>
          <w:p>
            <w:pPr>
              <w:spacing w:after="0"/>
              <w:rPr>
                <w:sz w:val="19"/>
                <w:szCs w:val="19"/>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48,834</w:t>
            </w: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51,574</w:t>
            </w:r>
          </w:p>
        </w:tc>
        <w:tc>
          <w:tcPr>
            <w:tcW w:w="0" w:type="dxa"/>
            <w:vAlign w:val="bottom"/>
          </w:tcPr>
          <w:p>
            <w:pPr>
              <w:spacing w:after="0"/>
              <w:rPr>
                <w:sz w:val="1"/>
                <w:szCs w:val="1"/>
                <w:color w:val="auto"/>
              </w:rPr>
            </w:pPr>
          </w:p>
        </w:tc>
      </w:tr>
      <w:tr>
        <w:trPr>
          <w:trHeight w:val="229"/>
        </w:trPr>
        <w:tc>
          <w:tcPr>
            <w:tcW w:w="5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Less: Depreciation and amortization</w:t>
            </w:r>
          </w:p>
        </w:tc>
        <w:tc>
          <w:tcPr>
            <w:tcW w:w="7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1,251</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1,200</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3,677</w:t>
            </w:r>
          </w:p>
        </w:tc>
        <w:tc>
          <w:tcPr>
            <w:tcW w:w="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3,545</w:t>
            </w:r>
          </w:p>
        </w:tc>
        <w:tc>
          <w:tcPr>
            <w:tcW w:w="0" w:type="dxa"/>
            <w:vAlign w:val="bottom"/>
          </w:tcPr>
          <w:p>
            <w:pPr>
              <w:spacing w:after="0"/>
              <w:rPr>
                <w:sz w:val="1"/>
                <w:szCs w:val="1"/>
                <w:color w:val="auto"/>
              </w:rPr>
            </w:pPr>
          </w:p>
        </w:tc>
      </w:tr>
      <w:tr>
        <w:trPr>
          <w:trHeight w:val="230"/>
        </w:trPr>
        <w:tc>
          <w:tcPr>
            <w:tcW w:w="5240" w:type="dxa"/>
            <w:vAlign w:val="bottom"/>
          </w:tcPr>
          <w:p>
            <w:pPr>
              <w:ind w:left="480"/>
              <w:spacing w:after="0"/>
              <w:rPr>
                <w:sz w:val="20"/>
                <w:szCs w:val="20"/>
                <w:color w:val="auto"/>
              </w:rPr>
            </w:pPr>
            <w:r>
              <w:rPr>
                <w:rFonts w:ascii="Arial" w:cs="Arial" w:eastAsia="Arial" w:hAnsi="Arial"/>
                <w:sz w:val="18"/>
                <w:szCs w:val="18"/>
                <w:color w:val="auto"/>
              </w:rPr>
              <w:t>Rent—cost of services</w:t>
            </w:r>
          </w:p>
        </w:tc>
        <w:tc>
          <w:tcPr>
            <w:tcW w:w="7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9,391</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10,334</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28,520</w:t>
            </w: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30,455</w:t>
            </w:r>
          </w:p>
        </w:tc>
        <w:tc>
          <w:tcPr>
            <w:tcW w:w="0" w:type="dxa"/>
            <w:vAlign w:val="bottom"/>
          </w:tcPr>
          <w:p>
            <w:pPr>
              <w:spacing w:after="0"/>
              <w:rPr>
                <w:sz w:val="1"/>
                <w:szCs w:val="1"/>
                <w:color w:val="auto"/>
              </w:rPr>
            </w:pPr>
          </w:p>
        </w:tc>
      </w:tr>
      <w:tr>
        <w:trPr>
          <w:trHeight w:val="230"/>
        </w:trPr>
        <w:tc>
          <w:tcPr>
            <w:tcW w:w="5240" w:type="dxa"/>
            <w:vAlign w:val="bottom"/>
            <w:shd w:val="clear" w:color="auto" w:fill="CCEEFF"/>
          </w:tcPr>
          <w:p>
            <w:pPr>
              <w:ind w:left="480"/>
              <w:spacing w:after="0"/>
              <w:rPr>
                <w:sz w:val="20"/>
                <w:szCs w:val="20"/>
                <w:color w:val="auto"/>
              </w:rPr>
            </w:pPr>
            <w:r>
              <w:rPr>
                <w:rFonts w:ascii="Arial" w:cs="Arial" w:eastAsia="Arial" w:hAnsi="Arial"/>
                <w:sz w:val="18"/>
                <w:szCs w:val="18"/>
                <w:color w:val="auto"/>
              </w:rPr>
              <w:t>Other expense</w:t>
            </w:r>
          </w:p>
        </w:tc>
        <w:tc>
          <w:tcPr>
            <w:tcW w:w="7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(50)</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30"/>
        </w:trPr>
        <w:tc>
          <w:tcPr>
            <w:tcW w:w="5240" w:type="dxa"/>
            <w:vAlign w:val="bottom"/>
          </w:tcPr>
          <w:p>
            <w:pPr>
              <w:ind w:left="20"/>
              <w:spacing w:after="0"/>
              <w:rPr>
                <w:sz w:val="20"/>
                <w:szCs w:val="20"/>
                <w:color w:val="auto"/>
              </w:rPr>
            </w:pPr>
            <w:r>
              <w:rPr>
                <w:rFonts w:ascii="Arial" w:cs="Arial" w:eastAsia="Arial" w:hAnsi="Arial"/>
                <w:sz w:val="18"/>
                <w:szCs w:val="18"/>
                <w:color w:val="auto"/>
              </w:rPr>
              <w:t>Adjustments to Segment EBITDAR from Operations:</w:t>
            </w:r>
          </w:p>
        </w:tc>
        <w:tc>
          <w:tcPr>
            <w:tcW w:w="7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240" w:type="dxa"/>
            <w:vAlign w:val="bottom"/>
            <w:shd w:val="clear" w:color="auto" w:fill="CCEEFF"/>
          </w:tcPr>
          <w:p>
            <w:pPr>
              <w:ind w:left="20"/>
              <w:spacing w:after="0" w:line="230" w:lineRule="exact"/>
              <w:rPr>
                <w:sz w:val="20"/>
                <w:szCs w:val="20"/>
                <w:color w:val="auto"/>
              </w:rPr>
            </w:pPr>
            <w:r>
              <w:rPr>
                <w:rFonts w:ascii="Arial" w:cs="Arial" w:eastAsia="Arial" w:hAnsi="Arial"/>
                <w:sz w:val="18"/>
                <w:szCs w:val="18"/>
                <w:color w:val="auto"/>
              </w:rPr>
              <w:t>Less: Costs at start-up operations</w:t>
            </w:r>
            <w:r>
              <w:rPr>
                <w:rFonts w:ascii="Arial" w:cs="Arial" w:eastAsia="Arial" w:hAnsi="Arial"/>
                <w:sz w:val="23"/>
                <w:szCs w:val="23"/>
                <w:color w:val="auto"/>
                <w:vertAlign w:val="superscript"/>
              </w:rPr>
              <w:t>(a)</w:t>
            </w:r>
          </w:p>
        </w:tc>
        <w:tc>
          <w:tcPr>
            <w:tcW w:w="7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430</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532</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938</w:t>
            </w:r>
          </w:p>
        </w:tc>
        <w:tc>
          <w:tcPr>
            <w:tcW w:w="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991</w:t>
            </w:r>
          </w:p>
        </w:tc>
        <w:tc>
          <w:tcPr>
            <w:tcW w:w="0" w:type="dxa"/>
            <w:vAlign w:val="bottom"/>
          </w:tcPr>
          <w:p>
            <w:pPr>
              <w:spacing w:after="0"/>
              <w:rPr>
                <w:sz w:val="1"/>
                <w:szCs w:val="1"/>
                <w:color w:val="auto"/>
              </w:rPr>
            </w:pPr>
          </w:p>
        </w:tc>
      </w:tr>
      <w:tr>
        <w:trPr>
          <w:trHeight w:val="230"/>
        </w:trPr>
        <w:tc>
          <w:tcPr>
            <w:tcW w:w="5240" w:type="dxa"/>
            <w:vAlign w:val="bottom"/>
          </w:tcPr>
          <w:p>
            <w:pPr>
              <w:ind w:left="480"/>
              <w:spacing w:after="0" w:line="230" w:lineRule="exact"/>
              <w:rPr>
                <w:sz w:val="20"/>
                <w:szCs w:val="20"/>
                <w:color w:val="auto"/>
              </w:rPr>
            </w:pPr>
            <w:r>
              <w:rPr>
                <w:rFonts w:ascii="Arial" w:cs="Arial" w:eastAsia="Arial" w:hAnsi="Arial"/>
                <w:sz w:val="18"/>
                <w:szCs w:val="18"/>
                <w:color w:val="auto"/>
              </w:rPr>
              <w:t>Share-based compensation expense and related taxes</w:t>
            </w:r>
            <w:r>
              <w:rPr>
                <w:rFonts w:ascii="Arial" w:cs="Arial" w:eastAsia="Arial" w:hAnsi="Arial"/>
                <w:sz w:val="23"/>
                <w:szCs w:val="23"/>
                <w:color w:val="auto"/>
                <w:vertAlign w:val="superscript"/>
              </w:rPr>
              <w:t>(b)</w:t>
            </w:r>
          </w:p>
        </w:tc>
        <w:tc>
          <w:tcPr>
            <w:tcW w:w="7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(2,501)</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2,568</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2,319</w:t>
            </w: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7,483</w:t>
            </w:r>
          </w:p>
        </w:tc>
        <w:tc>
          <w:tcPr>
            <w:tcW w:w="0" w:type="dxa"/>
            <w:vAlign w:val="bottom"/>
          </w:tcPr>
          <w:p>
            <w:pPr>
              <w:spacing w:after="0"/>
              <w:rPr>
                <w:sz w:val="1"/>
                <w:szCs w:val="1"/>
                <w:color w:val="auto"/>
              </w:rPr>
            </w:pPr>
          </w:p>
        </w:tc>
      </w:tr>
      <w:tr>
        <w:trPr>
          <w:trHeight w:val="230"/>
        </w:trPr>
        <w:tc>
          <w:tcPr>
            <w:tcW w:w="5240" w:type="dxa"/>
            <w:vAlign w:val="bottom"/>
            <w:shd w:val="clear" w:color="auto" w:fill="CCEEFF"/>
          </w:tcPr>
          <w:p>
            <w:pPr>
              <w:ind w:left="480"/>
              <w:spacing w:after="0" w:line="230" w:lineRule="exact"/>
              <w:rPr>
                <w:sz w:val="20"/>
                <w:szCs w:val="20"/>
                <w:color w:val="auto"/>
              </w:rPr>
            </w:pPr>
            <w:r>
              <w:rPr>
                <w:rFonts w:ascii="Arial" w:cs="Arial" w:eastAsia="Arial" w:hAnsi="Arial"/>
                <w:sz w:val="18"/>
                <w:szCs w:val="18"/>
                <w:color w:val="auto"/>
              </w:rPr>
              <w:t>Acquisition related costs &amp; credit allowances</w:t>
            </w:r>
            <w:r>
              <w:rPr>
                <w:rFonts w:ascii="Arial" w:cs="Arial" w:eastAsia="Arial" w:hAnsi="Arial"/>
                <w:sz w:val="23"/>
                <w:szCs w:val="23"/>
                <w:color w:val="auto"/>
                <w:vertAlign w:val="superscript"/>
              </w:rPr>
              <w:t>(c)</w:t>
            </w:r>
          </w:p>
        </w:tc>
        <w:tc>
          <w:tcPr>
            <w:tcW w:w="7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1,014</w:t>
            </w:r>
          </w:p>
        </w:tc>
        <w:tc>
          <w:tcPr>
            <w:tcW w:w="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w:t>
            </w:r>
          </w:p>
        </w:tc>
        <w:tc>
          <w:tcPr>
            <w:tcW w:w="0" w:type="dxa"/>
            <w:vAlign w:val="bottom"/>
          </w:tcPr>
          <w:p>
            <w:pPr>
              <w:spacing w:after="0"/>
              <w:rPr>
                <w:sz w:val="1"/>
                <w:szCs w:val="1"/>
                <w:color w:val="auto"/>
              </w:rPr>
            </w:pPr>
          </w:p>
        </w:tc>
      </w:tr>
      <w:tr>
        <w:trPr>
          <w:trHeight w:val="230"/>
        </w:trPr>
        <w:tc>
          <w:tcPr>
            <w:tcW w:w="5240" w:type="dxa"/>
            <w:vAlign w:val="bottom"/>
          </w:tcPr>
          <w:p>
            <w:pPr>
              <w:ind w:left="460"/>
              <w:spacing w:after="0" w:line="230" w:lineRule="exact"/>
              <w:rPr>
                <w:sz w:val="20"/>
                <w:szCs w:val="20"/>
                <w:color w:val="auto"/>
              </w:rPr>
            </w:pPr>
            <w:r>
              <w:rPr>
                <w:rFonts w:ascii="Arial" w:cs="Arial" w:eastAsia="Arial" w:hAnsi="Arial"/>
                <w:sz w:val="18"/>
                <w:szCs w:val="18"/>
                <w:color w:val="auto"/>
              </w:rPr>
              <w:t>Transition services costs</w:t>
            </w:r>
            <w:r>
              <w:rPr>
                <w:rFonts w:ascii="Arial" w:cs="Arial" w:eastAsia="Arial" w:hAnsi="Arial"/>
                <w:sz w:val="23"/>
                <w:szCs w:val="23"/>
                <w:color w:val="auto"/>
                <w:vertAlign w:val="superscript"/>
              </w:rPr>
              <w:t>(d)</w:t>
            </w:r>
          </w:p>
        </w:tc>
        <w:tc>
          <w:tcPr>
            <w:tcW w:w="7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236</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77</w:t>
            </w: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1,825</w:t>
            </w:r>
          </w:p>
        </w:tc>
        <w:tc>
          <w:tcPr>
            <w:tcW w:w="0" w:type="dxa"/>
            <w:vAlign w:val="bottom"/>
          </w:tcPr>
          <w:p>
            <w:pPr>
              <w:spacing w:after="0"/>
              <w:rPr>
                <w:sz w:val="1"/>
                <w:szCs w:val="1"/>
                <w:color w:val="auto"/>
              </w:rPr>
            </w:pPr>
          </w:p>
        </w:tc>
      </w:tr>
      <w:tr>
        <w:trPr>
          <w:trHeight w:val="230"/>
        </w:trPr>
        <w:tc>
          <w:tcPr>
            <w:tcW w:w="5240" w:type="dxa"/>
            <w:vAlign w:val="bottom"/>
            <w:shd w:val="clear" w:color="auto" w:fill="CCEEFF"/>
          </w:tcPr>
          <w:p>
            <w:pPr>
              <w:ind w:left="460"/>
              <w:spacing w:after="0" w:line="230" w:lineRule="exact"/>
              <w:rPr>
                <w:sz w:val="20"/>
                <w:szCs w:val="20"/>
                <w:color w:val="auto"/>
              </w:rPr>
            </w:pPr>
            <w:r>
              <w:rPr>
                <w:rFonts w:ascii="Arial" w:cs="Arial" w:eastAsia="Arial" w:hAnsi="Arial"/>
                <w:sz w:val="18"/>
                <w:szCs w:val="18"/>
                <w:color w:val="auto"/>
                <w:w w:val="95"/>
              </w:rPr>
              <w:t>Loss related to senior living operations transferred to Ensign</w:t>
            </w:r>
            <w:r>
              <w:rPr>
                <w:rFonts w:ascii="Arial" w:cs="Arial" w:eastAsia="Arial" w:hAnsi="Arial"/>
                <w:sz w:val="23"/>
                <w:szCs w:val="23"/>
                <w:color w:val="auto"/>
                <w:w w:val="95"/>
                <w:vertAlign w:val="superscript"/>
              </w:rPr>
              <w:t>(e)</w:t>
            </w:r>
          </w:p>
        </w:tc>
        <w:tc>
          <w:tcPr>
            <w:tcW w:w="7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144</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6,078</w:t>
            </w:r>
          </w:p>
        </w:tc>
        <w:tc>
          <w:tcPr>
            <w:tcW w:w="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5240" w:type="dxa"/>
            <w:vAlign w:val="bottom"/>
          </w:tcPr>
          <w:p>
            <w:pPr>
              <w:ind w:left="460"/>
              <w:spacing w:after="0" w:line="230" w:lineRule="exact"/>
              <w:rPr>
                <w:sz w:val="20"/>
                <w:szCs w:val="20"/>
                <w:color w:val="auto"/>
              </w:rPr>
            </w:pPr>
            <w:r>
              <w:rPr>
                <w:rFonts w:ascii="Arial" w:cs="Arial" w:eastAsia="Arial" w:hAnsi="Arial"/>
                <w:sz w:val="18"/>
                <w:szCs w:val="18"/>
                <w:color w:val="auto"/>
              </w:rPr>
              <w:t>Unusual or non-recurring charges</w:t>
            </w:r>
            <w:r>
              <w:rPr>
                <w:rFonts w:ascii="Arial" w:cs="Arial" w:eastAsia="Arial" w:hAnsi="Arial"/>
                <w:sz w:val="23"/>
                <w:szCs w:val="23"/>
                <w:color w:val="auto"/>
                <w:vertAlign w:val="superscript"/>
              </w:rPr>
              <w:t>(f)</w:t>
            </w:r>
          </w:p>
        </w:tc>
        <w:tc>
          <w:tcPr>
            <w:tcW w:w="7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293</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293</w:t>
            </w: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5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Add: Net income (loss) attributable to noncontrolling interest</w:t>
            </w:r>
          </w:p>
        </w:tc>
        <w:tc>
          <w:tcPr>
            <w:tcW w:w="7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163</w:t>
            </w:r>
          </w:p>
        </w:tc>
        <w:tc>
          <w:tcPr>
            <w:tcW w:w="12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(124)</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387</w:t>
            </w:r>
          </w:p>
        </w:tc>
        <w:tc>
          <w:tcPr>
            <w:tcW w:w="60" w:type="dxa"/>
            <w:vAlign w:val="bottom"/>
            <w:tcBorders>
              <w:bottom w:val="single" w:sz="8" w:color="auto"/>
            </w:tcBorders>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(342)</w:t>
            </w:r>
          </w:p>
        </w:tc>
        <w:tc>
          <w:tcPr>
            <w:tcW w:w="0" w:type="dxa"/>
            <w:vAlign w:val="bottom"/>
          </w:tcPr>
          <w:p>
            <w:pPr>
              <w:spacing w:after="0"/>
              <w:rPr>
                <w:sz w:val="1"/>
                <w:szCs w:val="1"/>
                <w:color w:val="auto"/>
              </w:rPr>
            </w:pPr>
          </w:p>
        </w:tc>
      </w:tr>
      <w:tr>
        <w:trPr>
          <w:trHeight w:val="223"/>
        </w:trPr>
        <w:tc>
          <w:tcPr>
            <w:tcW w:w="5240" w:type="dxa"/>
            <w:vAlign w:val="bottom"/>
          </w:tcPr>
          <w:p>
            <w:pPr>
              <w:ind w:left="20"/>
              <w:spacing w:after="0"/>
              <w:rPr>
                <w:sz w:val="20"/>
                <w:szCs w:val="20"/>
                <w:color w:val="auto"/>
              </w:rPr>
            </w:pPr>
            <w:r>
              <w:rPr>
                <w:rFonts w:ascii="Arial" w:cs="Arial" w:eastAsia="Arial" w:hAnsi="Arial"/>
                <w:sz w:val="18"/>
                <w:szCs w:val="18"/>
                <w:color w:val="auto"/>
              </w:rPr>
              <w:t>Condensed Consolidated Income from Operations</w:t>
            </w:r>
          </w:p>
        </w:tc>
        <w:tc>
          <w:tcPr>
            <w:tcW w:w="700" w:type="dxa"/>
            <w:vAlign w:val="bottom"/>
          </w:tcPr>
          <w:p>
            <w:pPr>
              <w:spacing w:after="0"/>
              <w:rPr>
                <w:sz w:val="19"/>
                <w:szCs w:val="19"/>
                <w:color w:val="auto"/>
              </w:rPr>
            </w:pP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7,144</w:t>
            </w:r>
          </w:p>
        </w:tc>
        <w:tc>
          <w:tcPr>
            <w:tcW w:w="120" w:type="dxa"/>
            <w:vAlign w:val="bottom"/>
          </w:tcPr>
          <w:p>
            <w:pPr>
              <w:spacing w:after="0"/>
              <w:rPr>
                <w:sz w:val="19"/>
                <w:szCs w:val="19"/>
                <w:color w:val="auto"/>
              </w:rPr>
            </w:pPr>
          </w:p>
        </w:tc>
        <w:tc>
          <w:tcPr>
            <w:tcW w:w="2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1,702</w:t>
            </w:r>
          </w:p>
        </w:tc>
        <w:tc>
          <w:tcPr>
            <w:tcW w:w="100" w:type="dxa"/>
            <w:vAlign w:val="bottom"/>
          </w:tcPr>
          <w:p>
            <w:pPr>
              <w:spacing w:after="0"/>
              <w:rPr>
                <w:sz w:val="19"/>
                <w:szCs w:val="19"/>
                <w:color w:val="auto"/>
              </w:rPr>
            </w:pP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6,355</w:t>
            </w:r>
          </w:p>
        </w:tc>
        <w:tc>
          <w:tcPr>
            <w:tcW w:w="6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6,884</w:t>
            </w:r>
          </w:p>
        </w:tc>
        <w:tc>
          <w:tcPr>
            <w:tcW w:w="0" w:type="dxa"/>
            <w:vAlign w:val="bottom"/>
          </w:tcPr>
          <w:p>
            <w:pPr>
              <w:spacing w:after="0"/>
              <w:rPr>
                <w:sz w:val="1"/>
                <w:szCs w:val="1"/>
                <w:color w:val="auto"/>
              </w:rPr>
            </w:pPr>
          </w:p>
        </w:tc>
      </w:tr>
      <w:tr>
        <w:trPr>
          <w:trHeight w:val="20"/>
        </w:trPr>
        <w:tc>
          <w:tcPr>
            <w:tcW w:w="5240" w:type="dxa"/>
            <w:vAlign w:val="bottom"/>
          </w:tcPr>
          <w:p>
            <w:pPr>
              <w:spacing w:after="0" w:line="20" w:lineRule="exact"/>
              <w:rPr>
                <w:sz w:val="1"/>
                <w:szCs w:val="1"/>
                <w:color w:val="auto"/>
              </w:rPr>
            </w:pPr>
          </w:p>
        </w:tc>
        <w:tc>
          <w:tcPr>
            <w:tcW w:w="700" w:type="dxa"/>
            <w:vAlign w:val="bottom"/>
            <w:vMerge w:val="restart"/>
          </w:tcPr>
          <w:p>
            <w:pPr>
              <w:jc w:val="right"/>
              <w:ind w:right="130"/>
              <w:spacing w:after="0"/>
              <w:rPr>
                <w:sz w:val="20"/>
                <w:szCs w:val="20"/>
                <w:color w:val="auto"/>
              </w:rPr>
            </w:pPr>
            <w:r>
              <w:rPr>
                <w:rFonts w:ascii="Arial" w:cs="Arial" w:eastAsia="Arial" w:hAnsi="Arial"/>
                <w:sz w:val="18"/>
                <w:szCs w:val="18"/>
                <w:color w:val="auto"/>
              </w:rPr>
              <w:t>14</w:t>
            </w: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858"/>
        </w:trPr>
        <w:tc>
          <w:tcPr>
            <w:tcW w:w="5240" w:type="dxa"/>
            <w:vAlign w:val="bottom"/>
          </w:tcPr>
          <w:p>
            <w:pPr>
              <w:spacing w:after="0"/>
              <w:rPr>
                <w:sz w:val="24"/>
                <w:szCs w:val="24"/>
                <w:color w:val="auto"/>
              </w:rPr>
            </w:pPr>
          </w:p>
        </w:tc>
        <w:tc>
          <w:tcPr>
            <w:tcW w:w="700" w:type="dxa"/>
            <w:vAlign w:val="bottom"/>
            <w:vMerge w:val="continue"/>
          </w:tcPr>
          <w:p>
            <w:pPr>
              <w:spacing w:after="0"/>
              <w:rPr>
                <w:sz w:val="24"/>
                <w:szCs w:val="24"/>
                <w:color w:val="auto"/>
              </w:rPr>
            </w:pPr>
          </w:p>
        </w:tc>
        <w:tc>
          <w:tcPr>
            <w:tcW w:w="2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5240" w:type="dxa"/>
            <w:vAlign w:val="bottom"/>
            <w:tcBorders>
              <w:bottom w:val="single" w:sz="8" w:color="9A9A9A"/>
            </w:tcBorders>
          </w:tcPr>
          <w:p>
            <w:pPr>
              <w:spacing w:after="0"/>
              <w:rPr>
                <w:sz w:val="10"/>
                <w:szCs w:val="10"/>
                <w:color w:val="auto"/>
              </w:rPr>
            </w:pPr>
          </w:p>
        </w:tc>
        <w:tc>
          <w:tcPr>
            <w:tcW w:w="70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96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96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90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96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6" w:name="page17"/>
    <w:bookmarkEnd w:id="16"/>
    <w:p>
      <w:pPr>
        <w:spacing w:after="0"/>
        <w:rPr>
          <w:sz w:val="20"/>
          <w:szCs w:val="20"/>
          <w:color w:val="auto"/>
        </w:rPr>
      </w:pPr>
      <w:r>
        <w:rPr>
          <w:rFonts w:ascii="Arial" w:cs="Arial" w:eastAsia="Arial" w:hAnsi="Arial"/>
          <w:sz w:val="18"/>
          <w:szCs w:val="18"/>
          <w:u w:val="single" w:color="auto"/>
          <w:color w:val="0000FF"/>
        </w:rPr>
        <w:t>Table of Contents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PENNANT GROUP,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CONDENSED CONSOLIDATED FINANCIAL STATEMENTS - (Continued)</w:t>
      </w:r>
    </w:p>
    <w:p>
      <w:pPr>
        <w:spacing w:after="0" w:line="200" w:lineRule="exact"/>
        <w:rPr>
          <w:sz w:val="20"/>
          <w:szCs w:val="20"/>
          <w:color w:val="auto"/>
        </w:rPr>
      </w:pPr>
    </w:p>
    <w:p>
      <w:pPr>
        <w:spacing w:after="0" w:line="371" w:lineRule="exact"/>
        <w:rPr>
          <w:sz w:val="20"/>
          <w:szCs w:val="20"/>
          <w:color w:val="auto"/>
        </w:rPr>
      </w:pPr>
    </w:p>
    <w:p>
      <w:pPr>
        <w:ind w:left="480" w:hanging="454"/>
        <w:spacing w:after="0"/>
        <w:tabs>
          <w:tab w:leader="none" w:pos="480" w:val="left"/>
        </w:tabs>
        <w:numPr>
          <w:ilvl w:val="0"/>
          <w:numId w:val="10"/>
        </w:numPr>
        <w:rPr>
          <w:rFonts w:ascii="Arial" w:cs="Arial" w:eastAsia="Arial" w:hAnsi="Arial"/>
          <w:sz w:val="14"/>
          <w:szCs w:val="14"/>
          <w:color w:val="auto"/>
        </w:rPr>
      </w:pPr>
      <w:r>
        <w:rPr>
          <w:rFonts w:ascii="Arial" w:cs="Arial" w:eastAsia="Arial" w:hAnsi="Arial"/>
          <w:sz w:val="14"/>
          <w:szCs w:val="14"/>
          <w:color w:val="auto"/>
        </w:rPr>
        <w:t>Represents results related to start-up operations. This amount excludes rent and depreciation and amortization expense related to such operations.</w:t>
      </w:r>
    </w:p>
    <w:p>
      <w:pPr>
        <w:spacing w:after="0" w:line="68" w:lineRule="exact"/>
        <w:rPr>
          <w:rFonts w:ascii="Arial" w:cs="Arial" w:eastAsia="Arial" w:hAnsi="Arial"/>
          <w:sz w:val="14"/>
          <w:szCs w:val="14"/>
          <w:color w:val="auto"/>
        </w:rPr>
      </w:pPr>
    </w:p>
    <w:p>
      <w:pPr>
        <w:jc w:val="both"/>
        <w:ind w:left="480" w:right="360" w:hanging="454"/>
        <w:spacing w:after="0" w:line="275" w:lineRule="auto"/>
        <w:tabs>
          <w:tab w:leader="none" w:pos="480" w:val="left"/>
        </w:tabs>
        <w:numPr>
          <w:ilvl w:val="0"/>
          <w:numId w:val="10"/>
        </w:numPr>
        <w:rPr>
          <w:rFonts w:ascii="Arial" w:cs="Arial" w:eastAsia="Arial" w:hAnsi="Arial"/>
          <w:sz w:val="14"/>
          <w:szCs w:val="14"/>
          <w:color w:val="auto"/>
        </w:rPr>
      </w:pPr>
      <w:r>
        <w:rPr>
          <w:rFonts w:ascii="Arial" w:cs="Arial" w:eastAsia="Arial" w:hAnsi="Arial"/>
          <w:sz w:val="14"/>
          <w:szCs w:val="14"/>
          <w:color w:val="auto"/>
        </w:rPr>
        <w:t xml:space="preserve">Share-based compensation expense and related payroll taxes incurred, including the impact of the modification of certain restricted stock units described below in Note 12, </w:t>
      </w:r>
      <w:r>
        <w:rPr>
          <w:rFonts w:ascii="Arial" w:cs="Arial" w:eastAsia="Arial" w:hAnsi="Arial"/>
          <w:sz w:val="14"/>
          <w:szCs w:val="14"/>
          <w:i w:val="1"/>
          <w:iCs w:val="1"/>
          <w:color w:val="auto"/>
        </w:rPr>
        <w:t>Options</w:t>
      </w:r>
      <w:r>
        <w:rPr>
          <w:rFonts w:ascii="Arial" w:cs="Arial" w:eastAsia="Arial" w:hAnsi="Arial"/>
          <w:sz w:val="14"/>
          <w:szCs w:val="14"/>
          <w:color w:val="auto"/>
        </w:rPr>
        <w:t xml:space="preserve"> </w:t>
      </w:r>
      <w:r>
        <w:rPr>
          <w:rFonts w:ascii="Arial" w:cs="Arial" w:eastAsia="Arial" w:hAnsi="Arial"/>
          <w:sz w:val="14"/>
          <w:szCs w:val="14"/>
          <w:i w:val="1"/>
          <w:iCs w:val="1"/>
          <w:color w:val="auto"/>
        </w:rPr>
        <w:t>and Award</w:t>
      </w:r>
      <w:r>
        <w:rPr>
          <w:rFonts w:ascii="Arial" w:cs="Arial" w:eastAsia="Arial" w:hAnsi="Arial"/>
          <w:sz w:val="14"/>
          <w:szCs w:val="14"/>
          <w:color w:val="auto"/>
        </w:rPr>
        <w:t>s, to the Interim Financial Statements. Share-based compensation expense and related payroll taxes are included in cost of services and general and administrative</w:t>
      </w:r>
      <w:r>
        <w:rPr>
          <w:rFonts w:ascii="Arial" w:cs="Arial" w:eastAsia="Arial" w:hAnsi="Arial"/>
          <w:sz w:val="14"/>
          <w:szCs w:val="14"/>
          <w:i w:val="1"/>
          <w:iCs w:val="1"/>
          <w:color w:val="auto"/>
        </w:rPr>
        <w:t xml:space="preserve"> </w:t>
      </w:r>
      <w:r>
        <w:rPr>
          <w:rFonts w:ascii="Arial" w:cs="Arial" w:eastAsia="Arial" w:hAnsi="Arial"/>
          <w:sz w:val="14"/>
          <w:szCs w:val="14"/>
          <w:color w:val="auto"/>
        </w:rPr>
        <w:t>expense</w:t>
      </w:r>
    </w:p>
    <w:p>
      <w:pPr>
        <w:spacing w:after="0" w:line="13" w:lineRule="exact"/>
        <w:rPr>
          <w:rFonts w:ascii="Arial" w:cs="Arial" w:eastAsia="Arial" w:hAnsi="Arial"/>
          <w:sz w:val="14"/>
          <w:szCs w:val="14"/>
          <w:color w:val="auto"/>
        </w:rPr>
      </w:pPr>
    </w:p>
    <w:p>
      <w:pPr>
        <w:ind w:left="480" w:hanging="454"/>
        <w:spacing w:after="0"/>
        <w:tabs>
          <w:tab w:leader="none" w:pos="480" w:val="left"/>
        </w:tabs>
        <w:numPr>
          <w:ilvl w:val="0"/>
          <w:numId w:val="10"/>
        </w:numPr>
        <w:rPr>
          <w:rFonts w:ascii="Arial" w:cs="Arial" w:eastAsia="Arial" w:hAnsi="Arial"/>
          <w:sz w:val="14"/>
          <w:szCs w:val="14"/>
          <w:color w:val="auto"/>
        </w:rPr>
      </w:pPr>
      <w:r>
        <w:rPr>
          <w:rFonts w:ascii="Arial" w:cs="Arial" w:eastAsia="Arial" w:hAnsi="Arial"/>
          <w:sz w:val="14"/>
          <w:szCs w:val="14"/>
          <w:color w:val="auto"/>
        </w:rPr>
        <w:t>Non-capitalizable costs associated with acquisitions and credit allowances for amounts in dispute with the prior owners of certain acquired operations.</w:t>
      </w:r>
    </w:p>
    <w:p>
      <w:pPr>
        <w:spacing w:after="0" w:line="68" w:lineRule="exact"/>
        <w:rPr>
          <w:rFonts w:ascii="Arial" w:cs="Arial" w:eastAsia="Arial" w:hAnsi="Arial"/>
          <w:sz w:val="14"/>
          <w:szCs w:val="14"/>
          <w:color w:val="auto"/>
        </w:rPr>
      </w:pPr>
    </w:p>
    <w:p>
      <w:pPr>
        <w:jc w:val="both"/>
        <w:ind w:left="480" w:right="340" w:hanging="454"/>
        <w:spacing w:after="0" w:line="275" w:lineRule="auto"/>
        <w:tabs>
          <w:tab w:leader="none" w:pos="480" w:val="left"/>
        </w:tabs>
        <w:numPr>
          <w:ilvl w:val="0"/>
          <w:numId w:val="10"/>
        </w:numPr>
        <w:rPr>
          <w:rFonts w:ascii="Arial" w:cs="Arial" w:eastAsia="Arial" w:hAnsi="Arial"/>
          <w:sz w:val="14"/>
          <w:szCs w:val="14"/>
          <w:color w:val="auto"/>
        </w:rPr>
      </w:pPr>
      <w:r>
        <w:rPr>
          <w:rFonts w:ascii="Arial" w:cs="Arial" w:eastAsia="Arial" w:hAnsi="Arial"/>
          <w:sz w:val="14"/>
          <w:szCs w:val="14"/>
          <w:color w:val="auto"/>
        </w:rPr>
        <w:t>Costs identified as redundant or non-recurring incurred by the Company as a result of the Spin-off. The 2021 amounts represents part of the costs incurred under the Transition Services Agreement. All amounts are included in general and administrative expense. Fees incurred under the Transition Services Agreement were $231 and $1,332 for the three and nine months ended September 30, 2022, and $706 and $2,441 for the three and nine months ended September 30, 2021.</w:t>
      </w:r>
    </w:p>
    <w:p>
      <w:pPr>
        <w:spacing w:after="0" w:line="13" w:lineRule="exact"/>
        <w:rPr>
          <w:rFonts w:ascii="Arial" w:cs="Arial" w:eastAsia="Arial" w:hAnsi="Arial"/>
          <w:sz w:val="14"/>
          <w:szCs w:val="14"/>
          <w:color w:val="auto"/>
        </w:rPr>
      </w:pPr>
    </w:p>
    <w:p>
      <w:pPr>
        <w:jc w:val="both"/>
        <w:ind w:left="480" w:right="340" w:hanging="454"/>
        <w:spacing w:after="0" w:line="263" w:lineRule="auto"/>
        <w:tabs>
          <w:tab w:leader="none" w:pos="480" w:val="left"/>
        </w:tabs>
        <w:numPr>
          <w:ilvl w:val="0"/>
          <w:numId w:val="10"/>
        </w:numPr>
        <w:rPr>
          <w:rFonts w:ascii="Arial" w:cs="Arial" w:eastAsia="Arial" w:hAnsi="Arial"/>
          <w:sz w:val="14"/>
          <w:szCs w:val="14"/>
          <w:color w:val="auto"/>
        </w:rPr>
      </w:pPr>
      <w:r>
        <w:rPr>
          <w:rFonts w:ascii="Arial" w:cs="Arial" w:eastAsia="Arial" w:hAnsi="Arial"/>
          <w:sz w:val="14"/>
          <w:szCs w:val="14"/>
          <w:color w:val="auto"/>
        </w:rPr>
        <w:t>On January 27, 2022, affiliates of the Company, entered into certain operations transfer agreements (collectively, the “Transfer Agreements”) with affiliates of Ensign, providing for the transfer of the operations of certain senior living communities (the “Transaction”) from affiliates of the Company to affiliates of Ensign. The closing of the Transaction was completed in two phases with the transfer of two operations on March 1, 2022 and the remainder transferred on April 1, 2022. The amount includes $6,500 for the nine months ended September 30, 2022 to cover post-closing capital expenditures and operating losses related to one of the communities transferred on April 1, 2022. The amount above also includes $144 and $(422) for the three and nine months ended September 30, 2022, respectively, for the related net impact on revenue and cost of service attributable to the transferred entities. This amount excludes rent and depreciation and amortization expense related to such operations.</w:t>
      </w:r>
    </w:p>
    <w:p>
      <w:pPr>
        <w:spacing w:after="0" w:line="34" w:lineRule="exact"/>
        <w:rPr>
          <w:rFonts w:ascii="Arial" w:cs="Arial" w:eastAsia="Arial" w:hAnsi="Arial"/>
          <w:sz w:val="14"/>
          <w:szCs w:val="14"/>
          <w:color w:val="auto"/>
        </w:rPr>
      </w:pPr>
    </w:p>
    <w:p>
      <w:pPr>
        <w:ind w:left="480" w:hanging="454"/>
        <w:spacing w:after="0"/>
        <w:tabs>
          <w:tab w:leader="none" w:pos="480" w:val="left"/>
        </w:tabs>
        <w:numPr>
          <w:ilvl w:val="0"/>
          <w:numId w:val="10"/>
        </w:numPr>
        <w:rPr>
          <w:rFonts w:ascii="Arial" w:cs="Arial" w:eastAsia="Arial" w:hAnsi="Arial"/>
          <w:sz w:val="14"/>
          <w:szCs w:val="14"/>
          <w:color w:val="auto"/>
        </w:rPr>
      </w:pPr>
      <w:r>
        <w:rPr>
          <w:rFonts w:ascii="Arial" w:cs="Arial" w:eastAsia="Arial" w:hAnsi="Arial"/>
          <w:sz w:val="14"/>
          <w:szCs w:val="14"/>
          <w:color w:val="auto"/>
        </w:rPr>
        <w:t>Represents unusual or non-recurring charges for legal services, implementation costs, integration costs, and consulting fees in general and administrative expenses.</w:t>
      </w:r>
    </w:p>
    <w:p>
      <w:pPr>
        <w:spacing w:after="0" w:line="200" w:lineRule="exact"/>
        <w:rPr>
          <w:sz w:val="20"/>
          <w:szCs w:val="20"/>
          <w:color w:val="auto"/>
        </w:rPr>
      </w:pPr>
    </w:p>
    <w:p>
      <w:pPr>
        <w:spacing w:after="0" w:line="2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ACQUISITIONS</w:t>
      </w:r>
    </w:p>
    <w:p>
      <w:pPr>
        <w:spacing w:after="0" w:line="54" w:lineRule="exact"/>
        <w:rPr>
          <w:sz w:val="20"/>
          <w:szCs w:val="20"/>
          <w:color w:val="auto"/>
        </w:rPr>
      </w:pPr>
    </w:p>
    <w:p>
      <w:pPr>
        <w:jc w:val="both"/>
        <w:ind w:firstLine="648"/>
        <w:spacing w:after="0" w:line="311" w:lineRule="auto"/>
        <w:rPr>
          <w:sz w:val="20"/>
          <w:szCs w:val="20"/>
          <w:color w:val="auto"/>
        </w:rPr>
      </w:pPr>
      <w:r>
        <w:rPr>
          <w:rFonts w:ascii="Arial" w:cs="Arial" w:eastAsia="Arial" w:hAnsi="Arial"/>
          <w:sz w:val="16"/>
          <w:szCs w:val="16"/>
          <w:color w:val="auto"/>
        </w:rPr>
        <w:t>The Company’s acquisition focus is to acquire operations that are complementary to the Company’s current businesses, accretive to the Company’s business or otherwise advance the Company’s strategy. The results of all the Company’s independent operating subsidiaries are included in the Interim Financial Statements subsequent to the date of acquisition. Acquisitions are accounted for using the acquisition method of accounting.</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2022 Acquisitions</w:t>
      </w:r>
    </w:p>
    <w:p>
      <w:pPr>
        <w:spacing w:after="0" w:line="252"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During the nine months ended September 30, 2022, the Company expanded its operations with the addition of two home health and four hospice agencies as well as one senior living community. A subsidiary of the Company entered into a separate operations transfer agreement with the prior operator of each acquired operation as part of each transaction.</w:t>
      </w:r>
    </w:p>
    <w:p>
      <w:pPr>
        <w:spacing w:after="0" w:line="211"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 xml:space="preserve">The fair value of assets for the Company’s home health and hospice acquisitions was mostly concentrated in goodwill and intangible assets and as such, these transactions were classified as a business combination in accordance with ASC Topic 805, </w:t>
      </w:r>
      <w:r>
        <w:rPr>
          <w:rFonts w:ascii="Arial" w:cs="Arial" w:eastAsia="Arial" w:hAnsi="Arial"/>
          <w:sz w:val="17"/>
          <w:szCs w:val="17"/>
          <w:i w:val="1"/>
          <w:iCs w:val="1"/>
          <w:color w:val="auto"/>
        </w:rPr>
        <w:t>Business Combinations</w:t>
      </w:r>
      <w:r>
        <w:rPr>
          <w:rFonts w:ascii="Arial" w:cs="Arial" w:eastAsia="Arial" w:hAnsi="Arial"/>
          <w:sz w:val="17"/>
          <w:szCs w:val="17"/>
          <w:color w:val="auto"/>
        </w:rPr>
        <w:t xml:space="preserve"> (“ASC 805”). The purchase price for the business combinations was $9,680, which consisted of equipment and other assets of $188, goodwill of $4,925, and indefinite-lived intangible assets of $4,714 related to Medicare and Medicaid licenses, and other intangible assets of $40, net of assumed liabilities of $187. The Company anticipates that the total goodwill recognized will be fully deductible for tax purposes. There were no material acquisition costs that were expensed related to the business combination during the nine months ended September 30, 2022.</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2021 Acquisitions</w:t>
      </w:r>
    </w:p>
    <w:p>
      <w:pPr>
        <w:spacing w:after="0" w:line="252" w:lineRule="exact"/>
        <w:rPr>
          <w:sz w:val="20"/>
          <w:szCs w:val="20"/>
          <w:color w:val="auto"/>
        </w:rPr>
      </w:pPr>
    </w:p>
    <w:p>
      <w:pPr>
        <w:jc w:val="both"/>
        <w:ind w:right="20" w:firstLine="648"/>
        <w:spacing w:after="0" w:line="263" w:lineRule="auto"/>
        <w:rPr>
          <w:sz w:val="20"/>
          <w:szCs w:val="20"/>
          <w:color w:val="auto"/>
        </w:rPr>
      </w:pPr>
      <w:r>
        <w:rPr>
          <w:rFonts w:ascii="Arial" w:cs="Arial" w:eastAsia="Arial" w:hAnsi="Arial"/>
          <w:sz w:val="18"/>
          <w:szCs w:val="18"/>
          <w:color w:val="auto"/>
        </w:rPr>
        <w:t>During the nine months ended September 30, 2021, the Company expanded its operations with the addition of five home health and four hospice and two home care agencies. The aggregate purchase price for these acquisitions was $14,135. A subsidiary of the Company entered into a separate operations transfer agreement with the prior operator of each acquired operation as part of each transaction.</w:t>
      </w:r>
    </w:p>
    <w:p>
      <w:pPr>
        <w:spacing w:after="0" w:line="211"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 xml:space="preserve">The fair value of assets for home health, hospice, home care acquisitions were mostly concentrated in goodwill and intangible assets and as such, these transactions were classified as business combinations in accordance with ASC Topic 805, </w:t>
      </w:r>
      <w:r>
        <w:rPr>
          <w:rFonts w:ascii="Arial" w:cs="Arial" w:eastAsia="Arial" w:hAnsi="Arial"/>
          <w:sz w:val="18"/>
          <w:szCs w:val="18"/>
          <w:i w:val="1"/>
          <w:iCs w:val="1"/>
          <w:color w:val="auto"/>
        </w:rPr>
        <w:t>Business Combinations</w:t>
      </w:r>
      <w:r>
        <w:rPr>
          <w:rFonts w:ascii="Arial" w:cs="Arial" w:eastAsia="Arial" w:hAnsi="Arial"/>
          <w:sz w:val="18"/>
          <w:szCs w:val="18"/>
          <w:color w:val="auto"/>
        </w:rPr>
        <w:t xml:space="preserve"> (“ASC 805”). The purchase price for the business combinations was $13,550, which consisted of equipment and other assets of $72, goodwill of $7,341, and indefinite-lived intangible assets of $6,137 related to Medicare and Medicaid licenses. The Company anticipates that the total goodwill recognized will be fully deductible for tax purposes. There were no material acquisition costs that were expensed related to the business combinations during the nine months ended September 30, 2021.</w:t>
      </w:r>
    </w:p>
    <w:p>
      <w:pPr>
        <w:spacing w:after="0" w:line="219"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Two of the hospice agencies were acquired Medicare licenses and are considered asset acquisitions. The fair value of assets for the hospice licenses acquired totaled $585 and was allocated to indefinite-lived intangible assets.</w:t>
      </w: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7" w:name="page18"/>
    <w:bookmarkEnd w:id="17"/>
    <w:p>
      <w:pPr>
        <w:spacing w:after="0"/>
        <w:rPr>
          <w:sz w:val="20"/>
          <w:szCs w:val="20"/>
          <w:color w:val="auto"/>
        </w:rPr>
      </w:pPr>
      <w:r>
        <w:rPr>
          <w:rFonts w:ascii="Arial" w:cs="Arial" w:eastAsia="Arial" w:hAnsi="Arial"/>
          <w:sz w:val="18"/>
          <w:szCs w:val="18"/>
          <w:u w:val="single" w:color="auto"/>
          <w:color w:val="0000FF"/>
        </w:rPr>
        <w:t>Table of Contents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PENNANT GROUP,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CONDENSED CONSOLIDATED FINANCIAL STATEMENTS - (Continued)</w:t>
      </w:r>
    </w:p>
    <w:p>
      <w:pPr>
        <w:spacing w:after="0" w:line="200" w:lineRule="exact"/>
        <w:rPr>
          <w:sz w:val="20"/>
          <w:szCs w:val="20"/>
          <w:color w:val="auto"/>
        </w:rPr>
      </w:pPr>
    </w:p>
    <w:p>
      <w:pPr>
        <w:spacing w:after="0" w:line="3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Unaudited Pro Forma Data</w:t>
      </w:r>
    </w:p>
    <w:p>
      <w:pPr>
        <w:spacing w:after="0" w:line="252"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The Company’s acquisition strategy has been focused on identifying both opportunistic and strategic acquisitions within its target markets that offer strong opportunities for return. The operating subsidiaries acquired by the Company are frequently underperforming financially and can have regulatory and clinical challenges to overcome. From time to time, these acquisitions are more strategic in nature that may or may not have positive operational results. Financial information, especially with underperforming operating subsidiaries, is often inadequate, inaccurate or unavailable. Consequently, the Company believes that prior operating results are not a meaningful representation of the Company’s current operating results or indicative of the integration potential of its newly acquired operating subsidiaries. Revenue and income (loss) before tax included in the condensed consolidated statement of income relating to the business combinations completed in the current year was $720 and $(106) during the three months ended September 30, 2022, respectively, and $3,674 and $(1,058) during the nine months ended September 30, 2022, respectively. Acquisition costs related to the business combinations were immaterial during the three and nine months ended September 30, 2022, respectively.</w:t>
      </w:r>
    </w:p>
    <w:p>
      <w:pPr>
        <w:spacing w:after="0" w:line="208" w:lineRule="exact"/>
        <w:rPr>
          <w:sz w:val="20"/>
          <w:szCs w:val="20"/>
          <w:color w:val="auto"/>
        </w:rPr>
      </w:pPr>
    </w:p>
    <w:p>
      <w:pPr>
        <w:jc w:val="both"/>
        <w:ind w:firstLine="648"/>
        <w:spacing w:after="0" w:line="301" w:lineRule="auto"/>
        <w:rPr>
          <w:sz w:val="20"/>
          <w:szCs w:val="20"/>
          <w:color w:val="auto"/>
        </w:rPr>
      </w:pPr>
      <w:r>
        <w:rPr>
          <w:rFonts w:ascii="Arial" w:cs="Arial" w:eastAsia="Arial" w:hAnsi="Arial"/>
          <w:sz w:val="16"/>
          <w:szCs w:val="16"/>
          <w:color w:val="auto"/>
        </w:rPr>
        <w:t>Pro forma financial information has been included for the business combinations completed during the three and nine months ended September 30, 2022 and the three and nine months ended September 30, 2021, respectively. The acquisitions during the three and nine months ended September 30, 2022 have been included in the September 30, 2022 condensed consolidated balance sheets of the Company, and the operating results have been included in the condensed consolidated statements of income of the Company since the dates the Company gained effective control.</w:t>
      </w:r>
    </w:p>
    <w:p>
      <w:pPr>
        <w:spacing w:after="0" w:line="184"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Revenues and operating costs were based on actual results from the prior operator or from regulatory filings where available. If actual results were not available, revenue and operating costs were estimated based on available partial operating results of the prior operator of the operation, or if no information was available, estimates were derived from the Company’s post-acquisition operating results for that particular operation.</w:t>
      </w:r>
    </w:p>
    <w:p>
      <w:pPr>
        <w:spacing w:after="0" w:line="192"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 following tables represent unaudited pro forma results of condensed consolidated operations as if the business combinations to date in fiscal year 2022 had occurred at the beginning of 2021, after giving effect to certain adjustments. The unaudited pro forma information is not indicative of what the results of operations would have been if the acquisitions had actually occurred at the beginning of the periods presented, and is not intended as a projection of future results or trends.</w:t>
      </w:r>
    </w:p>
    <w:p>
      <w:pPr>
        <w:spacing w:after="0" w:line="25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200" w:type="dxa"/>
            <w:vAlign w:val="bottom"/>
          </w:tcPr>
          <w:p>
            <w:pPr>
              <w:spacing w:after="0"/>
              <w:rPr>
                <w:sz w:val="20"/>
                <w:szCs w:val="20"/>
                <w:color w:val="auto"/>
              </w:rPr>
            </w:pPr>
          </w:p>
        </w:tc>
        <w:tc>
          <w:tcPr>
            <w:tcW w:w="3060" w:type="dxa"/>
            <w:vAlign w:val="bottom"/>
            <w:gridSpan w:val="6"/>
          </w:tcPr>
          <w:p>
            <w:pPr>
              <w:ind w:left="80"/>
              <w:spacing w:after="0"/>
              <w:rPr>
                <w:sz w:val="20"/>
                <w:szCs w:val="20"/>
                <w:color w:val="auto"/>
              </w:rPr>
            </w:pPr>
            <w:r>
              <w:rPr>
                <w:rFonts w:ascii="Arial" w:cs="Arial" w:eastAsia="Arial" w:hAnsi="Arial"/>
                <w:sz w:val="18"/>
                <w:szCs w:val="18"/>
                <w:b w:val="1"/>
                <w:bCs w:val="1"/>
                <w:color w:val="auto"/>
                <w:w w:val="96"/>
              </w:rPr>
              <w:t>Three Months Ended September 30,</w:t>
            </w:r>
          </w:p>
        </w:tc>
        <w:tc>
          <w:tcPr>
            <w:tcW w:w="140" w:type="dxa"/>
            <w:vAlign w:val="bottom"/>
          </w:tcPr>
          <w:p>
            <w:pPr>
              <w:spacing w:after="0"/>
              <w:rPr>
                <w:sz w:val="20"/>
                <w:szCs w:val="20"/>
                <w:color w:val="auto"/>
              </w:rPr>
            </w:pPr>
          </w:p>
        </w:tc>
        <w:tc>
          <w:tcPr>
            <w:tcW w:w="2840" w:type="dxa"/>
            <w:vAlign w:val="bottom"/>
            <w:gridSpan w:val="4"/>
          </w:tcPr>
          <w:p>
            <w:pPr>
              <w:jc w:val="right"/>
              <w:ind w:right="50"/>
              <w:spacing w:after="0"/>
              <w:rPr>
                <w:sz w:val="20"/>
                <w:szCs w:val="20"/>
                <w:color w:val="auto"/>
              </w:rPr>
            </w:pPr>
            <w:r>
              <w:rPr>
                <w:rFonts w:ascii="Arial" w:cs="Arial" w:eastAsia="Arial" w:hAnsi="Arial"/>
                <w:sz w:val="18"/>
                <w:szCs w:val="18"/>
                <w:b w:val="1"/>
                <w:bCs w:val="1"/>
                <w:color w:val="auto"/>
                <w:w w:val="90"/>
              </w:rPr>
              <w:t>Nine Months Ended September 30,</w:t>
            </w:r>
          </w:p>
        </w:tc>
      </w:tr>
      <w:tr>
        <w:trPr>
          <w:trHeight w:val="223"/>
        </w:trPr>
        <w:tc>
          <w:tcPr>
            <w:tcW w:w="5200" w:type="dxa"/>
            <w:vAlign w:val="bottom"/>
            <w:tcBorders>
              <w:bottom w:val="single" w:sz="8" w:color="CCEEFF"/>
            </w:tcBorders>
          </w:tcPr>
          <w:p>
            <w:pPr>
              <w:spacing w:after="0"/>
              <w:rPr>
                <w:sz w:val="19"/>
                <w:szCs w:val="19"/>
                <w:color w:val="auto"/>
              </w:rPr>
            </w:pPr>
          </w:p>
        </w:tc>
        <w:tc>
          <w:tcPr>
            <w:tcW w:w="320" w:type="dxa"/>
            <w:vAlign w:val="bottom"/>
            <w:tcBorders>
              <w:top w:val="single" w:sz="8" w:color="auto"/>
              <w:bottom w:val="single" w:sz="8" w:color="auto"/>
            </w:tcBorders>
          </w:tcPr>
          <w:p>
            <w:pPr>
              <w:spacing w:after="0"/>
              <w:rPr>
                <w:sz w:val="19"/>
                <w:szCs w:val="19"/>
                <w:color w:val="auto"/>
              </w:rPr>
            </w:pPr>
          </w:p>
        </w:tc>
        <w:tc>
          <w:tcPr>
            <w:tcW w:w="1100" w:type="dxa"/>
            <w:vAlign w:val="bottom"/>
            <w:tcBorders>
              <w:top w:val="single" w:sz="8" w:color="auto"/>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2022</w:t>
            </w:r>
          </w:p>
        </w:tc>
        <w:tc>
          <w:tcPr>
            <w:tcW w:w="120" w:type="dxa"/>
            <w:vAlign w:val="bottom"/>
            <w:tcBorders>
              <w:top w:val="single" w:sz="8" w:color="auto"/>
              <w:bottom w:val="single" w:sz="8" w:color="CCEEFF"/>
            </w:tcBorders>
          </w:tcPr>
          <w:p>
            <w:pPr>
              <w:spacing w:after="0"/>
              <w:rPr>
                <w:sz w:val="19"/>
                <w:szCs w:val="19"/>
                <w:color w:val="auto"/>
              </w:rPr>
            </w:pPr>
          </w:p>
        </w:tc>
        <w:tc>
          <w:tcPr>
            <w:tcW w:w="320" w:type="dxa"/>
            <w:vAlign w:val="bottom"/>
            <w:tcBorders>
              <w:top w:val="single" w:sz="8" w:color="auto"/>
              <w:bottom w:val="single" w:sz="8" w:color="auto"/>
            </w:tcBorders>
          </w:tcPr>
          <w:p>
            <w:pPr>
              <w:spacing w:after="0"/>
              <w:rPr>
                <w:sz w:val="19"/>
                <w:szCs w:val="19"/>
                <w:color w:val="auto"/>
              </w:rPr>
            </w:pPr>
          </w:p>
        </w:tc>
        <w:tc>
          <w:tcPr>
            <w:tcW w:w="1100" w:type="dxa"/>
            <w:vAlign w:val="bottom"/>
            <w:tcBorders>
              <w:top w:val="single" w:sz="8" w:color="auto"/>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2021</w:t>
            </w:r>
          </w:p>
        </w:tc>
        <w:tc>
          <w:tcPr>
            <w:tcW w:w="100" w:type="dxa"/>
            <w:vAlign w:val="bottom"/>
            <w:tcBorders>
              <w:bottom w:val="single" w:sz="8" w:color="CCEEFF"/>
            </w:tcBorders>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1300" w:type="dxa"/>
            <w:vAlign w:val="bottom"/>
            <w:tcBorders>
              <w:top w:val="single" w:sz="8" w:color="auto"/>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2022</w:t>
            </w:r>
          </w:p>
        </w:tc>
        <w:tc>
          <w:tcPr>
            <w:tcW w:w="100" w:type="dxa"/>
            <w:vAlign w:val="bottom"/>
            <w:tcBorders>
              <w:top w:val="single" w:sz="8" w:color="auto"/>
              <w:bottom w:val="single" w:sz="8" w:color="CCEEFF"/>
            </w:tcBorders>
          </w:tcPr>
          <w:p>
            <w:pPr>
              <w:spacing w:after="0"/>
              <w:rPr>
                <w:sz w:val="19"/>
                <w:szCs w:val="19"/>
                <w:color w:val="auto"/>
              </w:rPr>
            </w:pPr>
          </w:p>
        </w:tc>
        <w:tc>
          <w:tcPr>
            <w:tcW w:w="340" w:type="dxa"/>
            <w:vAlign w:val="bottom"/>
            <w:tcBorders>
              <w:top w:val="single" w:sz="8" w:color="auto"/>
              <w:bottom w:val="single" w:sz="8" w:color="auto"/>
            </w:tcBorders>
          </w:tcPr>
          <w:p>
            <w:pPr>
              <w:spacing w:after="0"/>
              <w:rPr>
                <w:sz w:val="19"/>
                <w:szCs w:val="19"/>
                <w:color w:val="auto"/>
              </w:rPr>
            </w:pPr>
          </w:p>
        </w:tc>
        <w:tc>
          <w:tcPr>
            <w:tcW w:w="1100" w:type="dxa"/>
            <w:vAlign w:val="bottom"/>
            <w:tcBorders>
              <w:top w:val="single" w:sz="8" w:color="auto"/>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2021</w:t>
            </w:r>
          </w:p>
        </w:tc>
      </w:tr>
      <w:tr>
        <w:trPr>
          <w:trHeight w:val="223"/>
        </w:trPr>
        <w:tc>
          <w:tcPr>
            <w:tcW w:w="5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Revenue</w:t>
            </w: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119,070</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114,149</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352,250</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334,612</w:t>
            </w:r>
          </w:p>
        </w:tc>
      </w:tr>
      <w:tr>
        <w:trPr>
          <w:trHeight w:val="304"/>
        </w:trPr>
        <w:tc>
          <w:tcPr>
            <w:tcW w:w="5200" w:type="dxa"/>
            <w:vAlign w:val="bottom"/>
          </w:tcPr>
          <w:p>
            <w:pPr>
              <w:ind w:left="20"/>
              <w:spacing w:after="0"/>
              <w:rPr>
                <w:sz w:val="20"/>
                <w:szCs w:val="20"/>
                <w:color w:val="auto"/>
              </w:rPr>
            </w:pPr>
            <w:r>
              <w:rPr>
                <w:rFonts w:ascii="Arial" w:cs="Arial" w:eastAsia="Arial" w:hAnsi="Arial"/>
                <w:sz w:val="18"/>
                <w:szCs w:val="18"/>
                <w:color w:val="auto"/>
              </w:rPr>
              <w:t>Net income attributable to The Pennant Group, Inc.</w:t>
            </w:r>
            <w:r>
              <w:rPr>
                <w:rFonts w:ascii="Arial" w:cs="Arial" w:eastAsia="Arial" w:hAnsi="Arial"/>
                <w:sz w:val="23"/>
                <w:szCs w:val="23"/>
                <w:color w:val="auto"/>
                <w:vertAlign w:val="superscript"/>
              </w:rPr>
              <w:t>(a)</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4,751</w:t>
            </w:r>
          </w:p>
        </w:tc>
        <w:tc>
          <w:tcPr>
            <w:tcW w:w="120" w:type="dxa"/>
            <w:vAlign w:val="bottom"/>
          </w:tcPr>
          <w:p>
            <w:pPr>
              <w:spacing w:after="0"/>
              <w:rPr>
                <w:sz w:val="24"/>
                <w:szCs w:val="24"/>
                <w:color w:val="auto"/>
              </w:rPr>
            </w:pP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1,143</w:t>
            </w:r>
          </w:p>
        </w:tc>
        <w:tc>
          <w:tcPr>
            <w:tcW w:w="100" w:type="dxa"/>
            <w:vAlign w:val="bottom"/>
          </w:tcPr>
          <w:p>
            <w:pPr>
              <w:spacing w:after="0"/>
              <w:rPr>
                <w:sz w:val="24"/>
                <w:szCs w:val="24"/>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2,370</w:t>
            </w:r>
          </w:p>
        </w:tc>
        <w:tc>
          <w:tcPr>
            <w:tcW w:w="100" w:type="dxa"/>
            <w:vAlign w:val="bottom"/>
          </w:tcPr>
          <w:p>
            <w:pPr>
              <w:spacing w:after="0"/>
              <w:rPr>
                <w:sz w:val="24"/>
                <w:szCs w:val="24"/>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4,561</w:t>
            </w:r>
          </w:p>
        </w:tc>
      </w:tr>
    </w:tbl>
    <w:p>
      <w:pPr>
        <w:spacing w:after="0" w:line="41" w:lineRule="exact"/>
        <w:rPr>
          <w:sz w:val="20"/>
          <w:szCs w:val="20"/>
          <w:color w:val="auto"/>
        </w:rPr>
      </w:pPr>
    </w:p>
    <w:p>
      <w:pPr>
        <w:ind w:left="480" w:right="620" w:hanging="454"/>
        <w:spacing w:after="0" w:line="236" w:lineRule="auto"/>
        <w:tabs>
          <w:tab w:leader="none" w:pos="480" w:val="left"/>
        </w:tabs>
        <w:numPr>
          <w:ilvl w:val="0"/>
          <w:numId w:val="11"/>
        </w:numPr>
        <w:rPr>
          <w:rFonts w:ascii="Arial" w:cs="Arial" w:eastAsia="Arial" w:hAnsi="Arial"/>
          <w:sz w:val="14"/>
          <w:szCs w:val="14"/>
          <w:color w:val="auto"/>
        </w:rPr>
      </w:pPr>
      <w:r>
        <w:rPr>
          <w:rFonts w:ascii="Arial" w:cs="Arial" w:eastAsia="Arial" w:hAnsi="Arial"/>
          <w:sz w:val="14"/>
          <w:szCs w:val="14"/>
          <w:color w:val="auto"/>
        </w:rPr>
        <w:t>Net income attributable to The Pennant Group, Inc. for the three and nine months ended September 30, 2022 and 2021 includes a tax impact of 24.5% and 24.7%, which are the respective statutory tax rates.</w:t>
      </w:r>
    </w:p>
    <w:p>
      <w:pPr>
        <w:spacing w:after="0" w:line="33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Subsequent Events</w:t>
      </w:r>
    </w:p>
    <w:p>
      <w:pPr>
        <w:spacing w:after="0" w:line="252" w:lineRule="exact"/>
        <w:rPr>
          <w:sz w:val="20"/>
          <w:szCs w:val="20"/>
          <w:color w:val="auto"/>
        </w:rPr>
      </w:pPr>
    </w:p>
    <w:p>
      <w:pPr>
        <w:ind w:firstLine="648"/>
        <w:spacing w:after="0" w:line="342" w:lineRule="auto"/>
        <w:rPr>
          <w:sz w:val="20"/>
          <w:szCs w:val="20"/>
          <w:color w:val="auto"/>
        </w:rPr>
      </w:pPr>
      <w:r>
        <w:rPr>
          <w:rFonts w:ascii="Arial" w:cs="Arial" w:eastAsia="Arial" w:hAnsi="Arial"/>
          <w:sz w:val="16"/>
          <w:szCs w:val="16"/>
          <w:color w:val="auto"/>
        </w:rPr>
        <w:t>On November 1, 2022, the Company closed on the purchase of one home health agency that expands the Company’s footprint in Wisconsin. The purchase of the home health agency was $450. A subsidiary of the Company entered into an operations transfer agreement with the prior operator.</w:t>
      </w: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8" w:name="page19"/>
    <w:bookmarkEnd w:id="18"/>
    <w:p>
      <w:pPr>
        <w:spacing w:after="0"/>
        <w:rPr>
          <w:sz w:val="20"/>
          <w:szCs w:val="20"/>
          <w:color w:val="auto"/>
        </w:rPr>
      </w:pPr>
      <w:r>
        <w:rPr>
          <w:rFonts w:ascii="Arial" w:cs="Arial" w:eastAsia="Arial" w:hAnsi="Arial"/>
          <w:sz w:val="18"/>
          <w:szCs w:val="18"/>
          <w:u w:val="single" w:color="auto"/>
          <w:color w:val="0000FF"/>
        </w:rPr>
        <w:t>Table of Contents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PENNANT GROUP,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CONDENSED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PROPERTY AND EQUIPMENT—NET</w:t>
      </w:r>
    </w:p>
    <w:p>
      <w:pPr>
        <w:spacing w:after="0" w:line="5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180" w:type="dxa"/>
            <w:vAlign w:val="bottom"/>
          </w:tcPr>
          <w:p>
            <w:pPr>
              <w:ind w:left="660"/>
              <w:spacing w:after="0"/>
              <w:rPr>
                <w:sz w:val="20"/>
                <w:szCs w:val="20"/>
                <w:color w:val="auto"/>
              </w:rPr>
            </w:pPr>
            <w:r>
              <w:rPr>
                <w:rFonts w:ascii="Arial" w:cs="Arial" w:eastAsia="Arial" w:hAnsi="Arial"/>
                <w:sz w:val="18"/>
                <w:szCs w:val="18"/>
                <w:color w:val="auto"/>
              </w:rPr>
              <w:t>Property and equipment, net consist of the following:</w:t>
            </w:r>
          </w:p>
        </w:tc>
        <w:tc>
          <w:tcPr>
            <w:tcW w:w="180" w:type="dxa"/>
            <w:vAlign w:val="bottom"/>
          </w:tcPr>
          <w:p>
            <w:pPr>
              <w:spacing w:after="0"/>
              <w:rPr>
                <w:sz w:val="20"/>
                <w:szCs w:val="20"/>
                <w:color w:val="auto"/>
              </w:rPr>
            </w:pPr>
          </w:p>
        </w:tc>
        <w:tc>
          <w:tcPr>
            <w:tcW w:w="18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780" w:type="dxa"/>
            <w:vAlign w:val="bottom"/>
          </w:tcPr>
          <w:p>
            <w:pPr>
              <w:spacing w:after="0"/>
              <w:rPr>
                <w:sz w:val="20"/>
                <w:szCs w:val="20"/>
                <w:color w:val="auto"/>
              </w:rPr>
            </w:pPr>
          </w:p>
        </w:tc>
      </w:tr>
      <w:tr>
        <w:trPr>
          <w:trHeight w:val="499"/>
        </w:trPr>
        <w:tc>
          <w:tcPr>
            <w:tcW w:w="7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900" w:type="dxa"/>
            <w:vAlign w:val="bottom"/>
            <w:gridSpan w:val="2"/>
          </w:tcPr>
          <w:p>
            <w:pPr>
              <w:ind w:left="60"/>
              <w:spacing w:after="0"/>
              <w:rPr>
                <w:sz w:val="20"/>
                <w:szCs w:val="20"/>
                <w:color w:val="auto"/>
              </w:rPr>
            </w:pPr>
            <w:r>
              <w:rPr>
                <w:rFonts w:ascii="Arial" w:cs="Arial" w:eastAsia="Arial" w:hAnsi="Arial"/>
                <w:sz w:val="18"/>
                <w:szCs w:val="18"/>
                <w:b w:val="1"/>
                <w:bCs w:val="1"/>
                <w:color w:val="auto"/>
              </w:rPr>
              <w:t>September 30, 2022</w:t>
            </w:r>
          </w:p>
        </w:tc>
        <w:tc>
          <w:tcPr>
            <w:tcW w:w="200" w:type="dxa"/>
            <w:vAlign w:val="bottom"/>
          </w:tcPr>
          <w:p>
            <w:pPr>
              <w:spacing w:after="0"/>
              <w:rPr>
                <w:sz w:val="24"/>
                <w:szCs w:val="24"/>
                <w:color w:val="auto"/>
              </w:rPr>
            </w:pPr>
          </w:p>
        </w:tc>
        <w:tc>
          <w:tcPr>
            <w:tcW w:w="1780" w:type="dxa"/>
            <w:vAlign w:val="bottom"/>
          </w:tcPr>
          <w:p>
            <w:pPr>
              <w:jc w:val="right"/>
              <w:ind w:right="170"/>
              <w:spacing w:after="0"/>
              <w:rPr>
                <w:sz w:val="20"/>
                <w:szCs w:val="20"/>
                <w:color w:val="auto"/>
              </w:rPr>
            </w:pPr>
            <w:r>
              <w:rPr>
                <w:rFonts w:ascii="Arial" w:cs="Arial" w:eastAsia="Arial" w:hAnsi="Arial"/>
                <w:sz w:val="18"/>
                <w:szCs w:val="18"/>
                <w:b w:val="1"/>
                <w:bCs w:val="1"/>
                <w:color w:val="auto"/>
                <w:w w:val="92"/>
              </w:rPr>
              <w:t>December 31, 2021</w:t>
            </w:r>
          </w:p>
        </w:tc>
      </w:tr>
      <w:tr>
        <w:trPr>
          <w:trHeight w:val="223"/>
        </w:trPr>
        <w:tc>
          <w:tcPr>
            <w:tcW w:w="7180" w:type="dxa"/>
            <w:vAlign w:val="bottom"/>
          </w:tcPr>
          <w:p>
            <w:pPr>
              <w:ind w:left="20"/>
              <w:spacing w:after="0"/>
              <w:rPr>
                <w:sz w:val="20"/>
                <w:szCs w:val="20"/>
                <w:color w:val="auto"/>
              </w:rPr>
            </w:pPr>
            <w:r>
              <w:rPr>
                <w:rFonts w:ascii="Arial" w:cs="Arial" w:eastAsia="Arial" w:hAnsi="Arial"/>
                <w:sz w:val="18"/>
                <w:szCs w:val="18"/>
                <w:color w:val="auto"/>
              </w:rPr>
              <w:t>Land</w:t>
            </w: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96</w:t>
            </w:r>
          </w:p>
        </w:tc>
        <w:tc>
          <w:tcPr>
            <w:tcW w:w="100" w:type="dxa"/>
            <w:vAlign w:val="bottom"/>
          </w:tcPr>
          <w:p>
            <w:pPr>
              <w:spacing w:after="0"/>
              <w:rPr>
                <w:sz w:val="19"/>
                <w:szCs w:val="19"/>
                <w:color w:val="auto"/>
              </w:rPr>
            </w:pP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7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7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Building</w:t>
            </w:r>
          </w:p>
        </w:tc>
        <w:tc>
          <w:tcPr>
            <w:tcW w:w="180" w:type="dxa"/>
            <w:vAlign w:val="bottom"/>
            <w:shd w:val="clear" w:color="auto" w:fill="CCEEFF"/>
          </w:tcPr>
          <w:p>
            <w:pPr>
              <w:spacing w:after="0"/>
              <w:rPr>
                <w:sz w:val="19"/>
                <w:szCs w:val="19"/>
                <w:color w:val="auto"/>
              </w:rPr>
            </w:pPr>
          </w:p>
        </w:tc>
        <w:tc>
          <w:tcPr>
            <w:tcW w:w="1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1,890</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7180" w:type="dxa"/>
            <w:vAlign w:val="bottom"/>
          </w:tcPr>
          <w:p>
            <w:pPr>
              <w:ind w:left="20"/>
              <w:spacing w:after="0"/>
              <w:rPr>
                <w:sz w:val="20"/>
                <w:szCs w:val="20"/>
                <w:color w:val="auto"/>
              </w:rPr>
            </w:pPr>
            <w:r>
              <w:rPr>
                <w:rFonts w:ascii="Arial" w:cs="Arial" w:eastAsia="Arial" w:hAnsi="Arial"/>
                <w:sz w:val="18"/>
                <w:szCs w:val="18"/>
                <w:color w:val="auto"/>
              </w:rPr>
              <w:t>Leasehold improvements</w:t>
            </w:r>
          </w:p>
        </w:tc>
        <w:tc>
          <w:tcPr>
            <w:tcW w:w="180" w:type="dxa"/>
            <w:vAlign w:val="bottom"/>
          </w:tcPr>
          <w:p>
            <w:pPr>
              <w:spacing w:after="0"/>
              <w:rPr>
                <w:sz w:val="19"/>
                <w:szCs w:val="19"/>
                <w:color w:val="auto"/>
              </w:rPr>
            </w:pPr>
          </w:p>
        </w:tc>
        <w:tc>
          <w:tcPr>
            <w:tcW w:w="1800" w:type="dxa"/>
            <w:vAlign w:val="bottom"/>
          </w:tcPr>
          <w:p>
            <w:pPr>
              <w:jc w:val="right"/>
              <w:spacing w:after="0"/>
              <w:rPr>
                <w:sz w:val="20"/>
                <w:szCs w:val="20"/>
                <w:color w:val="auto"/>
              </w:rPr>
            </w:pPr>
            <w:r>
              <w:rPr>
                <w:rFonts w:ascii="Arial" w:cs="Arial" w:eastAsia="Arial" w:hAnsi="Arial"/>
                <w:sz w:val="18"/>
                <w:szCs w:val="18"/>
                <w:color w:val="auto"/>
              </w:rPr>
              <w:t>16,161</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Arial" w:cs="Arial" w:eastAsia="Arial" w:hAnsi="Arial"/>
                <w:sz w:val="18"/>
                <w:szCs w:val="18"/>
                <w:color w:val="auto"/>
              </w:rPr>
              <w:t>11,660</w:t>
            </w:r>
          </w:p>
        </w:tc>
      </w:tr>
      <w:tr>
        <w:trPr>
          <w:trHeight w:val="230"/>
        </w:trPr>
        <w:tc>
          <w:tcPr>
            <w:tcW w:w="7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Equipment</w:t>
            </w:r>
          </w:p>
        </w:tc>
        <w:tc>
          <w:tcPr>
            <w:tcW w:w="180" w:type="dxa"/>
            <w:vAlign w:val="bottom"/>
            <w:shd w:val="clear" w:color="auto" w:fill="CCEEFF"/>
          </w:tcPr>
          <w:p>
            <w:pPr>
              <w:spacing w:after="0"/>
              <w:rPr>
                <w:sz w:val="19"/>
                <w:szCs w:val="19"/>
                <w:color w:val="auto"/>
              </w:rPr>
            </w:pPr>
          </w:p>
        </w:tc>
        <w:tc>
          <w:tcPr>
            <w:tcW w:w="1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26,593</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22,415</w:t>
            </w:r>
          </w:p>
        </w:tc>
      </w:tr>
      <w:tr>
        <w:trPr>
          <w:trHeight w:val="229"/>
        </w:trPr>
        <w:tc>
          <w:tcPr>
            <w:tcW w:w="71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Furniture and fixtures</w:t>
            </w:r>
          </w:p>
        </w:tc>
        <w:tc>
          <w:tcPr>
            <w:tcW w:w="180" w:type="dxa"/>
            <w:vAlign w:val="bottom"/>
            <w:tcBorders>
              <w:bottom w:val="single" w:sz="8" w:color="auto"/>
            </w:tcBorders>
          </w:tcPr>
          <w:p>
            <w:pPr>
              <w:spacing w:after="0"/>
              <w:rPr>
                <w:sz w:val="19"/>
                <w:szCs w:val="19"/>
                <w:color w:val="auto"/>
              </w:rPr>
            </w:pPr>
          </w:p>
        </w:tc>
        <w:tc>
          <w:tcPr>
            <w:tcW w:w="1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1,283</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1,199</w:t>
            </w:r>
          </w:p>
        </w:tc>
      </w:tr>
      <w:tr>
        <w:trPr>
          <w:trHeight w:val="223"/>
        </w:trPr>
        <w:tc>
          <w:tcPr>
            <w:tcW w:w="71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46,023</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35,274</w:t>
            </w:r>
          </w:p>
        </w:tc>
      </w:tr>
      <w:tr>
        <w:trPr>
          <w:trHeight w:val="230"/>
        </w:trPr>
        <w:tc>
          <w:tcPr>
            <w:tcW w:w="718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Less: accumulated depreciation</w:t>
            </w:r>
          </w:p>
        </w:tc>
        <w:tc>
          <w:tcPr>
            <w:tcW w:w="180" w:type="dxa"/>
            <w:vAlign w:val="bottom"/>
            <w:tcBorders>
              <w:bottom w:val="single" w:sz="8" w:color="auto"/>
            </w:tcBorders>
          </w:tcPr>
          <w:p>
            <w:pPr>
              <w:spacing w:after="0"/>
              <w:rPr>
                <w:sz w:val="19"/>
                <w:szCs w:val="19"/>
                <w:color w:val="auto"/>
              </w:rPr>
            </w:pPr>
          </w:p>
        </w:tc>
        <w:tc>
          <w:tcPr>
            <w:tcW w:w="1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(22,109)</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(18,486)</w:t>
            </w:r>
          </w:p>
        </w:tc>
      </w:tr>
      <w:tr>
        <w:trPr>
          <w:trHeight w:val="248"/>
        </w:trPr>
        <w:tc>
          <w:tcPr>
            <w:tcW w:w="718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Property and equipment, net</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23,914</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16,788</w:t>
            </w:r>
          </w:p>
        </w:tc>
      </w:tr>
      <w:tr>
        <w:trPr>
          <w:trHeight w:val="20"/>
        </w:trPr>
        <w:tc>
          <w:tcPr>
            <w:tcW w:w="71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8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780" w:type="dxa"/>
            <w:vAlign w:val="bottom"/>
            <w:tcBorders>
              <w:top w:val="single" w:sz="8" w:color="CCEEFF"/>
              <w:bottom w:val="single" w:sz="8" w:color="auto"/>
            </w:tcBorders>
          </w:tcPr>
          <w:p>
            <w:pPr>
              <w:spacing w:after="0" w:line="20" w:lineRule="exact"/>
              <w:rPr>
                <w:sz w:val="1"/>
                <w:szCs w:val="1"/>
                <w:color w:val="auto"/>
              </w:rPr>
            </w:pPr>
          </w:p>
        </w:tc>
      </w:tr>
    </w:tbl>
    <w:p>
      <w:pPr>
        <w:spacing w:after="0" w:line="323"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Depreciation expense was $1,244 and $3,640 for the three and nine months ended September 30, 2022 and $1,189 and $3,527 for the three and nine months ended September 30, 2021, respectively.</w:t>
      </w:r>
    </w:p>
    <w:p>
      <w:pPr>
        <w:spacing w:after="0" w:line="197"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Company acquired one building and related assets during the nine months ended September 30, 2022 associated with an existing senior living community operation. The total acquisition price of the land, building and related equipment was $2,007.</w:t>
      </w:r>
    </w:p>
    <w:p>
      <w:pPr>
        <w:spacing w:after="0" w:line="197"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The Company measures certain assets at fair value on a non-recurring basis, including long-lived assets, which are evaluated for impairment. Long-lived assets include assets such as property and equipment, operating lease assets and certain intangible assets. The inputs used to determine the fair value of long-lived assets and a reporting unit are considered Level 3 measurements due to their subjective nature. Management has evaluated its long-lived assets and determined there was no impairment during the three and nine months ended September 30, 2022 and 2021.</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GOODWILL AND OTHER INDEFINITE-LIVED INTANGIBLE ASSETS</w:t>
      </w:r>
    </w:p>
    <w:p>
      <w:pPr>
        <w:spacing w:after="0" w:line="5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represents activity in goodwill by segment for the nine months ended September 30, 2022:</w:t>
      </w:r>
    </w:p>
    <w:p>
      <w:pPr>
        <w:spacing w:after="0" w:line="26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720" w:type="dxa"/>
            <w:vAlign w:val="bottom"/>
          </w:tcPr>
          <w:p>
            <w:pPr>
              <w:jc w:val="right"/>
              <w:ind w:right="190"/>
              <w:spacing w:after="0"/>
              <w:rPr>
                <w:sz w:val="20"/>
                <w:szCs w:val="20"/>
                <w:color w:val="auto"/>
              </w:rPr>
            </w:pPr>
            <w:r>
              <w:rPr>
                <w:rFonts w:ascii="Arial" w:cs="Arial" w:eastAsia="Arial" w:hAnsi="Arial"/>
                <w:sz w:val="18"/>
                <w:szCs w:val="18"/>
                <w:b w:val="1"/>
                <w:bCs w:val="1"/>
                <w:color w:val="auto"/>
                <w:w w:val="96"/>
              </w:rPr>
              <w:t>Home Health and</w:t>
            </w: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53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720" w:type="dxa"/>
            <w:vAlign w:val="bottom"/>
          </w:tcPr>
          <w:p>
            <w:pPr>
              <w:jc w:val="right"/>
              <w:ind w:right="230"/>
              <w:spacing w:after="0"/>
              <w:rPr>
                <w:sz w:val="20"/>
                <w:szCs w:val="20"/>
                <w:color w:val="auto"/>
              </w:rPr>
            </w:pPr>
            <w:r>
              <w:rPr>
                <w:rFonts w:ascii="Arial" w:cs="Arial" w:eastAsia="Arial" w:hAnsi="Arial"/>
                <w:sz w:val="18"/>
                <w:szCs w:val="18"/>
                <w:b w:val="1"/>
                <w:bCs w:val="1"/>
                <w:color w:val="auto"/>
                <w:w w:val="92"/>
              </w:rPr>
              <w:t>Hospice Services</w:t>
            </w: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000" w:type="dxa"/>
            <w:vAlign w:val="bottom"/>
            <w:gridSpan w:val="4"/>
          </w:tcPr>
          <w:p>
            <w:pPr>
              <w:jc w:val="center"/>
              <w:ind w:right="100"/>
              <w:spacing w:after="0"/>
              <w:rPr>
                <w:sz w:val="20"/>
                <w:szCs w:val="20"/>
                <w:color w:val="auto"/>
              </w:rPr>
            </w:pPr>
            <w:r>
              <w:rPr>
                <w:rFonts w:ascii="Arial" w:cs="Arial" w:eastAsia="Arial" w:hAnsi="Arial"/>
                <w:sz w:val="18"/>
                <w:szCs w:val="18"/>
                <w:b w:val="1"/>
                <w:bCs w:val="1"/>
                <w:color w:val="auto"/>
                <w:w w:val="88"/>
              </w:rPr>
              <w:t>Senior Living Services</w:t>
            </w:r>
          </w:p>
        </w:tc>
        <w:tc>
          <w:tcPr>
            <w:tcW w:w="160" w:type="dxa"/>
            <w:vAlign w:val="bottom"/>
          </w:tcPr>
          <w:p>
            <w:pPr>
              <w:spacing w:after="0"/>
              <w:rPr>
                <w:sz w:val="21"/>
                <w:szCs w:val="21"/>
                <w:color w:val="auto"/>
              </w:rPr>
            </w:pPr>
          </w:p>
        </w:tc>
        <w:tc>
          <w:tcPr>
            <w:tcW w:w="1760" w:type="dxa"/>
            <w:vAlign w:val="bottom"/>
          </w:tcPr>
          <w:p>
            <w:pPr>
              <w:jc w:val="right"/>
              <w:ind w:right="67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223"/>
        </w:trPr>
        <w:tc>
          <w:tcPr>
            <w:tcW w:w="5300" w:type="dxa"/>
            <w:vAlign w:val="bottom"/>
          </w:tcPr>
          <w:p>
            <w:pPr>
              <w:ind w:left="20"/>
              <w:spacing w:after="0"/>
              <w:rPr>
                <w:sz w:val="20"/>
                <w:szCs w:val="20"/>
                <w:color w:val="auto"/>
              </w:rPr>
            </w:pPr>
            <w:r>
              <w:rPr>
                <w:rFonts w:ascii="Arial" w:cs="Arial" w:eastAsia="Arial" w:hAnsi="Arial"/>
                <w:sz w:val="18"/>
                <w:szCs w:val="18"/>
                <w:color w:val="auto"/>
              </w:rPr>
              <w:t>December 31, 2021</w:t>
            </w:r>
          </w:p>
        </w:tc>
        <w:tc>
          <w:tcPr>
            <w:tcW w:w="2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7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70,623</w:t>
            </w: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7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3,642</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7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74,265</w:t>
            </w:r>
          </w:p>
        </w:tc>
        <w:tc>
          <w:tcPr>
            <w:tcW w:w="0" w:type="dxa"/>
            <w:vAlign w:val="bottom"/>
          </w:tcPr>
          <w:p>
            <w:pPr>
              <w:spacing w:after="0"/>
              <w:rPr>
                <w:sz w:val="1"/>
                <w:szCs w:val="1"/>
                <w:color w:val="auto"/>
              </w:rPr>
            </w:pPr>
          </w:p>
        </w:tc>
      </w:tr>
      <w:tr>
        <w:trPr>
          <w:trHeight w:val="229"/>
        </w:trPr>
        <w:tc>
          <w:tcPr>
            <w:tcW w:w="5300" w:type="dxa"/>
            <w:vAlign w:val="bottom"/>
            <w:shd w:val="clear" w:color="auto" w:fill="CCEEFF"/>
          </w:tcPr>
          <w:p>
            <w:pPr>
              <w:ind w:left="20"/>
              <w:spacing w:after="0"/>
              <w:rPr>
                <w:sz w:val="20"/>
                <w:szCs w:val="20"/>
                <w:color w:val="auto"/>
              </w:rPr>
            </w:pPr>
            <w:r>
              <w:rPr>
                <w:rFonts w:ascii="Arial" w:cs="Arial" w:eastAsia="Arial" w:hAnsi="Arial"/>
                <w:sz w:val="18"/>
                <w:szCs w:val="18"/>
                <w:color w:val="auto"/>
              </w:rPr>
              <w:t>Additions</w:t>
            </w:r>
          </w:p>
        </w:tc>
        <w:tc>
          <w:tcPr>
            <w:tcW w:w="200" w:type="dxa"/>
            <w:vAlign w:val="bottom"/>
            <w:shd w:val="clear" w:color="auto" w:fill="CCEEFF"/>
          </w:tcPr>
          <w:p>
            <w:pPr>
              <w:spacing w:after="0"/>
              <w:rPr>
                <w:sz w:val="19"/>
                <w:szCs w:val="19"/>
                <w:color w:val="auto"/>
              </w:rPr>
            </w:pPr>
          </w:p>
        </w:tc>
        <w:tc>
          <w:tcPr>
            <w:tcW w:w="1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4,925</w:t>
            </w: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86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1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4,925</w:t>
            </w:r>
          </w:p>
        </w:tc>
        <w:tc>
          <w:tcPr>
            <w:tcW w:w="0" w:type="dxa"/>
            <w:vAlign w:val="bottom"/>
          </w:tcPr>
          <w:p>
            <w:pPr>
              <w:spacing w:after="0"/>
              <w:rPr>
                <w:sz w:val="1"/>
                <w:szCs w:val="1"/>
                <w:color w:val="auto"/>
              </w:rPr>
            </w:pPr>
          </w:p>
        </w:tc>
      </w:tr>
      <w:tr>
        <w:trPr>
          <w:trHeight w:val="223"/>
        </w:trPr>
        <w:tc>
          <w:tcPr>
            <w:tcW w:w="5300" w:type="dxa"/>
            <w:vAlign w:val="bottom"/>
          </w:tcPr>
          <w:p>
            <w:pPr>
              <w:ind w:left="20"/>
              <w:spacing w:after="0"/>
              <w:rPr>
                <w:sz w:val="20"/>
                <w:szCs w:val="20"/>
                <w:color w:val="auto"/>
              </w:rPr>
            </w:pPr>
            <w:r>
              <w:rPr>
                <w:rFonts w:ascii="Arial" w:cs="Arial" w:eastAsia="Arial" w:hAnsi="Arial"/>
                <w:sz w:val="18"/>
                <w:szCs w:val="18"/>
                <w:color w:val="auto"/>
              </w:rPr>
              <w:t>September 30, 2022</w:t>
            </w: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75,548</w:t>
            </w: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3,642</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79,190</w:t>
            </w:r>
          </w:p>
        </w:tc>
        <w:tc>
          <w:tcPr>
            <w:tcW w:w="0" w:type="dxa"/>
            <w:vAlign w:val="bottom"/>
          </w:tcPr>
          <w:p>
            <w:pPr>
              <w:spacing w:after="0"/>
              <w:rPr>
                <w:sz w:val="1"/>
                <w:szCs w:val="1"/>
                <w:color w:val="auto"/>
              </w:rPr>
            </w:pPr>
          </w:p>
        </w:tc>
      </w:tr>
      <w:tr>
        <w:trPr>
          <w:trHeight w:val="20"/>
        </w:trPr>
        <w:tc>
          <w:tcPr>
            <w:tcW w:w="5300" w:type="dxa"/>
            <w:vAlign w:val="bottom"/>
            <w:vMerge w:val="restart"/>
          </w:tcPr>
          <w:p>
            <w:pPr>
              <w:ind w:left="660"/>
              <w:spacing w:after="0"/>
              <w:rPr>
                <w:sz w:val="20"/>
                <w:szCs w:val="20"/>
                <w:color w:val="auto"/>
              </w:rPr>
            </w:pPr>
            <w:r>
              <w:rPr>
                <w:rFonts w:ascii="Arial" w:cs="Arial" w:eastAsia="Arial" w:hAnsi="Arial"/>
                <w:sz w:val="18"/>
                <w:szCs w:val="18"/>
                <w:color w:val="auto"/>
                <w:w w:val="93"/>
              </w:rPr>
              <w:t>Other indefinite-lived intangible assets consist of the following:</w:t>
            </w:r>
          </w:p>
        </w:tc>
        <w:tc>
          <w:tcPr>
            <w:tcW w:w="20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547"/>
        </w:trPr>
        <w:tc>
          <w:tcPr>
            <w:tcW w:w="5300" w:type="dxa"/>
            <w:vAlign w:val="bottom"/>
            <w:vMerge w:val="continue"/>
          </w:tcPr>
          <w:p>
            <w:pPr>
              <w:spacing w:after="0"/>
              <w:rPr>
                <w:sz w:val="24"/>
                <w:szCs w:val="24"/>
                <w:color w:val="auto"/>
              </w:rPr>
            </w:pPr>
          </w:p>
        </w:tc>
        <w:tc>
          <w:tcPr>
            <w:tcW w:w="20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99"/>
        </w:trPr>
        <w:tc>
          <w:tcPr>
            <w:tcW w:w="53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60" w:type="dxa"/>
            <w:vAlign w:val="bottom"/>
            <w:gridSpan w:val="3"/>
          </w:tcPr>
          <w:p>
            <w:pPr>
              <w:jc w:val="center"/>
              <w:ind w:right="280"/>
              <w:spacing w:after="0"/>
              <w:rPr>
                <w:sz w:val="20"/>
                <w:szCs w:val="20"/>
                <w:color w:val="auto"/>
              </w:rPr>
            </w:pPr>
            <w:r>
              <w:rPr>
                <w:rFonts w:ascii="Arial" w:cs="Arial" w:eastAsia="Arial" w:hAnsi="Arial"/>
                <w:sz w:val="18"/>
                <w:szCs w:val="18"/>
                <w:b w:val="1"/>
                <w:bCs w:val="1"/>
                <w:color w:val="auto"/>
                <w:w w:val="89"/>
              </w:rPr>
              <w:t>September 30, 2022</w:t>
            </w:r>
          </w:p>
        </w:tc>
        <w:tc>
          <w:tcPr>
            <w:tcW w:w="160" w:type="dxa"/>
            <w:vAlign w:val="bottom"/>
          </w:tcPr>
          <w:p>
            <w:pPr>
              <w:spacing w:after="0"/>
              <w:rPr>
                <w:sz w:val="24"/>
                <w:szCs w:val="24"/>
                <w:color w:val="auto"/>
              </w:rPr>
            </w:pPr>
          </w:p>
        </w:tc>
        <w:tc>
          <w:tcPr>
            <w:tcW w:w="1760" w:type="dxa"/>
            <w:vAlign w:val="bottom"/>
          </w:tcPr>
          <w:p>
            <w:pPr>
              <w:jc w:val="right"/>
              <w:ind w:right="150"/>
              <w:spacing w:after="0"/>
              <w:rPr>
                <w:sz w:val="20"/>
                <w:szCs w:val="20"/>
                <w:color w:val="auto"/>
              </w:rPr>
            </w:pPr>
            <w:r>
              <w:rPr>
                <w:rFonts w:ascii="Arial" w:cs="Arial" w:eastAsia="Arial" w:hAnsi="Arial"/>
                <w:sz w:val="18"/>
                <w:szCs w:val="18"/>
                <w:b w:val="1"/>
                <w:bCs w:val="1"/>
                <w:color w:val="auto"/>
                <w:w w:val="92"/>
              </w:rPr>
              <w:t>December 31, 2021</w:t>
            </w:r>
          </w:p>
        </w:tc>
        <w:tc>
          <w:tcPr>
            <w:tcW w:w="0" w:type="dxa"/>
            <w:vAlign w:val="bottom"/>
          </w:tcPr>
          <w:p>
            <w:pPr>
              <w:spacing w:after="0"/>
              <w:rPr>
                <w:sz w:val="1"/>
                <w:szCs w:val="1"/>
                <w:color w:val="auto"/>
              </w:rPr>
            </w:pPr>
          </w:p>
        </w:tc>
      </w:tr>
      <w:tr>
        <w:trPr>
          <w:trHeight w:val="223"/>
        </w:trPr>
        <w:tc>
          <w:tcPr>
            <w:tcW w:w="5300" w:type="dxa"/>
            <w:vAlign w:val="bottom"/>
          </w:tcPr>
          <w:p>
            <w:pPr>
              <w:ind w:left="20"/>
              <w:spacing w:after="0"/>
              <w:rPr>
                <w:sz w:val="20"/>
                <w:szCs w:val="20"/>
                <w:color w:val="auto"/>
              </w:rPr>
            </w:pPr>
            <w:r>
              <w:rPr>
                <w:rFonts w:ascii="Arial" w:cs="Arial" w:eastAsia="Arial" w:hAnsi="Arial"/>
                <w:sz w:val="18"/>
                <w:szCs w:val="18"/>
                <w:color w:val="auto"/>
              </w:rPr>
              <w:t>Trade name</w:t>
            </w:r>
          </w:p>
        </w:tc>
        <w:tc>
          <w:tcPr>
            <w:tcW w:w="200" w:type="dxa"/>
            <w:vAlign w:val="bottom"/>
          </w:tcPr>
          <w:p>
            <w:pPr>
              <w:spacing w:after="0"/>
              <w:rPr>
                <w:sz w:val="19"/>
                <w:szCs w:val="19"/>
                <w:color w:val="auto"/>
              </w:rPr>
            </w:pPr>
          </w:p>
        </w:tc>
        <w:tc>
          <w:tcPr>
            <w:tcW w:w="17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8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color w:val="auto"/>
                <w:w w:val="99"/>
              </w:rPr>
              <w:t>$</w:t>
            </w:r>
          </w:p>
        </w:tc>
        <w:tc>
          <w:tcPr>
            <w:tcW w:w="17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1,385</w:t>
            </w:r>
          </w:p>
        </w:tc>
        <w:tc>
          <w:tcPr>
            <w:tcW w:w="80" w:type="dxa"/>
            <w:vAlign w:val="bottom"/>
          </w:tcPr>
          <w:p>
            <w:pPr>
              <w:spacing w:after="0"/>
              <w:rPr>
                <w:sz w:val="19"/>
                <w:szCs w:val="19"/>
                <w:color w:val="auto"/>
              </w:rPr>
            </w:pPr>
          </w:p>
        </w:tc>
        <w:tc>
          <w:tcPr>
            <w:tcW w:w="20" w:type="dxa"/>
            <w:vAlign w:val="bottom"/>
            <w:tcBorders>
              <w:top w:val="single" w:sz="8" w:color="auto"/>
            </w:tcBorders>
          </w:tcPr>
          <w:p>
            <w:pPr>
              <w:spacing w:after="0"/>
              <w:rPr>
                <w:sz w:val="19"/>
                <w:szCs w:val="19"/>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7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1,355</w:t>
            </w:r>
          </w:p>
        </w:tc>
        <w:tc>
          <w:tcPr>
            <w:tcW w:w="0" w:type="dxa"/>
            <w:vAlign w:val="bottom"/>
          </w:tcPr>
          <w:p>
            <w:pPr>
              <w:spacing w:after="0"/>
              <w:rPr>
                <w:sz w:val="1"/>
                <w:szCs w:val="1"/>
                <w:color w:val="auto"/>
              </w:rPr>
            </w:pPr>
          </w:p>
        </w:tc>
      </w:tr>
      <w:tr>
        <w:trPr>
          <w:trHeight w:val="230"/>
        </w:trPr>
        <w:tc>
          <w:tcPr>
            <w:tcW w:w="5300" w:type="dxa"/>
            <w:vAlign w:val="bottom"/>
            <w:shd w:val="clear" w:color="auto" w:fill="CCEEFF"/>
          </w:tcPr>
          <w:p>
            <w:pPr>
              <w:ind w:left="20"/>
              <w:spacing w:after="0"/>
              <w:rPr>
                <w:sz w:val="20"/>
                <w:szCs w:val="20"/>
                <w:color w:val="auto"/>
              </w:rPr>
            </w:pPr>
            <w:r>
              <w:rPr>
                <w:rFonts w:ascii="Arial" w:cs="Arial" w:eastAsia="Arial" w:hAnsi="Arial"/>
                <w:sz w:val="18"/>
                <w:szCs w:val="18"/>
                <w:color w:val="auto"/>
              </w:rPr>
              <w:t>Medicare and Medicaid licenses</w:t>
            </w:r>
          </w:p>
        </w:tc>
        <w:tc>
          <w:tcPr>
            <w:tcW w:w="200" w:type="dxa"/>
            <w:vAlign w:val="bottom"/>
            <w:shd w:val="clear" w:color="auto" w:fill="CCEEFF"/>
          </w:tcPr>
          <w:p>
            <w:pPr>
              <w:spacing w:after="0"/>
              <w:rPr>
                <w:sz w:val="19"/>
                <w:szCs w:val="19"/>
                <w:color w:val="auto"/>
              </w:rPr>
            </w:pPr>
          </w:p>
        </w:tc>
        <w:tc>
          <w:tcPr>
            <w:tcW w:w="17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tcBorders>
              <w:bottom w:val="single" w:sz="8" w:color="auto"/>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57,089</w:t>
            </w:r>
          </w:p>
        </w:tc>
        <w:tc>
          <w:tcPr>
            <w:tcW w:w="80" w:type="dxa"/>
            <w:vAlign w:val="bottom"/>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52,375</w:t>
            </w:r>
          </w:p>
        </w:tc>
        <w:tc>
          <w:tcPr>
            <w:tcW w:w="0" w:type="dxa"/>
            <w:vAlign w:val="bottom"/>
          </w:tcPr>
          <w:p>
            <w:pPr>
              <w:spacing w:after="0"/>
              <w:rPr>
                <w:sz w:val="1"/>
                <w:szCs w:val="1"/>
                <w:color w:val="auto"/>
              </w:rPr>
            </w:pPr>
          </w:p>
        </w:tc>
      </w:tr>
      <w:tr>
        <w:trPr>
          <w:trHeight w:val="223"/>
        </w:trPr>
        <w:tc>
          <w:tcPr>
            <w:tcW w:w="5300" w:type="dxa"/>
            <w:vAlign w:val="bottom"/>
          </w:tcPr>
          <w:p>
            <w:pPr>
              <w:ind w:left="220"/>
              <w:spacing w:after="0"/>
              <w:rPr>
                <w:sz w:val="20"/>
                <w:szCs w:val="20"/>
                <w:color w:val="auto"/>
              </w:rPr>
            </w:pPr>
            <w:r>
              <w:rPr>
                <w:rFonts w:ascii="Arial" w:cs="Arial" w:eastAsia="Arial" w:hAnsi="Arial"/>
                <w:sz w:val="18"/>
                <w:szCs w:val="18"/>
                <w:color w:val="auto"/>
              </w:rPr>
              <w:t>Total</w:t>
            </w:r>
          </w:p>
        </w:tc>
        <w:tc>
          <w:tcPr>
            <w:tcW w:w="200" w:type="dxa"/>
            <w:vAlign w:val="bottom"/>
          </w:tcPr>
          <w:p>
            <w:pPr>
              <w:spacing w:after="0"/>
              <w:rPr>
                <w:sz w:val="19"/>
                <w:szCs w:val="19"/>
                <w:color w:val="auto"/>
              </w:rPr>
            </w:pPr>
          </w:p>
        </w:tc>
        <w:tc>
          <w:tcPr>
            <w:tcW w:w="17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8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w w:val="99"/>
              </w:rPr>
              <w:t>$</w:t>
            </w:r>
          </w:p>
        </w:tc>
        <w:tc>
          <w:tcPr>
            <w:tcW w:w="1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58,474</w:t>
            </w:r>
          </w:p>
        </w:tc>
        <w:tc>
          <w:tcPr>
            <w:tcW w:w="8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53,730</w:t>
            </w:r>
          </w:p>
        </w:tc>
        <w:tc>
          <w:tcPr>
            <w:tcW w:w="0" w:type="dxa"/>
            <w:vAlign w:val="bottom"/>
          </w:tcPr>
          <w:p>
            <w:pPr>
              <w:spacing w:after="0"/>
              <w:rPr>
                <w:sz w:val="1"/>
                <w:szCs w:val="1"/>
                <w:color w:val="auto"/>
              </w:rPr>
            </w:pPr>
          </w:p>
        </w:tc>
      </w:tr>
      <w:tr>
        <w:trPr>
          <w:trHeight w:val="20"/>
        </w:trPr>
        <w:tc>
          <w:tcPr>
            <w:tcW w:w="53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1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 goodwill or intangible asset impairments were recorded during the three and nine months ended September 30, 2022 and 2021.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9" w:name="page20"/>
    <w:bookmarkEnd w:id="19"/>
    <w:p>
      <w:pPr>
        <w:spacing w:after="0"/>
        <w:rPr>
          <w:sz w:val="20"/>
          <w:szCs w:val="20"/>
          <w:color w:val="auto"/>
        </w:rPr>
      </w:pPr>
      <w:r>
        <w:rPr>
          <w:rFonts w:ascii="Arial" w:cs="Arial" w:eastAsia="Arial" w:hAnsi="Arial"/>
          <w:sz w:val="18"/>
          <w:szCs w:val="18"/>
          <w:u w:val="single" w:color="auto"/>
          <w:color w:val="0000FF"/>
        </w:rPr>
        <w:t>Table of Contents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PENNANT GROUP,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CONDENSED CONSOLIDATED FINANCIAL STATEMENTS - (Continued)</w:t>
      </w:r>
    </w:p>
    <w:p>
      <w:pPr>
        <w:spacing w:after="0" w:line="200" w:lineRule="exact"/>
        <w:rPr>
          <w:sz w:val="20"/>
          <w:szCs w:val="20"/>
          <w:color w:val="auto"/>
        </w:rPr>
      </w:pPr>
    </w:p>
    <w:p>
      <w:pPr>
        <w:spacing w:after="0" w:line="3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OTHER ACCRUED LIABILITIES</w:t>
      </w:r>
    </w:p>
    <w:p>
      <w:pPr>
        <w:spacing w:after="0" w:line="5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760" w:type="dxa"/>
            <w:vAlign w:val="bottom"/>
          </w:tcPr>
          <w:p>
            <w:pPr>
              <w:ind w:left="660"/>
              <w:spacing w:after="0"/>
              <w:rPr>
                <w:sz w:val="20"/>
                <w:szCs w:val="20"/>
                <w:color w:val="auto"/>
              </w:rPr>
            </w:pPr>
            <w:r>
              <w:rPr>
                <w:rFonts w:ascii="Arial" w:cs="Arial" w:eastAsia="Arial" w:hAnsi="Arial"/>
                <w:sz w:val="18"/>
                <w:szCs w:val="18"/>
                <w:color w:val="auto"/>
              </w:rPr>
              <w:t>Other accrued liabilities consist of the following:</w:t>
            </w:r>
          </w:p>
        </w:tc>
        <w:tc>
          <w:tcPr>
            <w:tcW w:w="220" w:type="dxa"/>
            <w:vAlign w:val="bottom"/>
          </w:tcPr>
          <w:p>
            <w:pPr>
              <w:spacing w:after="0"/>
              <w:rPr>
                <w:sz w:val="20"/>
                <w:szCs w:val="20"/>
                <w:color w:val="auto"/>
              </w:rPr>
            </w:pPr>
          </w:p>
        </w:tc>
        <w:tc>
          <w:tcPr>
            <w:tcW w:w="19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940" w:type="dxa"/>
            <w:vAlign w:val="bottom"/>
          </w:tcPr>
          <w:p>
            <w:pPr>
              <w:spacing w:after="0"/>
              <w:rPr>
                <w:sz w:val="20"/>
                <w:szCs w:val="20"/>
                <w:color w:val="auto"/>
              </w:rPr>
            </w:pPr>
          </w:p>
        </w:tc>
      </w:tr>
      <w:tr>
        <w:trPr>
          <w:trHeight w:val="499"/>
        </w:trPr>
        <w:tc>
          <w:tcPr>
            <w:tcW w:w="67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80" w:type="dxa"/>
            <w:vAlign w:val="bottom"/>
            <w:gridSpan w:val="2"/>
          </w:tcPr>
          <w:p>
            <w:pPr>
              <w:ind w:left="120"/>
              <w:spacing w:after="0"/>
              <w:rPr>
                <w:sz w:val="20"/>
                <w:szCs w:val="20"/>
                <w:color w:val="auto"/>
              </w:rPr>
            </w:pPr>
            <w:r>
              <w:rPr>
                <w:rFonts w:ascii="Arial" w:cs="Arial" w:eastAsia="Arial" w:hAnsi="Arial"/>
                <w:sz w:val="18"/>
                <w:szCs w:val="18"/>
                <w:b w:val="1"/>
                <w:bCs w:val="1"/>
                <w:color w:val="auto"/>
              </w:rPr>
              <w:t>September 30, 2022</w:t>
            </w:r>
          </w:p>
        </w:tc>
        <w:tc>
          <w:tcPr>
            <w:tcW w:w="240" w:type="dxa"/>
            <w:vAlign w:val="bottom"/>
          </w:tcPr>
          <w:p>
            <w:pPr>
              <w:spacing w:after="0"/>
              <w:rPr>
                <w:sz w:val="24"/>
                <w:szCs w:val="24"/>
                <w:color w:val="auto"/>
              </w:rPr>
            </w:pPr>
          </w:p>
        </w:tc>
        <w:tc>
          <w:tcPr>
            <w:tcW w:w="1940" w:type="dxa"/>
            <w:vAlign w:val="bottom"/>
          </w:tcPr>
          <w:p>
            <w:pPr>
              <w:jc w:val="right"/>
              <w:ind w:right="270"/>
              <w:spacing w:after="0"/>
              <w:rPr>
                <w:sz w:val="20"/>
                <w:szCs w:val="20"/>
                <w:color w:val="auto"/>
              </w:rPr>
            </w:pPr>
            <w:r>
              <w:rPr>
                <w:rFonts w:ascii="Arial" w:cs="Arial" w:eastAsia="Arial" w:hAnsi="Arial"/>
                <w:sz w:val="18"/>
                <w:szCs w:val="18"/>
                <w:b w:val="1"/>
                <w:bCs w:val="1"/>
                <w:color w:val="auto"/>
                <w:w w:val="96"/>
              </w:rPr>
              <w:t>December 31, 2021</w:t>
            </w:r>
          </w:p>
        </w:tc>
      </w:tr>
      <w:tr>
        <w:trPr>
          <w:trHeight w:val="223"/>
        </w:trPr>
        <w:tc>
          <w:tcPr>
            <w:tcW w:w="6760" w:type="dxa"/>
            <w:vAlign w:val="bottom"/>
          </w:tcPr>
          <w:p>
            <w:pPr>
              <w:ind w:left="20"/>
              <w:spacing w:after="0"/>
              <w:rPr>
                <w:sz w:val="20"/>
                <w:szCs w:val="20"/>
                <w:color w:val="auto"/>
              </w:rPr>
            </w:pPr>
            <w:r>
              <w:rPr>
                <w:rFonts w:ascii="Arial" w:cs="Arial" w:eastAsia="Arial" w:hAnsi="Arial"/>
                <w:sz w:val="18"/>
                <w:szCs w:val="18"/>
                <w:color w:val="auto"/>
              </w:rPr>
              <w:t>Refunds payable</w:t>
            </w:r>
          </w:p>
        </w:tc>
        <w:tc>
          <w:tcPr>
            <w:tcW w:w="2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9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2,969</w:t>
            </w:r>
          </w:p>
        </w:tc>
        <w:tc>
          <w:tcPr>
            <w:tcW w:w="120" w:type="dxa"/>
            <w:vAlign w:val="bottom"/>
          </w:tcPr>
          <w:p>
            <w:pPr>
              <w:spacing w:after="0"/>
              <w:rPr>
                <w:sz w:val="19"/>
                <w:szCs w:val="19"/>
                <w:color w:val="auto"/>
              </w:rPr>
            </w:pPr>
          </w:p>
        </w:tc>
        <w:tc>
          <w:tcPr>
            <w:tcW w:w="24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19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3,095</w:t>
            </w:r>
          </w:p>
        </w:tc>
      </w:tr>
      <w:tr>
        <w:trPr>
          <w:trHeight w:val="229"/>
        </w:trPr>
        <w:tc>
          <w:tcPr>
            <w:tcW w:w="676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Deferred revenue</w:t>
            </w:r>
          </w:p>
        </w:tc>
        <w:tc>
          <w:tcPr>
            <w:tcW w:w="220" w:type="dxa"/>
            <w:vAlign w:val="bottom"/>
            <w:shd w:val="clear" w:color="auto" w:fill="CCEEFF"/>
          </w:tcPr>
          <w:p>
            <w:pPr>
              <w:spacing w:after="0"/>
              <w:rPr>
                <w:sz w:val="19"/>
                <w:szCs w:val="19"/>
                <w:color w:val="auto"/>
              </w:rPr>
            </w:pPr>
          </w:p>
        </w:tc>
        <w:tc>
          <w:tcPr>
            <w:tcW w:w="1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1,570</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1,456</w:t>
            </w:r>
          </w:p>
        </w:tc>
      </w:tr>
      <w:tr>
        <w:trPr>
          <w:trHeight w:val="229"/>
        </w:trPr>
        <w:tc>
          <w:tcPr>
            <w:tcW w:w="6760" w:type="dxa"/>
            <w:vAlign w:val="bottom"/>
          </w:tcPr>
          <w:p>
            <w:pPr>
              <w:ind w:left="20"/>
              <w:spacing w:after="0"/>
              <w:rPr>
                <w:sz w:val="20"/>
                <w:szCs w:val="20"/>
                <w:color w:val="auto"/>
              </w:rPr>
            </w:pPr>
            <w:r>
              <w:rPr>
                <w:rFonts w:ascii="Arial" w:cs="Arial" w:eastAsia="Arial" w:hAnsi="Arial"/>
                <w:sz w:val="18"/>
                <w:szCs w:val="18"/>
                <w:color w:val="auto"/>
              </w:rPr>
              <w:t>Contract liabilities (CARES Act advance payments)</w:t>
            </w:r>
          </w:p>
        </w:tc>
        <w:tc>
          <w:tcPr>
            <w:tcW w:w="220" w:type="dxa"/>
            <w:vAlign w:val="bottom"/>
          </w:tcPr>
          <w:p>
            <w:pPr>
              <w:spacing w:after="0"/>
              <w:rPr>
                <w:sz w:val="19"/>
                <w:szCs w:val="19"/>
                <w:color w:val="auto"/>
              </w:rPr>
            </w:pPr>
          </w:p>
        </w:tc>
        <w:tc>
          <w:tcPr>
            <w:tcW w:w="20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1940" w:type="dxa"/>
            <w:vAlign w:val="bottom"/>
          </w:tcPr>
          <w:p>
            <w:pPr>
              <w:jc w:val="right"/>
              <w:spacing w:after="0"/>
              <w:rPr>
                <w:sz w:val="20"/>
                <w:szCs w:val="20"/>
                <w:color w:val="auto"/>
              </w:rPr>
            </w:pPr>
            <w:r>
              <w:rPr>
                <w:rFonts w:ascii="Arial" w:cs="Arial" w:eastAsia="Arial" w:hAnsi="Arial"/>
                <w:sz w:val="18"/>
                <w:szCs w:val="18"/>
                <w:color w:val="auto"/>
              </w:rPr>
              <w:t>6,211</w:t>
            </w:r>
          </w:p>
        </w:tc>
      </w:tr>
      <w:tr>
        <w:trPr>
          <w:trHeight w:val="230"/>
        </w:trPr>
        <w:tc>
          <w:tcPr>
            <w:tcW w:w="676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Resident deposits</w:t>
            </w:r>
          </w:p>
        </w:tc>
        <w:tc>
          <w:tcPr>
            <w:tcW w:w="220" w:type="dxa"/>
            <w:vAlign w:val="bottom"/>
            <w:shd w:val="clear" w:color="auto" w:fill="CCEEFF"/>
          </w:tcPr>
          <w:p>
            <w:pPr>
              <w:spacing w:after="0"/>
              <w:rPr>
                <w:sz w:val="19"/>
                <w:szCs w:val="19"/>
                <w:color w:val="auto"/>
              </w:rPr>
            </w:pPr>
          </w:p>
        </w:tc>
        <w:tc>
          <w:tcPr>
            <w:tcW w:w="1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4,752</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5,111</w:t>
            </w:r>
          </w:p>
        </w:tc>
      </w:tr>
      <w:tr>
        <w:trPr>
          <w:trHeight w:val="229"/>
        </w:trPr>
        <w:tc>
          <w:tcPr>
            <w:tcW w:w="6760" w:type="dxa"/>
            <w:vAlign w:val="bottom"/>
          </w:tcPr>
          <w:p>
            <w:pPr>
              <w:ind w:left="20"/>
              <w:spacing w:after="0"/>
              <w:rPr>
                <w:sz w:val="20"/>
                <w:szCs w:val="20"/>
                <w:color w:val="auto"/>
              </w:rPr>
            </w:pPr>
            <w:r>
              <w:rPr>
                <w:rFonts w:ascii="Arial" w:cs="Arial" w:eastAsia="Arial" w:hAnsi="Arial"/>
                <w:sz w:val="18"/>
                <w:szCs w:val="18"/>
                <w:color w:val="auto"/>
              </w:rPr>
              <w:t>Property taxes</w:t>
            </w:r>
          </w:p>
        </w:tc>
        <w:tc>
          <w:tcPr>
            <w:tcW w:w="220" w:type="dxa"/>
            <w:vAlign w:val="bottom"/>
          </w:tcPr>
          <w:p>
            <w:pPr>
              <w:spacing w:after="0"/>
              <w:rPr>
                <w:sz w:val="19"/>
                <w:szCs w:val="19"/>
                <w:color w:val="auto"/>
              </w:rPr>
            </w:pPr>
          </w:p>
        </w:tc>
        <w:tc>
          <w:tcPr>
            <w:tcW w:w="1960" w:type="dxa"/>
            <w:vAlign w:val="bottom"/>
          </w:tcPr>
          <w:p>
            <w:pPr>
              <w:jc w:val="right"/>
              <w:spacing w:after="0"/>
              <w:rPr>
                <w:sz w:val="20"/>
                <w:szCs w:val="20"/>
                <w:color w:val="auto"/>
              </w:rPr>
            </w:pPr>
            <w:r>
              <w:rPr>
                <w:rFonts w:ascii="Arial" w:cs="Arial" w:eastAsia="Arial" w:hAnsi="Arial"/>
                <w:sz w:val="18"/>
                <w:szCs w:val="18"/>
                <w:color w:val="auto"/>
              </w:rPr>
              <w:t>1,034</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940" w:type="dxa"/>
            <w:vAlign w:val="bottom"/>
          </w:tcPr>
          <w:p>
            <w:pPr>
              <w:jc w:val="right"/>
              <w:spacing w:after="0"/>
              <w:rPr>
                <w:sz w:val="20"/>
                <w:szCs w:val="20"/>
                <w:color w:val="auto"/>
              </w:rPr>
            </w:pPr>
            <w:r>
              <w:rPr>
                <w:rFonts w:ascii="Arial" w:cs="Arial" w:eastAsia="Arial" w:hAnsi="Arial"/>
                <w:sz w:val="18"/>
                <w:szCs w:val="18"/>
                <w:color w:val="auto"/>
              </w:rPr>
              <w:t>1,102</w:t>
            </w:r>
          </w:p>
        </w:tc>
      </w:tr>
      <w:tr>
        <w:trPr>
          <w:trHeight w:val="230"/>
        </w:trPr>
        <w:tc>
          <w:tcPr>
            <w:tcW w:w="6760" w:type="dxa"/>
            <w:vAlign w:val="bottom"/>
            <w:shd w:val="clear" w:color="auto" w:fill="CCEEFF"/>
          </w:tcPr>
          <w:p>
            <w:pPr>
              <w:ind w:left="20"/>
              <w:spacing w:after="0"/>
              <w:rPr>
                <w:sz w:val="20"/>
                <w:szCs w:val="20"/>
                <w:color w:val="auto"/>
              </w:rPr>
            </w:pPr>
            <w:r>
              <w:rPr>
                <w:rFonts w:ascii="Arial" w:cs="Arial" w:eastAsia="Arial" w:hAnsi="Arial"/>
                <w:sz w:val="18"/>
                <w:szCs w:val="18"/>
                <w:color w:val="auto"/>
              </w:rPr>
              <w:t>Accrued self-insurance liabilities</w:t>
            </w:r>
          </w:p>
        </w:tc>
        <w:tc>
          <w:tcPr>
            <w:tcW w:w="220" w:type="dxa"/>
            <w:vAlign w:val="bottom"/>
            <w:shd w:val="clear" w:color="auto" w:fill="CCEEFF"/>
          </w:tcPr>
          <w:p>
            <w:pPr>
              <w:spacing w:after="0"/>
              <w:rPr>
                <w:sz w:val="19"/>
                <w:szCs w:val="19"/>
                <w:color w:val="auto"/>
              </w:rPr>
            </w:pPr>
          </w:p>
        </w:tc>
        <w:tc>
          <w:tcPr>
            <w:tcW w:w="1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3,538</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1,613</w:t>
            </w:r>
          </w:p>
        </w:tc>
      </w:tr>
      <w:tr>
        <w:trPr>
          <w:trHeight w:val="229"/>
        </w:trPr>
        <w:tc>
          <w:tcPr>
            <w:tcW w:w="6760" w:type="dxa"/>
            <w:vAlign w:val="bottom"/>
          </w:tcPr>
          <w:p>
            <w:pPr>
              <w:ind w:left="20"/>
              <w:spacing w:after="0"/>
              <w:rPr>
                <w:sz w:val="20"/>
                <w:szCs w:val="20"/>
                <w:color w:val="auto"/>
              </w:rPr>
            </w:pPr>
            <w:r>
              <w:rPr>
                <w:rFonts w:ascii="Arial" w:cs="Arial" w:eastAsia="Arial" w:hAnsi="Arial"/>
                <w:sz w:val="18"/>
                <w:szCs w:val="18"/>
                <w:color w:val="auto"/>
              </w:rPr>
              <w:t>Accrued fee for transfer of senior living community</w:t>
            </w:r>
          </w:p>
        </w:tc>
        <w:tc>
          <w:tcPr>
            <w:tcW w:w="220" w:type="dxa"/>
            <w:vAlign w:val="bottom"/>
          </w:tcPr>
          <w:p>
            <w:pPr>
              <w:spacing w:after="0"/>
              <w:rPr>
                <w:sz w:val="19"/>
                <w:szCs w:val="19"/>
                <w:color w:val="auto"/>
              </w:rPr>
            </w:pPr>
          </w:p>
        </w:tc>
        <w:tc>
          <w:tcPr>
            <w:tcW w:w="1960" w:type="dxa"/>
            <w:vAlign w:val="bottom"/>
          </w:tcPr>
          <w:p>
            <w:pPr>
              <w:jc w:val="right"/>
              <w:spacing w:after="0"/>
              <w:rPr>
                <w:sz w:val="20"/>
                <w:szCs w:val="20"/>
                <w:color w:val="auto"/>
              </w:rPr>
            </w:pPr>
            <w:r>
              <w:rPr>
                <w:rFonts w:ascii="Arial" w:cs="Arial" w:eastAsia="Arial" w:hAnsi="Arial"/>
                <w:sz w:val="18"/>
                <w:szCs w:val="18"/>
                <w:color w:val="auto"/>
              </w:rPr>
              <w:t>1,875</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94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676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w:t>
            </w:r>
          </w:p>
        </w:tc>
        <w:tc>
          <w:tcPr>
            <w:tcW w:w="220" w:type="dxa"/>
            <w:vAlign w:val="bottom"/>
            <w:tcBorders>
              <w:bottom w:val="single" w:sz="8" w:color="auto"/>
            </w:tcBorders>
            <w:shd w:val="clear" w:color="auto" w:fill="CCEEFF"/>
          </w:tcPr>
          <w:p>
            <w:pPr>
              <w:spacing w:after="0"/>
              <w:rPr>
                <w:sz w:val="19"/>
                <w:szCs w:val="19"/>
                <w:color w:val="auto"/>
              </w:rPr>
            </w:pPr>
          </w:p>
        </w:tc>
        <w:tc>
          <w:tcPr>
            <w:tcW w:w="1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3,561</w:t>
            </w:r>
          </w:p>
        </w:tc>
        <w:tc>
          <w:tcPr>
            <w:tcW w:w="12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2,896</w:t>
            </w:r>
          </w:p>
        </w:tc>
      </w:tr>
      <w:tr>
        <w:trPr>
          <w:trHeight w:val="223"/>
        </w:trPr>
        <w:tc>
          <w:tcPr>
            <w:tcW w:w="6760" w:type="dxa"/>
            <w:vAlign w:val="bottom"/>
          </w:tcPr>
          <w:p>
            <w:pPr>
              <w:ind w:left="220"/>
              <w:spacing w:after="0"/>
              <w:rPr>
                <w:sz w:val="20"/>
                <w:szCs w:val="20"/>
                <w:color w:val="auto"/>
              </w:rPr>
            </w:pPr>
            <w:r>
              <w:rPr>
                <w:rFonts w:ascii="Arial" w:cs="Arial" w:eastAsia="Arial" w:hAnsi="Arial"/>
                <w:sz w:val="18"/>
                <w:szCs w:val="18"/>
                <w:color w:val="auto"/>
              </w:rPr>
              <w:t>Other accrued liabilities</w:t>
            </w:r>
          </w:p>
        </w:tc>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19,299</w:t>
            </w:r>
          </w:p>
        </w:tc>
        <w:tc>
          <w:tcPr>
            <w:tcW w:w="120" w:type="dxa"/>
            <w:vAlign w:val="bottom"/>
          </w:tcPr>
          <w:p>
            <w:pPr>
              <w:spacing w:after="0"/>
              <w:rPr>
                <w:sz w:val="19"/>
                <w:szCs w:val="19"/>
                <w:color w:val="auto"/>
              </w:rPr>
            </w:pPr>
          </w:p>
        </w:tc>
        <w:tc>
          <w:tcPr>
            <w:tcW w:w="2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1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21,484</w:t>
            </w:r>
          </w:p>
        </w:tc>
      </w:tr>
      <w:tr>
        <w:trPr>
          <w:trHeight w:val="20"/>
        </w:trPr>
        <w:tc>
          <w:tcPr>
            <w:tcW w:w="67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940" w:type="dxa"/>
            <w:vAlign w:val="bottom"/>
            <w:tcBorders>
              <w:bottom w:val="single" w:sz="8" w:color="auto"/>
            </w:tcBorders>
          </w:tcPr>
          <w:p>
            <w:pPr>
              <w:spacing w:after="0" w:line="20" w:lineRule="exact"/>
              <w:rPr>
                <w:sz w:val="1"/>
                <w:szCs w:val="1"/>
                <w:color w:val="auto"/>
              </w:rPr>
            </w:pPr>
          </w:p>
        </w:tc>
      </w:tr>
    </w:tbl>
    <w:p>
      <w:pPr>
        <w:spacing w:after="0" w:line="323" w:lineRule="exact"/>
        <w:rPr>
          <w:sz w:val="20"/>
          <w:szCs w:val="20"/>
          <w:color w:val="auto"/>
        </w:rPr>
      </w:pPr>
    </w:p>
    <w:p>
      <w:pPr>
        <w:jc w:val="both"/>
        <w:ind w:firstLine="648"/>
        <w:spacing w:after="0" w:line="308" w:lineRule="auto"/>
        <w:rPr>
          <w:sz w:val="20"/>
          <w:szCs w:val="20"/>
          <w:color w:val="auto"/>
        </w:rPr>
      </w:pPr>
      <w:r>
        <w:rPr>
          <w:rFonts w:ascii="Arial" w:cs="Arial" w:eastAsia="Arial" w:hAnsi="Arial"/>
          <w:sz w:val="17"/>
          <w:szCs w:val="17"/>
          <w:color w:val="auto"/>
        </w:rPr>
        <w:t>Refunds payable includes payables related to overpayments, duplicate payments and credit balances from various payor sources. Deferred revenue occurs when the Company receives payments in advance of services provided. Resident deposits include refundable deposits to residents.</w:t>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640" w:type="dxa"/>
            <w:vAlign w:val="bottom"/>
          </w:tcPr>
          <w:p>
            <w:pPr>
              <w:spacing w:after="0"/>
              <w:rPr>
                <w:sz w:val="20"/>
                <w:szCs w:val="20"/>
                <w:color w:val="auto"/>
              </w:rPr>
            </w:pPr>
            <w:r>
              <w:rPr>
                <w:rFonts w:ascii="Arial" w:cs="Arial" w:eastAsia="Arial" w:hAnsi="Arial"/>
                <w:sz w:val="18"/>
                <w:szCs w:val="18"/>
                <w:b w:val="1"/>
                <w:bCs w:val="1"/>
                <w:color w:val="auto"/>
              </w:rPr>
              <w:t>11. DEBT</w:t>
            </w:r>
          </w:p>
        </w:tc>
        <w:tc>
          <w:tcPr>
            <w:tcW w:w="240" w:type="dxa"/>
            <w:vAlign w:val="bottom"/>
          </w:tcPr>
          <w:p>
            <w:pPr>
              <w:spacing w:after="0"/>
              <w:rPr>
                <w:sz w:val="20"/>
                <w:szCs w:val="20"/>
                <w:color w:val="auto"/>
              </w:rPr>
            </w:pPr>
          </w:p>
        </w:tc>
        <w:tc>
          <w:tcPr>
            <w:tcW w:w="2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000" w:type="dxa"/>
            <w:vAlign w:val="bottom"/>
          </w:tcPr>
          <w:p>
            <w:pPr>
              <w:spacing w:after="0"/>
              <w:rPr>
                <w:sz w:val="20"/>
                <w:szCs w:val="20"/>
                <w:color w:val="auto"/>
              </w:rPr>
            </w:pPr>
          </w:p>
        </w:tc>
      </w:tr>
      <w:tr>
        <w:trPr>
          <w:trHeight w:val="257"/>
        </w:trPr>
        <w:tc>
          <w:tcPr>
            <w:tcW w:w="6640" w:type="dxa"/>
            <w:vAlign w:val="bottom"/>
          </w:tcPr>
          <w:p>
            <w:pPr>
              <w:ind w:left="660"/>
              <w:spacing w:after="0"/>
              <w:rPr>
                <w:sz w:val="20"/>
                <w:szCs w:val="20"/>
                <w:color w:val="auto"/>
              </w:rPr>
            </w:pPr>
            <w:r>
              <w:rPr>
                <w:rFonts w:ascii="Arial" w:cs="Arial" w:eastAsia="Arial" w:hAnsi="Arial"/>
                <w:sz w:val="18"/>
                <w:szCs w:val="18"/>
                <w:color w:val="auto"/>
              </w:rPr>
              <w:t>Long-term debt, net consists of the following:</w:t>
            </w:r>
          </w:p>
        </w:tc>
        <w:tc>
          <w:tcPr>
            <w:tcW w:w="240" w:type="dxa"/>
            <w:vAlign w:val="bottom"/>
          </w:tcPr>
          <w:p>
            <w:pPr>
              <w:spacing w:after="0"/>
              <w:rPr>
                <w:sz w:val="22"/>
                <w:szCs w:val="22"/>
                <w:color w:val="auto"/>
              </w:rPr>
            </w:pPr>
          </w:p>
        </w:tc>
        <w:tc>
          <w:tcPr>
            <w:tcW w:w="20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2000" w:type="dxa"/>
            <w:vAlign w:val="bottom"/>
          </w:tcPr>
          <w:p>
            <w:pPr>
              <w:spacing w:after="0"/>
              <w:rPr>
                <w:sz w:val="22"/>
                <w:szCs w:val="22"/>
                <w:color w:val="auto"/>
              </w:rPr>
            </w:pPr>
          </w:p>
        </w:tc>
      </w:tr>
      <w:tr>
        <w:trPr>
          <w:trHeight w:val="256"/>
        </w:trPr>
        <w:tc>
          <w:tcPr>
            <w:tcW w:w="664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2120" w:type="dxa"/>
            <w:vAlign w:val="bottom"/>
            <w:gridSpan w:val="2"/>
          </w:tcPr>
          <w:p>
            <w:pPr>
              <w:ind w:left="140"/>
              <w:spacing w:after="0"/>
              <w:rPr>
                <w:sz w:val="20"/>
                <w:szCs w:val="20"/>
                <w:color w:val="auto"/>
              </w:rPr>
            </w:pPr>
            <w:r>
              <w:rPr>
                <w:rFonts w:ascii="Arial" w:cs="Arial" w:eastAsia="Arial" w:hAnsi="Arial"/>
                <w:sz w:val="18"/>
                <w:szCs w:val="18"/>
                <w:b w:val="1"/>
                <w:bCs w:val="1"/>
                <w:color w:val="auto"/>
              </w:rPr>
              <w:t>September 30, 2022</w:t>
            </w:r>
          </w:p>
        </w:tc>
        <w:tc>
          <w:tcPr>
            <w:tcW w:w="240" w:type="dxa"/>
            <w:vAlign w:val="bottom"/>
          </w:tcPr>
          <w:p>
            <w:pPr>
              <w:spacing w:after="0"/>
              <w:rPr>
                <w:sz w:val="22"/>
                <w:szCs w:val="22"/>
                <w:color w:val="auto"/>
              </w:rPr>
            </w:pPr>
          </w:p>
        </w:tc>
        <w:tc>
          <w:tcPr>
            <w:tcW w:w="2000" w:type="dxa"/>
            <w:vAlign w:val="bottom"/>
          </w:tcPr>
          <w:p>
            <w:pPr>
              <w:ind w:left="160"/>
              <w:spacing w:after="0"/>
              <w:rPr>
                <w:sz w:val="20"/>
                <w:szCs w:val="20"/>
                <w:color w:val="auto"/>
              </w:rPr>
            </w:pPr>
            <w:r>
              <w:rPr>
                <w:rFonts w:ascii="Arial" w:cs="Arial" w:eastAsia="Arial" w:hAnsi="Arial"/>
                <w:sz w:val="18"/>
                <w:szCs w:val="18"/>
                <w:b w:val="1"/>
                <w:bCs w:val="1"/>
                <w:color w:val="auto"/>
              </w:rPr>
              <w:t>December 31, 2021</w:t>
            </w:r>
          </w:p>
        </w:tc>
      </w:tr>
      <w:tr>
        <w:trPr>
          <w:trHeight w:val="223"/>
        </w:trPr>
        <w:tc>
          <w:tcPr>
            <w:tcW w:w="66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Revolving Credit Facility</w:t>
            </w:r>
          </w:p>
        </w:tc>
        <w:tc>
          <w:tcPr>
            <w:tcW w:w="24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2020" w:type="dxa"/>
            <w:vAlign w:val="bottom"/>
            <w:tcBorders>
              <w:top w:val="single" w:sz="8" w:color="auto"/>
            </w:tcBorders>
            <w:shd w:val="clear" w:color="auto" w:fill="CCEEFF"/>
          </w:tcPr>
          <w:p>
            <w:pPr>
              <w:ind w:left="1440"/>
              <w:spacing w:after="0"/>
              <w:rPr>
                <w:sz w:val="20"/>
                <w:szCs w:val="20"/>
                <w:color w:val="auto"/>
              </w:rPr>
            </w:pPr>
            <w:r>
              <w:rPr>
                <w:rFonts w:ascii="Arial" w:cs="Arial" w:eastAsia="Arial" w:hAnsi="Arial"/>
                <w:sz w:val="18"/>
                <w:szCs w:val="18"/>
                <w:color w:val="auto"/>
              </w:rPr>
              <w:t>57,500</w:t>
            </w:r>
          </w:p>
        </w:tc>
        <w:tc>
          <w:tcPr>
            <w:tcW w:w="1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2000" w:type="dxa"/>
            <w:vAlign w:val="bottom"/>
            <w:tcBorders>
              <w:top w:val="single" w:sz="8" w:color="auto"/>
            </w:tcBorders>
            <w:shd w:val="clear" w:color="auto" w:fill="CCEEFF"/>
          </w:tcPr>
          <w:p>
            <w:pPr>
              <w:ind w:left="1440"/>
              <w:spacing w:after="0"/>
              <w:rPr>
                <w:sz w:val="20"/>
                <w:szCs w:val="20"/>
                <w:color w:val="auto"/>
              </w:rPr>
            </w:pPr>
            <w:r>
              <w:rPr>
                <w:rFonts w:ascii="Arial" w:cs="Arial" w:eastAsia="Arial" w:hAnsi="Arial"/>
                <w:sz w:val="18"/>
                <w:szCs w:val="18"/>
                <w:color w:val="auto"/>
                <w:w w:val="98"/>
              </w:rPr>
              <w:t>53,500</w:t>
            </w:r>
          </w:p>
        </w:tc>
      </w:tr>
      <w:tr>
        <w:trPr>
          <w:trHeight w:val="229"/>
        </w:trPr>
        <w:tc>
          <w:tcPr>
            <w:tcW w:w="6640" w:type="dxa"/>
            <w:vAlign w:val="bottom"/>
            <w:tcBorders>
              <w:bottom w:val="single" w:sz="8" w:color="CCEEFF"/>
            </w:tcBorders>
          </w:tcPr>
          <w:p>
            <w:pPr>
              <w:ind w:left="140"/>
              <w:spacing w:after="0" w:line="230" w:lineRule="exact"/>
              <w:rPr>
                <w:sz w:val="20"/>
                <w:szCs w:val="20"/>
                <w:color w:val="auto"/>
              </w:rPr>
            </w:pPr>
            <w:r>
              <w:rPr>
                <w:rFonts w:ascii="Arial" w:cs="Arial" w:eastAsia="Arial" w:hAnsi="Arial"/>
                <w:sz w:val="18"/>
                <w:szCs w:val="18"/>
                <w:color w:val="auto"/>
              </w:rPr>
              <w:t>Less: unamortized debt issuance costs</w:t>
            </w:r>
            <w:r>
              <w:rPr>
                <w:rFonts w:ascii="Arial" w:cs="Arial" w:eastAsia="Arial" w:hAnsi="Arial"/>
                <w:sz w:val="23"/>
                <w:szCs w:val="23"/>
                <w:color w:val="auto"/>
                <w:vertAlign w:val="superscript"/>
              </w:rPr>
              <w:t>(a)</w:t>
            </w:r>
          </w:p>
        </w:tc>
        <w:tc>
          <w:tcPr>
            <w:tcW w:w="240" w:type="dxa"/>
            <w:vAlign w:val="bottom"/>
            <w:tcBorders>
              <w:bottom w:val="single" w:sz="8" w:color="auto"/>
            </w:tcBorders>
          </w:tcPr>
          <w:p>
            <w:pPr>
              <w:spacing w:after="0"/>
              <w:rPr>
                <w:sz w:val="19"/>
                <w:szCs w:val="19"/>
                <w:color w:val="auto"/>
              </w:rPr>
            </w:pPr>
          </w:p>
        </w:tc>
        <w:tc>
          <w:tcPr>
            <w:tcW w:w="2020" w:type="dxa"/>
            <w:vAlign w:val="bottom"/>
            <w:tcBorders>
              <w:bottom w:val="single" w:sz="8" w:color="auto"/>
            </w:tcBorders>
          </w:tcPr>
          <w:p>
            <w:pPr>
              <w:ind w:left="1460"/>
              <w:spacing w:after="0"/>
              <w:rPr>
                <w:sz w:val="20"/>
                <w:szCs w:val="20"/>
                <w:color w:val="auto"/>
              </w:rPr>
            </w:pPr>
            <w:r>
              <w:rPr>
                <w:rFonts w:ascii="Arial" w:cs="Arial" w:eastAsia="Arial" w:hAnsi="Arial"/>
                <w:sz w:val="18"/>
                <w:szCs w:val="18"/>
                <w:color w:val="auto"/>
                <w:w w:val="94"/>
              </w:rPr>
              <w:t>(1,738)</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2000" w:type="dxa"/>
            <w:vAlign w:val="bottom"/>
            <w:tcBorders>
              <w:bottom w:val="single" w:sz="8" w:color="auto"/>
            </w:tcBorders>
          </w:tcPr>
          <w:p>
            <w:pPr>
              <w:ind w:left="1440"/>
              <w:spacing w:after="0"/>
              <w:rPr>
                <w:sz w:val="20"/>
                <w:szCs w:val="20"/>
                <w:color w:val="auto"/>
              </w:rPr>
            </w:pPr>
            <w:r>
              <w:rPr>
                <w:rFonts w:ascii="Arial" w:cs="Arial" w:eastAsia="Arial" w:hAnsi="Arial"/>
                <w:sz w:val="18"/>
                <w:szCs w:val="18"/>
                <w:color w:val="auto"/>
                <w:w w:val="94"/>
              </w:rPr>
              <w:t>(2,128)</w:t>
            </w:r>
          </w:p>
        </w:tc>
      </w:tr>
      <w:tr>
        <w:trPr>
          <w:trHeight w:val="248"/>
        </w:trPr>
        <w:tc>
          <w:tcPr>
            <w:tcW w:w="66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Long-term debt, net</w:t>
            </w: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2020" w:type="dxa"/>
            <w:vAlign w:val="bottom"/>
            <w:tcBorders>
              <w:bottom w:val="single" w:sz="8" w:color="auto"/>
            </w:tcBorders>
            <w:shd w:val="clear" w:color="auto" w:fill="CCEEFF"/>
          </w:tcPr>
          <w:p>
            <w:pPr>
              <w:ind w:left="1440"/>
              <w:spacing w:after="0"/>
              <w:rPr>
                <w:sz w:val="20"/>
                <w:szCs w:val="20"/>
                <w:color w:val="auto"/>
              </w:rPr>
            </w:pPr>
            <w:r>
              <w:rPr>
                <w:rFonts w:ascii="Arial" w:cs="Arial" w:eastAsia="Arial" w:hAnsi="Arial"/>
                <w:sz w:val="18"/>
                <w:szCs w:val="18"/>
                <w:color w:val="auto"/>
              </w:rPr>
              <w:t>55,762</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2000" w:type="dxa"/>
            <w:vAlign w:val="bottom"/>
            <w:tcBorders>
              <w:bottom w:val="single" w:sz="8" w:color="auto"/>
            </w:tcBorders>
            <w:shd w:val="clear" w:color="auto" w:fill="CCEEFF"/>
          </w:tcPr>
          <w:p>
            <w:pPr>
              <w:ind w:left="1440"/>
              <w:spacing w:after="0"/>
              <w:rPr>
                <w:sz w:val="20"/>
                <w:szCs w:val="20"/>
                <w:color w:val="auto"/>
              </w:rPr>
            </w:pPr>
            <w:r>
              <w:rPr>
                <w:rFonts w:ascii="Arial" w:cs="Arial" w:eastAsia="Arial" w:hAnsi="Arial"/>
                <w:sz w:val="18"/>
                <w:szCs w:val="18"/>
                <w:color w:val="auto"/>
                <w:w w:val="98"/>
              </w:rPr>
              <w:t>51,372</w:t>
            </w:r>
          </w:p>
        </w:tc>
      </w:tr>
      <w:tr>
        <w:trPr>
          <w:trHeight w:val="20"/>
        </w:trPr>
        <w:tc>
          <w:tcPr>
            <w:tcW w:w="66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2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2000" w:type="dxa"/>
            <w:vAlign w:val="bottom"/>
            <w:tcBorders>
              <w:top w:val="single" w:sz="8" w:color="CCEEFF"/>
              <w:bottom w:val="single" w:sz="8" w:color="auto"/>
            </w:tcBorders>
          </w:tcPr>
          <w:p>
            <w:pPr>
              <w:spacing w:after="0" w:line="20" w:lineRule="exact"/>
              <w:rPr>
                <w:sz w:val="1"/>
                <w:szCs w:val="1"/>
                <w:color w:val="auto"/>
              </w:rPr>
            </w:pPr>
          </w:p>
        </w:tc>
      </w:tr>
    </w:tbl>
    <w:p>
      <w:pPr>
        <w:spacing w:after="0" w:line="130" w:lineRule="exact"/>
        <w:rPr>
          <w:sz w:val="20"/>
          <w:szCs w:val="20"/>
          <w:color w:val="auto"/>
        </w:rPr>
      </w:pPr>
    </w:p>
    <w:p>
      <w:pPr>
        <w:ind w:left="480" w:right="20" w:hanging="454"/>
        <w:spacing w:after="0" w:line="273" w:lineRule="auto"/>
        <w:tabs>
          <w:tab w:leader="none" w:pos="480" w:val="left"/>
        </w:tabs>
        <w:numPr>
          <w:ilvl w:val="0"/>
          <w:numId w:val="12"/>
        </w:numPr>
        <w:rPr>
          <w:rFonts w:ascii="Arial" w:cs="Arial" w:eastAsia="Arial" w:hAnsi="Arial"/>
          <w:sz w:val="14"/>
          <w:szCs w:val="14"/>
          <w:color w:val="auto"/>
        </w:rPr>
      </w:pPr>
      <w:r>
        <w:rPr>
          <w:rFonts w:ascii="Arial" w:cs="Arial" w:eastAsia="Arial" w:hAnsi="Arial"/>
          <w:sz w:val="14"/>
          <w:szCs w:val="14"/>
          <w:color w:val="auto"/>
        </w:rPr>
        <w:t>Amortization expense for debt issuance costs was $130 and $390 for three and nine months ended September 30, 2022 and $129 and $358 for the three and nine months ended September 30, 2021, respectively, and is recorded in interest expense, net on the Condensed Consolidated Statements of Income.</w:t>
      </w:r>
    </w:p>
    <w:p>
      <w:pPr>
        <w:spacing w:after="0" w:line="340" w:lineRule="exact"/>
        <w:rPr>
          <w:sz w:val="20"/>
          <w:szCs w:val="20"/>
          <w:color w:val="auto"/>
        </w:rPr>
      </w:pPr>
    </w:p>
    <w:p>
      <w:pPr>
        <w:jc w:val="both"/>
        <w:ind w:firstLine="648"/>
        <w:spacing w:after="0" w:line="288" w:lineRule="auto"/>
        <w:rPr>
          <w:sz w:val="20"/>
          <w:szCs w:val="20"/>
          <w:color w:val="auto"/>
        </w:rPr>
      </w:pPr>
      <w:r>
        <w:rPr>
          <w:rFonts w:ascii="Arial" w:cs="Arial" w:eastAsia="Arial" w:hAnsi="Arial"/>
          <w:sz w:val="16"/>
          <w:szCs w:val="16"/>
          <w:color w:val="auto"/>
        </w:rPr>
        <w:t>On February 23, 2021, Pennant entered into an amendment to its existing credit agreement (as amended, the “Credit Agreement”), which provides for an increased revolving credit facility with a syndicate of banks with a borrowing capacity of $150,000 (the “Revolving Credit Facility”). The interest rates applicable to loans under the Revolving Credit Facility are, at the Company’s election, either (i) Adjusted LIBOR (as defined in the Credit Agreement) plus a margin ranging from 2.3% to 3.3% per annum or (ii) Base Rate plus a margin ranging from 1.3% to 2.3% per annum, in each case, based on the ratio of Consolidated Total Net Debt to Consolidated EBITDA (each, as defined in the Credit Agreement). In addition, Pennant pays a commitment fee on the undrawn portion of the commitments under the Revolving Credit Facility which ranges from 0.35% to 0.50% per annum, depending on the Consolidated Total Net Debt to Consolidated EBITDA ratio of the Company and its subsidiaries. The Company is not required to repay any loans under the Credit Agreement prior to maturity in 2026, other than to the extent the outstanding borrowings exceed the aggregate commitments under the Credit Agreement. As of September 30, 2022, the Company’s weighted average interest rate on its outstanding debt was 5.27%. As of September 30, 2022, the Company had available borrowing on the Revolving Credit Facility of $88,314, which is net of outstanding letters of credit of $4,186.</w:t>
      </w:r>
    </w:p>
    <w:p>
      <w:pPr>
        <w:spacing w:after="0" w:line="19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fair value of the Revolving Credit Facility approximates carrying value, due to the short-term nature and variable interest rates. The fair value of this debt is categorized within Level 2 of the fair value hierarchy based on the observable market borrowing rates.</w:t>
      </w:r>
    </w:p>
    <w:p>
      <w:pPr>
        <w:spacing w:after="0" w:line="197"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The Credit Agreement is guaranteed, jointly and severally, by certain of the Company’s independent operating subsidiaries, and is secured by a pledge of stock of the Company's material independent operating subsidiaries as well as a first lien on substantially all of each material operating subsidiary's personal property. The Credit Agreement contains customary covenants that, among other things, restrict, subject to certain exceptions, the ability of the Company and its independent operating subsidiaries to grant liens on their assets, incur indebtedness, sell assets, make investments, engage in acquisitions,</w:t>
      </w: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0" w:name="page21"/>
    <w:bookmarkEnd w:id="20"/>
    <w:p>
      <w:pPr>
        <w:spacing w:after="0"/>
        <w:rPr>
          <w:sz w:val="20"/>
          <w:szCs w:val="20"/>
          <w:color w:val="auto"/>
        </w:rPr>
      </w:pPr>
      <w:r>
        <w:rPr>
          <w:rFonts w:ascii="Arial" w:cs="Arial" w:eastAsia="Arial" w:hAnsi="Arial"/>
          <w:sz w:val="18"/>
          <w:szCs w:val="18"/>
          <w:u w:val="single" w:color="auto"/>
          <w:color w:val="0000FF"/>
        </w:rPr>
        <w:t>Table of Contents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PENNANT GROUP,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CONDENSED CONSOLIDATED FINANCIAL STATEMENTS - (Continued)</w:t>
      </w:r>
    </w:p>
    <w:p>
      <w:pPr>
        <w:spacing w:after="0" w:line="200" w:lineRule="exact"/>
        <w:rPr>
          <w:sz w:val="20"/>
          <w:szCs w:val="20"/>
          <w:color w:val="auto"/>
        </w:rPr>
      </w:pPr>
    </w:p>
    <w:p>
      <w:pPr>
        <w:spacing w:after="0" w:line="32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mergers or consolidations, amend certain material agreements and pay certain dividends and other restricted payments. Financial covenants require compliance with certain levels of leverage ratios that impact the amount of interest. As of September 30, 2022, the Company was compliant with all such financial covenants.</w:t>
      </w:r>
    </w:p>
    <w:p>
      <w:pPr>
        <w:spacing w:after="0" w:line="2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OPTIONS AND AWARDS</w:t>
      </w:r>
    </w:p>
    <w:p>
      <w:pPr>
        <w:spacing w:after="0" w:line="54"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212529"/>
        </w:rPr>
        <w:t xml:space="preserve">Outstanding options and restricted stock awards of the Company were granted under the 2019 Omnibus Incentive Plan (the </w:t>
      </w:r>
      <w:r>
        <w:rPr>
          <w:rFonts w:ascii="Arial" w:cs="Arial" w:eastAsia="Arial" w:hAnsi="Arial"/>
          <w:sz w:val="18"/>
          <w:szCs w:val="18"/>
          <w:color w:val="000000"/>
        </w:rPr>
        <w:t>“</w:t>
      </w:r>
      <w:r>
        <w:rPr>
          <w:rFonts w:ascii="Arial" w:cs="Arial" w:eastAsia="Arial" w:hAnsi="Arial"/>
          <w:sz w:val="18"/>
          <w:szCs w:val="18"/>
          <w:color w:val="212529"/>
        </w:rPr>
        <w:t>OIP</w:t>
      </w:r>
      <w:r>
        <w:rPr>
          <w:rFonts w:ascii="Arial" w:cs="Arial" w:eastAsia="Arial" w:hAnsi="Arial"/>
          <w:sz w:val="18"/>
          <w:szCs w:val="18"/>
          <w:color w:val="000000"/>
        </w:rPr>
        <w:t>”</w:t>
      </w:r>
      <w:r>
        <w:rPr>
          <w:rFonts w:ascii="Arial" w:cs="Arial" w:eastAsia="Arial" w:hAnsi="Arial"/>
          <w:sz w:val="18"/>
          <w:szCs w:val="18"/>
          <w:color w:val="212529"/>
        </w:rPr>
        <w:t xml:space="preserve">) and Long-Term Incentive Plan (the </w:t>
      </w:r>
      <w:r>
        <w:rPr>
          <w:rFonts w:ascii="Arial" w:cs="Arial" w:eastAsia="Arial" w:hAnsi="Arial"/>
          <w:sz w:val="18"/>
          <w:szCs w:val="18"/>
          <w:color w:val="000000"/>
        </w:rPr>
        <w:t>“</w:t>
      </w:r>
      <w:r>
        <w:rPr>
          <w:rFonts w:ascii="Arial" w:cs="Arial" w:eastAsia="Arial" w:hAnsi="Arial"/>
          <w:sz w:val="18"/>
          <w:szCs w:val="18"/>
          <w:color w:val="212529"/>
        </w:rPr>
        <w:t>LTIP</w:t>
      </w:r>
      <w:r>
        <w:rPr>
          <w:rFonts w:ascii="Arial" w:cs="Arial" w:eastAsia="Arial" w:hAnsi="Arial"/>
          <w:sz w:val="18"/>
          <w:szCs w:val="18"/>
          <w:color w:val="000000"/>
        </w:rPr>
        <w:t>”), together referred to as the “Pennant Plans”</w:t>
      </w:r>
      <w:r>
        <w:rPr>
          <w:rFonts w:ascii="Arial" w:cs="Arial" w:eastAsia="Arial" w:hAnsi="Arial"/>
          <w:sz w:val="18"/>
          <w:szCs w:val="18"/>
          <w:color w:val="212529"/>
        </w:rPr>
        <w:t>).</w:t>
      </w:r>
    </w:p>
    <w:p>
      <w:pPr>
        <w:spacing w:after="0" w:line="197" w:lineRule="exact"/>
        <w:rPr>
          <w:sz w:val="20"/>
          <w:szCs w:val="20"/>
          <w:color w:val="auto"/>
        </w:rPr>
      </w:pPr>
    </w:p>
    <w:p>
      <w:pPr>
        <w:jc w:val="both"/>
        <w:ind w:firstLine="648"/>
        <w:spacing w:after="0" w:line="311" w:lineRule="auto"/>
        <w:rPr>
          <w:sz w:val="20"/>
          <w:szCs w:val="20"/>
          <w:color w:val="auto"/>
        </w:rPr>
      </w:pPr>
      <w:r>
        <w:rPr>
          <w:rFonts w:ascii="Arial" w:cs="Arial" w:eastAsia="Arial" w:hAnsi="Arial"/>
          <w:sz w:val="16"/>
          <w:szCs w:val="16"/>
          <w:color w:val="auto"/>
        </w:rPr>
        <w:t>Under the the Pennant Plans, stock-based payment awards, including employee stock options, restricted stock awards (“RSA”), and restricted stock units (“RSU” and together with RSA, “Restricted Stock”) are issued based on estimated fair value. The following disclosures represent share-based compensation expense relating to employees of the Company’s subsidiaries and non-employee directors who have awards under the Pennant Plans.</w:t>
      </w:r>
    </w:p>
    <w:p>
      <w:pPr>
        <w:spacing w:after="0" w:line="17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Total share-based compensation expense for all Plans for the three and nine months ended September 30, 2022 and 2021 was:</w:t>
      </w:r>
    </w:p>
    <w:p>
      <w:pPr>
        <w:spacing w:after="0" w:line="27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1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360" w:type="dxa"/>
            <w:vAlign w:val="bottom"/>
            <w:gridSpan w:val="5"/>
          </w:tcPr>
          <w:p>
            <w:pPr>
              <w:jc w:val="center"/>
              <w:ind w:right="360"/>
              <w:spacing w:after="0"/>
              <w:rPr>
                <w:sz w:val="20"/>
                <w:szCs w:val="20"/>
                <w:color w:val="auto"/>
              </w:rPr>
            </w:pPr>
            <w:r>
              <w:rPr>
                <w:rFonts w:ascii="Arial" w:cs="Arial" w:eastAsia="Arial" w:hAnsi="Arial"/>
                <w:sz w:val="18"/>
                <w:szCs w:val="18"/>
                <w:b w:val="1"/>
                <w:bCs w:val="1"/>
                <w:color w:val="auto"/>
                <w:w w:val="92"/>
              </w:rPr>
              <w:t>Three Months Ended</w:t>
            </w:r>
          </w:p>
        </w:tc>
        <w:tc>
          <w:tcPr>
            <w:tcW w:w="2480" w:type="dxa"/>
            <w:vAlign w:val="bottom"/>
            <w:gridSpan w:val="6"/>
          </w:tcPr>
          <w:p>
            <w:pPr>
              <w:ind w:left="40"/>
              <w:spacing w:after="0"/>
              <w:rPr>
                <w:sz w:val="20"/>
                <w:szCs w:val="20"/>
                <w:color w:val="auto"/>
              </w:rPr>
            </w:pPr>
            <w:r>
              <w:rPr>
                <w:rFonts w:ascii="Arial" w:cs="Arial" w:eastAsia="Arial" w:hAnsi="Arial"/>
                <w:sz w:val="18"/>
                <w:szCs w:val="18"/>
                <w:b w:val="1"/>
                <w:bCs w:val="1"/>
                <w:color w:val="auto"/>
                <w:w w:val="90"/>
              </w:rPr>
              <w:t>Nine Months Ended September</w:t>
            </w:r>
          </w:p>
        </w:tc>
      </w:tr>
      <w:tr>
        <w:trPr>
          <w:trHeight w:val="234"/>
        </w:trPr>
        <w:tc>
          <w:tcPr>
            <w:tcW w:w="61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360" w:type="dxa"/>
            <w:vAlign w:val="bottom"/>
            <w:gridSpan w:val="5"/>
          </w:tcPr>
          <w:p>
            <w:pPr>
              <w:jc w:val="center"/>
              <w:ind w:right="380"/>
              <w:spacing w:after="0"/>
              <w:rPr>
                <w:sz w:val="20"/>
                <w:szCs w:val="20"/>
                <w:color w:val="auto"/>
              </w:rPr>
            </w:pPr>
            <w:r>
              <w:rPr>
                <w:rFonts w:ascii="Arial" w:cs="Arial" w:eastAsia="Arial" w:hAnsi="Arial"/>
                <w:sz w:val="18"/>
                <w:szCs w:val="18"/>
                <w:b w:val="1"/>
                <w:bCs w:val="1"/>
                <w:color w:val="auto"/>
                <w:w w:val="89"/>
              </w:rPr>
              <w:t>September 30,</w:t>
            </w:r>
          </w:p>
        </w:tc>
        <w:tc>
          <w:tcPr>
            <w:tcW w:w="2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440" w:type="dxa"/>
            <w:vAlign w:val="bottom"/>
            <w:gridSpan w:val="3"/>
          </w:tcPr>
          <w:p>
            <w:pPr>
              <w:jc w:val="right"/>
              <w:ind w:right="110"/>
              <w:spacing w:after="0"/>
              <w:rPr>
                <w:sz w:val="20"/>
                <w:szCs w:val="20"/>
                <w:color w:val="auto"/>
              </w:rPr>
            </w:pPr>
            <w:r>
              <w:rPr>
                <w:rFonts w:ascii="Arial" w:cs="Arial" w:eastAsia="Arial" w:hAnsi="Arial"/>
                <w:sz w:val="18"/>
                <w:szCs w:val="18"/>
                <w:b w:val="1"/>
                <w:bCs w:val="1"/>
                <w:color w:val="auto"/>
                <w:w w:val="87"/>
              </w:rPr>
              <w:t>30,</w:t>
            </w:r>
          </w:p>
        </w:tc>
        <w:tc>
          <w:tcPr>
            <w:tcW w:w="920" w:type="dxa"/>
            <w:vAlign w:val="bottom"/>
          </w:tcPr>
          <w:p>
            <w:pPr>
              <w:spacing w:after="0"/>
              <w:rPr>
                <w:sz w:val="20"/>
                <w:szCs w:val="20"/>
                <w:color w:val="auto"/>
              </w:rPr>
            </w:pPr>
          </w:p>
        </w:tc>
      </w:tr>
      <w:tr>
        <w:trPr>
          <w:trHeight w:val="223"/>
        </w:trPr>
        <w:tc>
          <w:tcPr>
            <w:tcW w:w="6140" w:type="dxa"/>
            <w:vAlign w:val="bottom"/>
            <w:tcBorders>
              <w:bottom w:val="single" w:sz="8" w:color="CCEEFF"/>
            </w:tcBorders>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940" w:type="dxa"/>
            <w:vAlign w:val="bottom"/>
            <w:tcBorders>
              <w:top w:val="single" w:sz="8" w:color="auto"/>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2022</w:t>
            </w:r>
          </w:p>
        </w:tc>
        <w:tc>
          <w:tcPr>
            <w:tcW w:w="100" w:type="dxa"/>
            <w:vAlign w:val="bottom"/>
            <w:tcBorders>
              <w:top w:val="single" w:sz="8" w:color="auto"/>
              <w:bottom w:val="single" w:sz="8" w:color="CCEEFF"/>
            </w:tcBorders>
          </w:tcPr>
          <w:p>
            <w:pPr>
              <w:spacing w:after="0"/>
              <w:rPr>
                <w:sz w:val="19"/>
                <w:szCs w:val="19"/>
                <w:color w:val="auto"/>
              </w:rPr>
            </w:pPr>
          </w:p>
        </w:tc>
        <w:tc>
          <w:tcPr>
            <w:tcW w:w="280" w:type="dxa"/>
            <w:vAlign w:val="bottom"/>
            <w:tcBorders>
              <w:top w:val="single" w:sz="8" w:color="auto"/>
              <w:bottom w:val="single" w:sz="8" w:color="auto"/>
            </w:tcBorders>
          </w:tcPr>
          <w:p>
            <w:pPr>
              <w:spacing w:after="0"/>
              <w:rPr>
                <w:sz w:val="19"/>
                <w:szCs w:val="19"/>
                <w:color w:val="auto"/>
              </w:rPr>
            </w:pPr>
          </w:p>
        </w:tc>
        <w:tc>
          <w:tcPr>
            <w:tcW w:w="920" w:type="dxa"/>
            <w:vAlign w:val="bottom"/>
            <w:tcBorders>
              <w:top w:val="single" w:sz="8" w:color="auto"/>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2021</w:t>
            </w:r>
          </w:p>
        </w:tc>
        <w:tc>
          <w:tcPr>
            <w:tcW w:w="120" w:type="dxa"/>
            <w:vAlign w:val="bottom"/>
            <w:tcBorders>
              <w:bottom w:val="single" w:sz="8" w:color="CCEEFF"/>
            </w:tcBorders>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860" w:type="dxa"/>
            <w:vAlign w:val="bottom"/>
            <w:tcBorders>
              <w:top w:val="single" w:sz="8" w:color="auto"/>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2022</w:t>
            </w:r>
          </w:p>
        </w:tc>
        <w:tc>
          <w:tcPr>
            <w:tcW w:w="80" w:type="dxa"/>
            <w:vAlign w:val="bottom"/>
            <w:tcBorders>
              <w:top w:val="single" w:sz="8" w:color="auto"/>
              <w:bottom w:val="single" w:sz="8" w:color="auto"/>
            </w:tcBorders>
          </w:tcPr>
          <w:p>
            <w:pPr>
              <w:spacing w:after="0"/>
              <w:rPr>
                <w:sz w:val="19"/>
                <w:szCs w:val="19"/>
                <w:color w:val="auto"/>
              </w:rPr>
            </w:pPr>
          </w:p>
        </w:tc>
        <w:tc>
          <w:tcPr>
            <w:tcW w:w="100" w:type="dxa"/>
            <w:vAlign w:val="bottom"/>
            <w:tcBorders>
              <w:top w:val="single" w:sz="8" w:color="auto"/>
              <w:bottom w:val="single" w:sz="8" w:color="CCEEFF"/>
            </w:tcBorders>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92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2021</w:t>
            </w:r>
          </w:p>
        </w:tc>
      </w:tr>
      <w:tr>
        <w:trPr>
          <w:trHeight w:val="223"/>
        </w:trPr>
        <w:tc>
          <w:tcPr>
            <w:tcW w:w="6140" w:type="dxa"/>
            <w:vAlign w:val="bottom"/>
            <w:shd w:val="clear" w:color="auto" w:fill="CCEEFF"/>
          </w:tcPr>
          <w:p>
            <w:pPr>
              <w:ind w:left="20"/>
              <w:spacing w:after="0"/>
              <w:rPr>
                <w:sz w:val="20"/>
                <w:szCs w:val="20"/>
                <w:color w:val="auto"/>
              </w:rPr>
            </w:pPr>
            <w:r>
              <w:rPr>
                <w:rFonts w:ascii="Arial" w:cs="Arial" w:eastAsia="Arial" w:hAnsi="Arial"/>
                <w:sz w:val="18"/>
                <w:szCs w:val="18"/>
                <w:color w:val="auto"/>
              </w:rPr>
              <w:t>Share-based compensation expense related to stock options</w:t>
            </w: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859</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834</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2,480</w:t>
            </w: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2,216</w:t>
            </w:r>
          </w:p>
        </w:tc>
      </w:tr>
      <w:tr>
        <w:trPr>
          <w:trHeight w:val="230"/>
        </w:trPr>
        <w:tc>
          <w:tcPr>
            <w:tcW w:w="6140" w:type="dxa"/>
            <w:vAlign w:val="bottom"/>
          </w:tcPr>
          <w:p>
            <w:pPr>
              <w:ind w:left="20"/>
              <w:spacing w:after="0"/>
              <w:rPr>
                <w:sz w:val="20"/>
                <w:szCs w:val="20"/>
                <w:color w:val="auto"/>
              </w:rPr>
            </w:pPr>
            <w:r>
              <w:rPr>
                <w:rFonts w:ascii="Arial" w:cs="Arial" w:eastAsia="Arial" w:hAnsi="Arial"/>
                <w:sz w:val="18"/>
                <w:szCs w:val="18"/>
                <w:color w:val="auto"/>
              </w:rPr>
              <w:t>Share-based compensation expense related to Restricted Stock</w:t>
            </w: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(3,664)</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1,547</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(643)</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4,597</w:t>
            </w:r>
          </w:p>
        </w:tc>
      </w:tr>
      <w:tr>
        <w:trPr>
          <w:trHeight w:val="188"/>
        </w:trPr>
        <w:tc>
          <w:tcPr>
            <w:tcW w:w="6140" w:type="dxa"/>
            <w:vAlign w:val="bottom"/>
            <w:shd w:val="clear" w:color="auto" w:fill="CCEEFF"/>
          </w:tcPr>
          <w:p>
            <w:pPr>
              <w:ind w:left="20"/>
              <w:spacing w:after="0" w:line="189" w:lineRule="exact"/>
              <w:rPr>
                <w:sz w:val="20"/>
                <w:szCs w:val="20"/>
                <w:color w:val="auto"/>
              </w:rPr>
            </w:pPr>
            <w:r>
              <w:rPr>
                <w:rFonts w:ascii="Arial" w:cs="Arial" w:eastAsia="Arial" w:hAnsi="Arial"/>
                <w:sz w:val="18"/>
                <w:szCs w:val="18"/>
                <w:color w:val="auto"/>
                <w:w w:val="94"/>
              </w:rPr>
              <w:t>Share-based compensation expense related to Restricted Stock to non-employee</w:t>
            </w:r>
          </w:p>
        </w:tc>
        <w:tc>
          <w:tcPr>
            <w:tcW w:w="26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r>
      <w:tr>
        <w:trPr>
          <w:trHeight w:val="230"/>
        </w:trPr>
        <w:tc>
          <w:tcPr>
            <w:tcW w:w="6140" w:type="dxa"/>
            <w:vAlign w:val="bottom"/>
            <w:shd w:val="clear" w:color="auto" w:fill="CCEEFF"/>
          </w:tcPr>
          <w:p>
            <w:pPr>
              <w:ind w:left="20"/>
              <w:spacing w:after="0"/>
              <w:rPr>
                <w:sz w:val="20"/>
                <w:szCs w:val="20"/>
                <w:color w:val="auto"/>
              </w:rPr>
            </w:pPr>
            <w:r>
              <w:rPr>
                <w:rFonts w:ascii="Arial" w:cs="Arial" w:eastAsia="Arial" w:hAnsi="Arial"/>
                <w:sz w:val="18"/>
                <w:szCs w:val="18"/>
                <w:color w:val="auto"/>
              </w:rPr>
              <w:t>directors</w:t>
            </w:r>
          </w:p>
        </w:tc>
        <w:tc>
          <w:tcPr>
            <w:tcW w:w="260" w:type="dxa"/>
            <w:vAlign w:val="bottom"/>
            <w:tcBorders>
              <w:bottom w:val="single" w:sz="8" w:color="auto"/>
            </w:tcBorders>
            <w:shd w:val="clear" w:color="auto" w:fill="CCEEFF"/>
          </w:tcPr>
          <w:p>
            <w:pPr>
              <w:spacing w:after="0"/>
              <w:rPr>
                <w:sz w:val="20"/>
                <w:szCs w:val="20"/>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w:t>
            </w:r>
          </w:p>
        </w:tc>
        <w:tc>
          <w:tcPr>
            <w:tcW w:w="100" w:type="dxa"/>
            <w:vAlign w:val="bottom"/>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spacing w:after="0"/>
              <w:rPr>
                <w:sz w:val="20"/>
                <w:szCs w:val="20"/>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187</w:t>
            </w:r>
          </w:p>
        </w:tc>
        <w:tc>
          <w:tcPr>
            <w:tcW w:w="120" w:type="dxa"/>
            <w:vAlign w:val="bottom"/>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spacing w:after="0"/>
              <w:rPr>
                <w:sz w:val="20"/>
                <w:szCs w:val="20"/>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236</w:t>
            </w:r>
          </w:p>
        </w:tc>
        <w:tc>
          <w:tcPr>
            <w:tcW w:w="80" w:type="dxa"/>
            <w:vAlign w:val="bottom"/>
            <w:tcBorders>
              <w:bottom w:val="single" w:sz="8" w:color="auto"/>
            </w:tcBorders>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spacing w:after="0"/>
              <w:rPr>
                <w:sz w:val="20"/>
                <w:szCs w:val="20"/>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670</w:t>
            </w:r>
          </w:p>
        </w:tc>
      </w:tr>
      <w:tr>
        <w:trPr>
          <w:trHeight w:val="223"/>
        </w:trPr>
        <w:tc>
          <w:tcPr>
            <w:tcW w:w="6140" w:type="dxa"/>
            <w:vAlign w:val="bottom"/>
          </w:tcPr>
          <w:p>
            <w:pPr>
              <w:ind w:left="240"/>
              <w:spacing w:after="0"/>
              <w:rPr>
                <w:sz w:val="20"/>
                <w:szCs w:val="20"/>
                <w:color w:val="auto"/>
              </w:rPr>
            </w:pPr>
            <w:r>
              <w:rPr>
                <w:rFonts w:ascii="Arial" w:cs="Arial" w:eastAsia="Arial" w:hAnsi="Arial"/>
                <w:sz w:val="18"/>
                <w:szCs w:val="18"/>
                <w:color w:val="auto"/>
              </w:rPr>
              <w:t>Total share-based compensation</w:t>
            </w:r>
          </w:p>
        </w:tc>
        <w:tc>
          <w:tcPr>
            <w:tcW w:w="2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(2,747)</w:t>
            </w:r>
          </w:p>
        </w:tc>
        <w:tc>
          <w:tcPr>
            <w:tcW w:w="100" w:type="dxa"/>
            <w:vAlign w:val="bottom"/>
          </w:tcPr>
          <w:p>
            <w:pPr>
              <w:spacing w:after="0"/>
              <w:rPr>
                <w:sz w:val="19"/>
                <w:szCs w:val="19"/>
                <w:color w:val="auto"/>
              </w:rPr>
            </w:pP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2,568</w:t>
            </w:r>
          </w:p>
        </w:tc>
        <w:tc>
          <w:tcPr>
            <w:tcW w:w="120" w:type="dxa"/>
            <w:vAlign w:val="bottom"/>
          </w:tcPr>
          <w:p>
            <w:pPr>
              <w:spacing w:after="0"/>
              <w:rPr>
                <w:sz w:val="19"/>
                <w:szCs w:val="19"/>
                <w:color w:val="auto"/>
              </w:rPr>
            </w:pPr>
          </w:p>
        </w:tc>
        <w:tc>
          <w:tcPr>
            <w:tcW w:w="26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2,073</w:t>
            </w:r>
          </w:p>
        </w:tc>
        <w:tc>
          <w:tcPr>
            <w:tcW w:w="8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7,483</w:t>
            </w:r>
          </w:p>
        </w:tc>
      </w:tr>
      <w:tr>
        <w:trPr>
          <w:trHeight w:val="21"/>
        </w:trPr>
        <w:tc>
          <w:tcPr>
            <w:tcW w:w="61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bl>
    <w:p>
      <w:pPr>
        <w:spacing w:after="0" w:line="323"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In future periods, the Company estimates it will recognize the following share-based compensation expense for unvested stock options and unvested Restricted Stock as of September 30, 2022:</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6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80" w:type="dxa"/>
            <w:vAlign w:val="bottom"/>
            <w:vMerge w:val="restart"/>
          </w:tcPr>
          <w:p>
            <w:pPr>
              <w:jc w:val="right"/>
              <w:ind w:right="510"/>
              <w:spacing w:after="0"/>
              <w:rPr>
                <w:sz w:val="20"/>
                <w:szCs w:val="20"/>
                <w:color w:val="auto"/>
              </w:rPr>
            </w:pPr>
            <w:r>
              <w:rPr>
                <w:rFonts w:ascii="Arial" w:cs="Arial" w:eastAsia="Arial" w:hAnsi="Arial"/>
                <w:sz w:val="18"/>
                <w:szCs w:val="18"/>
                <w:b w:val="1"/>
                <w:bCs w:val="1"/>
                <w:color w:val="auto"/>
              </w:rPr>
              <w:t>Unrecognized</w:t>
            </w:r>
          </w:p>
        </w:tc>
        <w:tc>
          <w:tcPr>
            <w:tcW w:w="100" w:type="dxa"/>
            <w:vAlign w:val="bottom"/>
          </w:tcPr>
          <w:p>
            <w:pPr>
              <w:spacing w:after="0"/>
              <w:rPr>
                <w:sz w:val="18"/>
                <w:szCs w:val="18"/>
                <w:color w:val="auto"/>
              </w:rPr>
            </w:pPr>
          </w:p>
        </w:tc>
        <w:tc>
          <w:tcPr>
            <w:tcW w:w="2240" w:type="dxa"/>
            <w:vAlign w:val="bottom"/>
          </w:tcPr>
          <w:p>
            <w:pPr>
              <w:jc w:val="center"/>
              <w:spacing w:after="0"/>
              <w:rPr>
                <w:sz w:val="20"/>
                <w:szCs w:val="20"/>
                <w:color w:val="auto"/>
              </w:rPr>
            </w:pPr>
            <w:r>
              <w:rPr>
                <w:rFonts w:ascii="Arial" w:cs="Arial" w:eastAsia="Arial" w:hAnsi="Arial"/>
                <w:sz w:val="18"/>
                <w:szCs w:val="18"/>
                <w:b w:val="1"/>
                <w:bCs w:val="1"/>
                <w:color w:val="auto"/>
                <w:w w:val="89"/>
              </w:rPr>
              <w:t>Weighted Average</w:t>
            </w:r>
          </w:p>
        </w:tc>
        <w:tc>
          <w:tcPr>
            <w:tcW w:w="0" w:type="dxa"/>
            <w:vAlign w:val="bottom"/>
          </w:tcPr>
          <w:p>
            <w:pPr>
              <w:spacing w:after="0"/>
              <w:rPr>
                <w:sz w:val="1"/>
                <w:szCs w:val="1"/>
                <w:color w:val="auto"/>
              </w:rPr>
            </w:pPr>
          </w:p>
        </w:tc>
      </w:tr>
      <w:tr>
        <w:trPr>
          <w:trHeight w:val="175"/>
        </w:trPr>
        <w:tc>
          <w:tcPr>
            <w:tcW w:w="66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08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2240" w:type="dxa"/>
            <w:vAlign w:val="bottom"/>
          </w:tcPr>
          <w:p>
            <w:pPr>
              <w:jc w:val="center"/>
              <w:spacing w:after="0" w:line="176" w:lineRule="exact"/>
              <w:rPr>
                <w:sz w:val="20"/>
                <w:szCs w:val="20"/>
                <w:color w:val="auto"/>
              </w:rPr>
            </w:pPr>
            <w:r>
              <w:rPr>
                <w:rFonts w:ascii="Arial" w:cs="Arial" w:eastAsia="Arial" w:hAnsi="Arial"/>
                <w:sz w:val="18"/>
                <w:szCs w:val="18"/>
                <w:b w:val="1"/>
                <w:bCs w:val="1"/>
                <w:color w:val="auto"/>
                <w:w w:val="89"/>
              </w:rPr>
              <w:t>Recognition Period (in</w:t>
            </w:r>
          </w:p>
        </w:tc>
        <w:tc>
          <w:tcPr>
            <w:tcW w:w="0" w:type="dxa"/>
            <w:vAlign w:val="bottom"/>
          </w:tcPr>
          <w:p>
            <w:pPr>
              <w:spacing w:after="0"/>
              <w:rPr>
                <w:sz w:val="1"/>
                <w:szCs w:val="1"/>
                <w:color w:val="auto"/>
              </w:rPr>
            </w:pPr>
          </w:p>
        </w:tc>
      </w:tr>
      <w:tr>
        <w:trPr>
          <w:trHeight w:val="243"/>
        </w:trPr>
        <w:tc>
          <w:tcPr>
            <w:tcW w:w="6640" w:type="dxa"/>
            <w:vAlign w:val="bottom"/>
            <w:tcBorders>
              <w:bottom w:val="single" w:sz="8" w:color="CCEEFF"/>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208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w w:val="89"/>
              </w:rPr>
              <w:t>Compensation Expense</w:t>
            </w:r>
          </w:p>
        </w:tc>
        <w:tc>
          <w:tcPr>
            <w:tcW w:w="100" w:type="dxa"/>
            <w:vAlign w:val="bottom"/>
            <w:tcBorders>
              <w:bottom w:val="single" w:sz="8" w:color="CCEEFF"/>
            </w:tcBorders>
          </w:tcPr>
          <w:p>
            <w:pPr>
              <w:spacing w:after="0"/>
              <w:rPr>
                <w:sz w:val="21"/>
                <w:szCs w:val="21"/>
                <w:color w:val="auto"/>
              </w:rPr>
            </w:pPr>
          </w:p>
        </w:tc>
        <w:tc>
          <w:tcPr>
            <w:tcW w:w="22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0"/>
              </w:rPr>
              <w:t>years)</w:t>
            </w:r>
          </w:p>
        </w:tc>
        <w:tc>
          <w:tcPr>
            <w:tcW w:w="0" w:type="dxa"/>
            <w:vAlign w:val="bottom"/>
          </w:tcPr>
          <w:p>
            <w:pPr>
              <w:spacing w:after="0"/>
              <w:rPr>
                <w:sz w:val="1"/>
                <w:szCs w:val="1"/>
                <w:color w:val="auto"/>
              </w:rPr>
            </w:pPr>
          </w:p>
        </w:tc>
      </w:tr>
      <w:tr>
        <w:trPr>
          <w:trHeight w:val="223"/>
        </w:trPr>
        <w:tc>
          <w:tcPr>
            <w:tcW w:w="6640" w:type="dxa"/>
            <w:vAlign w:val="bottom"/>
            <w:shd w:val="clear" w:color="auto" w:fill="CCEEFF"/>
          </w:tcPr>
          <w:p>
            <w:pPr>
              <w:ind w:left="20"/>
              <w:spacing w:after="0"/>
              <w:rPr>
                <w:sz w:val="20"/>
                <w:szCs w:val="20"/>
                <w:color w:val="auto"/>
              </w:rPr>
            </w:pPr>
            <w:r>
              <w:rPr>
                <w:rFonts w:ascii="Arial" w:cs="Arial" w:eastAsia="Arial" w:hAnsi="Arial"/>
                <w:sz w:val="18"/>
                <w:szCs w:val="18"/>
                <w:color w:val="auto"/>
              </w:rPr>
              <w:t>Unvested Stock Options</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2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11,041</w:t>
            </w:r>
          </w:p>
        </w:tc>
        <w:tc>
          <w:tcPr>
            <w:tcW w:w="100" w:type="dxa"/>
            <w:vAlign w:val="bottom"/>
            <w:shd w:val="clear" w:color="auto" w:fill="CCEEFF"/>
          </w:tcPr>
          <w:p>
            <w:pPr>
              <w:spacing w:after="0"/>
              <w:rPr>
                <w:sz w:val="19"/>
                <w:szCs w:val="19"/>
                <w:color w:val="auto"/>
              </w:rPr>
            </w:pPr>
          </w:p>
        </w:tc>
        <w:tc>
          <w:tcPr>
            <w:tcW w:w="2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r>
        <w:trPr>
          <w:trHeight w:val="230"/>
        </w:trPr>
        <w:tc>
          <w:tcPr>
            <w:tcW w:w="66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Unvested Restricted Stock</w:t>
            </w:r>
          </w:p>
        </w:tc>
        <w:tc>
          <w:tcPr>
            <w:tcW w:w="180" w:type="dxa"/>
            <w:vAlign w:val="bottom"/>
            <w:tcBorders>
              <w:bottom w:val="single" w:sz="8" w:color="auto"/>
            </w:tcBorders>
          </w:tcPr>
          <w:p>
            <w:pPr>
              <w:spacing w:after="0"/>
              <w:rPr>
                <w:sz w:val="19"/>
                <w:szCs w:val="19"/>
                <w:color w:val="auto"/>
              </w:rPr>
            </w:pPr>
          </w:p>
        </w:tc>
        <w:tc>
          <w:tcPr>
            <w:tcW w:w="2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3,577</w:t>
            </w:r>
          </w:p>
        </w:tc>
        <w:tc>
          <w:tcPr>
            <w:tcW w:w="2340" w:type="dxa"/>
            <w:vAlign w:val="bottom"/>
            <w:tcBorders>
              <w:bottom w:val="single" w:sz="8" w:color="CCEEFF"/>
            </w:tcBorders>
            <w:gridSpan w:val="2"/>
          </w:tcPr>
          <w:p>
            <w:pPr>
              <w:jc w:val="right"/>
              <w:spacing w:after="0"/>
              <w:rPr>
                <w:sz w:val="20"/>
                <w:szCs w:val="20"/>
                <w:color w:val="auto"/>
              </w:rPr>
            </w:pPr>
            <w:r>
              <w:rPr>
                <w:rFonts w:ascii="Arial" w:cs="Arial" w:eastAsia="Arial" w:hAnsi="Arial"/>
                <w:sz w:val="18"/>
                <w:szCs w:val="18"/>
                <w:color w:val="auto"/>
              </w:rPr>
              <w:t>4.7</w:t>
            </w:r>
          </w:p>
        </w:tc>
        <w:tc>
          <w:tcPr>
            <w:tcW w:w="0" w:type="dxa"/>
            <w:vAlign w:val="bottom"/>
          </w:tcPr>
          <w:p>
            <w:pPr>
              <w:spacing w:after="0"/>
              <w:rPr>
                <w:sz w:val="1"/>
                <w:szCs w:val="1"/>
                <w:color w:val="auto"/>
              </w:rPr>
            </w:pPr>
          </w:p>
        </w:tc>
      </w:tr>
      <w:tr>
        <w:trPr>
          <w:trHeight w:val="248"/>
        </w:trPr>
        <w:tc>
          <w:tcPr>
            <w:tcW w:w="664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8"/>
                <w:szCs w:val="18"/>
                <w:color w:val="auto"/>
              </w:rPr>
              <w:t>Total unrecognized share-based compensation expense</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2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14,618</w:t>
            </w:r>
          </w:p>
        </w:tc>
        <w:tc>
          <w:tcPr>
            <w:tcW w:w="100" w:type="dxa"/>
            <w:vAlign w:val="bottom"/>
            <w:tcBorders>
              <w:bottom w:val="single" w:sz="8" w:color="CCEEFF"/>
            </w:tcBorders>
            <w:shd w:val="clear" w:color="auto" w:fill="CCEEFF"/>
          </w:tcPr>
          <w:p>
            <w:pPr>
              <w:spacing w:after="0"/>
              <w:rPr>
                <w:sz w:val="21"/>
                <w:szCs w:val="21"/>
                <w:color w:val="auto"/>
              </w:rPr>
            </w:pPr>
          </w:p>
        </w:tc>
        <w:tc>
          <w:tcPr>
            <w:tcW w:w="22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66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2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0" w:lineRule="exact"/>
        <w:rPr>
          <w:sz w:val="20"/>
          <w:szCs w:val="20"/>
          <w:color w:val="auto"/>
        </w:rPr>
      </w:pPr>
    </w:p>
    <w:p>
      <w:pPr>
        <w:jc w:val="both"/>
        <w:ind w:firstLine="648"/>
        <w:spacing w:after="0" w:line="237" w:lineRule="auto"/>
        <w:rPr>
          <w:sz w:val="20"/>
          <w:szCs w:val="20"/>
          <w:color w:val="auto"/>
        </w:rPr>
      </w:pPr>
      <w:r>
        <w:rPr>
          <w:rFonts w:ascii="Arial" w:cs="Arial" w:eastAsia="Arial" w:hAnsi="Arial"/>
          <w:sz w:val="18"/>
          <w:szCs w:val="18"/>
          <w:color w:val="auto"/>
        </w:rPr>
        <w:t>On July 25, 2022 the Company modified certain outstanding RSUs granted in connection with the Spin-off. All the RSUs had an original vesting date of October 1, 2022. The modification resulted in the forfeiture of 250,000 outstanding RSUs and accelerated the vesting on the remaining 942,842 RSUs from October 1, 2022 to July 31, 2022. The modification of the award resulted in a net reduction of share-based compensation expense related to the awards of $3,812 in recorded general and administrative expense during the third quarter. Additionally, the Company granted 250,000 RSAs to certain executives and employees on July 25, 2022 under The Pennant Group, Inc. 2019 Omnibus Incentive Plan. The RSAs vest in five equal annual installments beginning on the first anniversary of the date of the grant.</w:t>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 Options</w:t>
      </w:r>
    </w:p>
    <w:p>
      <w:pPr>
        <w:spacing w:after="0" w:line="256"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Under the Pennant Plans, options granted to employees of the subsidiaries of Pennant generally vest over five years at 20% per year on the anniversary of the grant date. Options expire ten years after the date of grant.</w:t>
      </w:r>
    </w:p>
    <w:p>
      <w:pPr>
        <w:spacing w:after="0" w:line="197"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 Company uses the Black-Scholes option-pricing model to recognize the value of stock-based compensation expense for share-based payment awards under the Plans. Determining the appropriate fair-value model and calculating the fair value of stock-based awards at the grant date requires considerable judgment, including estimating stock price volatility and expected option life. The Company develops estimates based on historical data and market information, which can change significantly over time.</w:t>
      </w:r>
    </w:p>
    <w:p>
      <w:pPr>
        <w:sectPr>
          <w:pgSz w:w="11900" w:h="16838" w:orient="portrait"/>
          <w:cols w:equalWidth="0" w:num="1">
            <w:col w:w="11240"/>
          </w:cols>
          <w:pgMar w:left="320" w:top="125"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21" w:name="page22"/>
    <w:bookmarkEnd w:id="21"/>
    <w:p>
      <w:pPr>
        <w:spacing w:after="0"/>
        <w:rPr>
          <w:sz w:val="20"/>
          <w:szCs w:val="20"/>
          <w:color w:val="auto"/>
        </w:rPr>
      </w:pPr>
      <w:r>
        <w:rPr>
          <w:rFonts w:ascii="Arial" w:cs="Arial" w:eastAsia="Arial" w:hAnsi="Arial"/>
          <w:sz w:val="18"/>
          <w:szCs w:val="18"/>
          <w:u w:val="single" w:color="auto"/>
          <w:color w:val="0000FF"/>
        </w:rPr>
        <w:t>Table of Contents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PENNANT GROUP,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CONDENSED CONSOLIDATED FINANCIAL STATEMENTS - (Continued)</w:t>
      </w:r>
    </w:p>
    <w:p>
      <w:pPr>
        <w:spacing w:after="0" w:line="200" w:lineRule="exact"/>
        <w:rPr>
          <w:sz w:val="20"/>
          <w:szCs w:val="20"/>
          <w:color w:val="auto"/>
        </w:rPr>
      </w:pPr>
    </w:p>
    <w:p>
      <w:pPr>
        <w:spacing w:after="0" w:line="321" w:lineRule="exact"/>
        <w:rPr>
          <w:sz w:val="20"/>
          <w:szCs w:val="20"/>
          <w:color w:val="auto"/>
        </w:rPr>
      </w:pPr>
    </w:p>
    <w:p>
      <w:pPr>
        <w:ind w:right="20" w:firstLine="648"/>
        <w:spacing w:after="0" w:line="277" w:lineRule="auto"/>
        <w:rPr>
          <w:sz w:val="20"/>
          <w:szCs w:val="20"/>
          <w:color w:val="auto"/>
        </w:rPr>
      </w:pPr>
      <w:r>
        <w:rPr>
          <w:rFonts w:ascii="Arial" w:cs="Arial" w:eastAsia="Arial" w:hAnsi="Arial"/>
          <w:sz w:val="18"/>
          <w:szCs w:val="18"/>
          <w:color w:val="auto"/>
        </w:rPr>
        <w:t>The fair value of each option is estimated on the grant date using a Black-Scholes option-pricing model with the following weighted average assumptions for stock options granted as of June 30:</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5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tcPr>
          <w:p>
            <w:pPr>
              <w:jc w:val="center"/>
              <w:ind w:right="30"/>
              <w:spacing w:after="0"/>
              <w:rPr>
                <w:sz w:val="20"/>
                <w:szCs w:val="20"/>
                <w:color w:val="auto"/>
              </w:rPr>
            </w:pPr>
            <w:r>
              <w:rPr>
                <w:rFonts w:ascii="Arial" w:cs="Arial" w:eastAsia="Arial" w:hAnsi="Arial"/>
                <w:sz w:val="18"/>
                <w:szCs w:val="18"/>
                <w:b w:val="1"/>
                <w:bCs w:val="1"/>
                <w:color w:val="auto"/>
                <w:w w:val="91"/>
              </w:rPr>
              <w:t>Weighted</w:t>
            </w:r>
          </w:p>
        </w:tc>
        <w:tc>
          <w:tcPr>
            <w:tcW w:w="0" w:type="dxa"/>
            <w:vAlign w:val="bottom"/>
          </w:tcPr>
          <w:p>
            <w:pPr>
              <w:spacing w:after="0"/>
              <w:rPr>
                <w:sz w:val="1"/>
                <w:szCs w:val="1"/>
                <w:color w:val="auto"/>
              </w:rPr>
            </w:pPr>
          </w:p>
        </w:tc>
      </w:tr>
      <w:tr>
        <w:trPr>
          <w:trHeight w:val="184"/>
        </w:trPr>
        <w:tc>
          <w:tcPr>
            <w:tcW w:w="25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60" w:type="dxa"/>
            <w:vAlign w:val="bottom"/>
            <w:gridSpan w:val="2"/>
            <w:vMerge w:val="restart"/>
          </w:tcPr>
          <w:p>
            <w:pPr>
              <w:ind w:left="320"/>
              <w:spacing w:after="0"/>
              <w:rPr>
                <w:sz w:val="20"/>
                <w:szCs w:val="20"/>
                <w:color w:val="auto"/>
              </w:rPr>
            </w:pPr>
            <w:r>
              <w:rPr>
                <w:rFonts w:ascii="Arial" w:cs="Arial" w:eastAsia="Arial" w:hAnsi="Arial"/>
                <w:sz w:val="18"/>
                <w:szCs w:val="18"/>
                <w:b w:val="1"/>
                <w:bCs w:val="1"/>
                <w:color w:val="auto"/>
              </w:rPr>
              <w:t>Options</w:t>
            </w:r>
          </w:p>
        </w:tc>
        <w:tc>
          <w:tcPr>
            <w:tcW w:w="1500" w:type="dxa"/>
            <w:vAlign w:val="bottom"/>
            <w:gridSpan w:val="2"/>
            <w:vMerge w:val="restart"/>
          </w:tcPr>
          <w:p>
            <w:pPr>
              <w:jc w:val="center"/>
              <w:ind w:right="100"/>
              <w:spacing w:after="0"/>
              <w:rPr>
                <w:sz w:val="20"/>
                <w:szCs w:val="20"/>
                <w:color w:val="auto"/>
              </w:rPr>
            </w:pPr>
            <w:r>
              <w:rPr>
                <w:rFonts w:ascii="Arial" w:cs="Arial" w:eastAsia="Arial" w:hAnsi="Arial"/>
                <w:sz w:val="18"/>
                <w:szCs w:val="18"/>
                <w:b w:val="1"/>
                <w:bCs w:val="1"/>
                <w:color w:val="auto"/>
                <w:w w:val="92"/>
              </w:rPr>
              <w:t>Risk-Free</w:t>
            </w:r>
          </w:p>
        </w:tc>
        <w:tc>
          <w:tcPr>
            <w:tcW w:w="1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40" w:type="dxa"/>
            <w:vAlign w:val="bottom"/>
            <w:gridSpan w:val="2"/>
            <w:vMerge w:val="restart"/>
          </w:tcPr>
          <w:p>
            <w:pPr>
              <w:jc w:val="center"/>
              <w:ind w:right="100"/>
              <w:spacing w:after="0"/>
              <w:rPr>
                <w:sz w:val="20"/>
                <w:szCs w:val="20"/>
                <w:color w:val="auto"/>
              </w:rPr>
            </w:pPr>
            <w:r>
              <w:rPr>
                <w:rFonts w:ascii="Arial" w:cs="Arial" w:eastAsia="Arial" w:hAnsi="Arial"/>
                <w:sz w:val="18"/>
                <w:szCs w:val="18"/>
                <w:b w:val="1"/>
                <w:bCs w:val="1"/>
                <w:color w:val="auto"/>
                <w:w w:val="89"/>
              </w:rPr>
              <w:t>Expected</w:t>
            </w:r>
          </w:p>
        </w:tc>
        <w:tc>
          <w:tcPr>
            <w:tcW w:w="14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40" w:type="dxa"/>
            <w:vAlign w:val="bottom"/>
          </w:tcPr>
          <w:p>
            <w:pPr>
              <w:jc w:val="center"/>
              <w:ind w:right="50"/>
              <w:spacing w:after="0" w:line="184" w:lineRule="exact"/>
              <w:rPr>
                <w:sz w:val="20"/>
                <w:szCs w:val="20"/>
                <w:color w:val="auto"/>
              </w:rPr>
            </w:pPr>
            <w:r>
              <w:rPr>
                <w:rFonts w:ascii="Arial" w:cs="Arial" w:eastAsia="Arial" w:hAnsi="Arial"/>
                <w:sz w:val="18"/>
                <w:szCs w:val="18"/>
                <w:b w:val="1"/>
                <w:bCs w:val="1"/>
                <w:color w:val="auto"/>
                <w:w w:val="91"/>
              </w:rPr>
              <w:t>Average Fair</w:t>
            </w:r>
          </w:p>
        </w:tc>
        <w:tc>
          <w:tcPr>
            <w:tcW w:w="0" w:type="dxa"/>
            <w:vAlign w:val="bottom"/>
          </w:tcPr>
          <w:p>
            <w:pPr>
              <w:spacing w:after="0"/>
              <w:rPr>
                <w:sz w:val="1"/>
                <w:szCs w:val="1"/>
                <w:color w:val="auto"/>
              </w:rPr>
            </w:pPr>
          </w:p>
        </w:tc>
      </w:tr>
      <w:tr>
        <w:trPr>
          <w:trHeight w:val="180"/>
        </w:trPr>
        <w:tc>
          <w:tcPr>
            <w:tcW w:w="2660" w:type="dxa"/>
            <w:vAlign w:val="bottom"/>
            <w:gridSpan w:val="2"/>
            <w:vMerge w:val="restart"/>
          </w:tcPr>
          <w:p>
            <w:pPr>
              <w:ind w:left="20"/>
              <w:spacing w:after="0"/>
              <w:rPr>
                <w:sz w:val="20"/>
                <w:szCs w:val="20"/>
                <w:color w:val="auto"/>
              </w:rPr>
            </w:pPr>
            <w:r>
              <w:rPr>
                <w:rFonts w:ascii="Arial" w:cs="Arial" w:eastAsia="Arial" w:hAnsi="Arial"/>
                <w:sz w:val="18"/>
                <w:szCs w:val="18"/>
                <w:b w:val="1"/>
                <w:bCs w:val="1"/>
                <w:color w:val="auto"/>
              </w:rPr>
              <w:t>Grant Year</w:t>
            </w:r>
          </w:p>
        </w:tc>
        <w:tc>
          <w:tcPr>
            <w:tcW w:w="1360" w:type="dxa"/>
            <w:vAlign w:val="bottom"/>
            <w:gridSpan w:val="2"/>
            <w:vMerge w:val="continue"/>
          </w:tcPr>
          <w:p>
            <w:pPr>
              <w:spacing w:after="0"/>
              <w:rPr>
                <w:sz w:val="15"/>
                <w:szCs w:val="15"/>
                <w:color w:val="auto"/>
              </w:rPr>
            </w:pPr>
          </w:p>
        </w:tc>
        <w:tc>
          <w:tcPr>
            <w:tcW w:w="1500" w:type="dxa"/>
            <w:vAlign w:val="bottom"/>
            <w:gridSpan w:val="2"/>
            <w:vMerge w:val="continue"/>
          </w:tcPr>
          <w:p>
            <w:pPr>
              <w:spacing w:after="0"/>
              <w:rPr>
                <w:sz w:val="15"/>
                <w:szCs w:val="15"/>
                <w:color w:val="auto"/>
              </w:rPr>
            </w:pPr>
          </w:p>
        </w:tc>
        <w:tc>
          <w:tcPr>
            <w:tcW w:w="1380" w:type="dxa"/>
            <w:vAlign w:val="bottom"/>
            <w:gridSpan w:val="2"/>
            <w:vMerge w:val="restart"/>
          </w:tcPr>
          <w:p>
            <w:pPr>
              <w:ind w:left="40"/>
              <w:spacing w:after="0"/>
              <w:rPr>
                <w:sz w:val="20"/>
                <w:szCs w:val="20"/>
                <w:color w:val="auto"/>
              </w:rPr>
            </w:pPr>
            <w:r>
              <w:rPr>
                <w:rFonts w:ascii="Arial" w:cs="Arial" w:eastAsia="Arial" w:hAnsi="Arial"/>
                <w:sz w:val="18"/>
                <w:szCs w:val="18"/>
                <w:b w:val="1"/>
                <w:bCs w:val="1"/>
                <w:color w:val="auto"/>
                <w:w w:val="97"/>
              </w:rPr>
              <w:t>Expected Life</w:t>
            </w:r>
            <w:r>
              <w:rPr>
                <w:rFonts w:ascii="Arial" w:cs="Arial" w:eastAsia="Arial" w:hAnsi="Arial"/>
                <w:sz w:val="23"/>
                <w:szCs w:val="23"/>
                <w:b w:val="1"/>
                <w:bCs w:val="1"/>
                <w:color w:val="auto"/>
                <w:w w:val="97"/>
                <w:vertAlign w:val="superscript"/>
              </w:rPr>
              <w:t>(a)</w:t>
            </w:r>
          </w:p>
        </w:tc>
        <w:tc>
          <w:tcPr>
            <w:tcW w:w="1540" w:type="dxa"/>
            <w:vAlign w:val="bottom"/>
            <w:gridSpan w:val="2"/>
            <w:vMerge w:val="continue"/>
          </w:tcPr>
          <w:p>
            <w:pPr>
              <w:spacing w:after="0"/>
              <w:rPr>
                <w:sz w:val="15"/>
                <w:szCs w:val="15"/>
                <w:color w:val="auto"/>
              </w:rPr>
            </w:pPr>
          </w:p>
        </w:tc>
        <w:tc>
          <w:tcPr>
            <w:tcW w:w="1540" w:type="dxa"/>
            <w:vAlign w:val="bottom"/>
            <w:gridSpan w:val="2"/>
            <w:vMerge w:val="restart"/>
          </w:tcPr>
          <w:p>
            <w:pPr>
              <w:ind w:left="140"/>
              <w:spacing w:after="0"/>
              <w:rPr>
                <w:sz w:val="20"/>
                <w:szCs w:val="20"/>
                <w:color w:val="auto"/>
              </w:rPr>
            </w:pPr>
            <w:r>
              <w:rPr>
                <w:rFonts w:ascii="Arial" w:cs="Arial" w:eastAsia="Arial" w:hAnsi="Arial"/>
                <w:sz w:val="18"/>
                <w:szCs w:val="18"/>
                <w:b w:val="1"/>
                <w:bCs w:val="1"/>
                <w:color w:val="auto"/>
              </w:rPr>
              <w:t>Dividend Yield</w:t>
            </w:r>
          </w:p>
        </w:tc>
        <w:tc>
          <w:tcPr>
            <w:tcW w:w="120" w:type="dxa"/>
            <w:vAlign w:val="bottom"/>
          </w:tcPr>
          <w:p>
            <w:pPr>
              <w:spacing w:after="0"/>
              <w:rPr>
                <w:sz w:val="15"/>
                <w:szCs w:val="15"/>
                <w:color w:val="auto"/>
              </w:rPr>
            </w:pPr>
          </w:p>
        </w:tc>
        <w:tc>
          <w:tcPr>
            <w:tcW w:w="1140" w:type="dxa"/>
            <w:vAlign w:val="bottom"/>
          </w:tcPr>
          <w:p>
            <w:pPr>
              <w:jc w:val="center"/>
              <w:ind w:right="30"/>
              <w:spacing w:after="0" w:line="181" w:lineRule="exact"/>
              <w:rPr>
                <w:sz w:val="20"/>
                <w:szCs w:val="20"/>
                <w:color w:val="auto"/>
              </w:rPr>
            </w:pPr>
            <w:r>
              <w:rPr>
                <w:rFonts w:ascii="Arial" w:cs="Arial" w:eastAsia="Arial" w:hAnsi="Arial"/>
                <w:sz w:val="18"/>
                <w:szCs w:val="18"/>
                <w:b w:val="1"/>
                <w:bCs w:val="1"/>
                <w:color w:val="auto"/>
                <w:w w:val="88"/>
              </w:rPr>
              <w:t>Value of</w:t>
            </w:r>
          </w:p>
        </w:tc>
        <w:tc>
          <w:tcPr>
            <w:tcW w:w="0" w:type="dxa"/>
            <w:vAlign w:val="bottom"/>
          </w:tcPr>
          <w:p>
            <w:pPr>
              <w:spacing w:after="0"/>
              <w:rPr>
                <w:sz w:val="1"/>
                <w:szCs w:val="1"/>
                <w:color w:val="auto"/>
              </w:rPr>
            </w:pPr>
          </w:p>
        </w:tc>
      </w:tr>
      <w:tr>
        <w:trPr>
          <w:trHeight w:val="230"/>
        </w:trPr>
        <w:tc>
          <w:tcPr>
            <w:tcW w:w="2660" w:type="dxa"/>
            <w:vAlign w:val="bottom"/>
            <w:gridSpan w:val="2"/>
            <w:vMerge w:val="continue"/>
          </w:tcPr>
          <w:p>
            <w:pPr>
              <w:spacing w:after="0"/>
              <w:rPr>
                <w:sz w:val="19"/>
                <w:szCs w:val="19"/>
                <w:color w:val="auto"/>
              </w:rPr>
            </w:pPr>
          </w:p>
        </w:tc>
        <w:tc>
          <w:tcPr>
            <w:tcW w:w="1360" w:type="dxa"/>
            <w:vAlign w:val="bottom"/>
            <w:gridSpan w:val="2"/>
          </w:tcPr>
          <w:p>
            <w:pPr>
              <w:ind w:left="300"/>
              <w:spacing w:after="0"/>
              <w:rPr>
                <w:sz w:val="20"/>
                <w:szCs w:val="20"/>
                <w:color w:val="auto"/>
              </w:rPr>
            </w:pPr>
            <w:r>
              <w:rPr>
                <w:rFonts w:ascii="Arial" w:cs="Arial" w:eastAsia="Arial" w:hAnsi="Arial"/>
                <w:sz w:val="18"/>
                <w:szCs w:val="18"/>
                <w:b w:val="1"/>
                <w:bCs w:val="1"/>
                <w:color w:val="auto"/>
              </w:rPr>
              <w:t>Granted</w:t>
            </w:r>
          </w:p>
        </w:tc>
        <w:tc>
          <w:tcPr>
            <w:tcW w:w="150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1"/>
              </w:rPr>
              <w:t>Interest Rate</w:t>
            </w:r>
          </w:p>
        </w:tc>
        <w:tc>
          <w:tcPr>
            <w:tcW w:w="1380" w:type="dxa"/>
            <w:vAlign w:val="bottom"/>
            <w:gridSpan w:val="2"/>
            <w:vMerge w:val="continue"/>
          </w:tcPr>
          <w:p>
            <w:pPr>
              <w:spacing w:after="0"/>
              <w:rPr>
                <w:sz w:val="19"/>
                <w:szCs w:val="19"/>
                <w:color w:val="auto"/>
              </w:rPr>
            </w:pPr>
          </w:p>
        </w:tc>
        <w:tc>
          <w:tcPr>
            <w:tcW w:w="1540" w:type="dxa"/>
            <w:vAlign w:val="bottom"/>
            <w:gridSpan w:val="2"/>
          </w:tcPr>
          <w:p>
            <w:pPr>
              <w:jc w:val="center"/>
              <w:ind w:right="100"/>
              <w:spacing w:after="0" w:line="230" w:lineRule="exact"/>
              <w:rPr>
                <w:sz w:val="20"/>
                <w:szCs w:val="20"/>
                <w:color w:val="auto"/>
              </w:rPr>
            </w:pPr>
            <w:r>
              <w:rPr>
                <w:rFonts w:ascii="Arial" w:cs="Arial" w:eastAsia="Arial" w:hAnsi="Arial"/>
                <w:sz w:val="18"/>
                <w:szCs w:val="18"/>
                <w:b w:val="1"/>
                <w:bCs w:val="1"/>
                <w:color w:val="auto"/>
                <w:w w:val="88"/>
              </w:rPr>
              <w:t>Volatility</w:t>
            </w:r>
            <w:r>
              <w:rPr>
                <w:rFonts w:ascii="Arial" w:cs="Arial" w:eastAsia="Arial" w:hAnsi="Arial"/>
                <w:sz w:val="23"/>
                <w:szCs w:val="23"/>
                <w:b w:val="1"/>
                <w:bCs w:val="1"/>
                <w:color w:val="auto"/>
                <w:w w:val="88"/>
                <w:vertAlign w:val="superscript"/>
              </w:rPr>
              <w:t>(b)</w:t>
            </w:r>
          </w:p>
        </w:tc>
        <w:tc>
          <w:tcPr>
            <w:tcW w:w="1540" w:type="dxa"/>
            <w:vAlign w:val="bottom"/>
            <w:gridSpan w:val="2"/>
            <w:vMerge w:val="continue"/>
          </w:tcPr>
          <w:p>
            <w:pPr>
              <w:spacing w:after="0"/>
              <w:rPr>
                <w:sz w:val="19"/>
                <w:szCs w:val="19"/>
                <w:color w:val="auto"/>
              </w:rPr>
            </w:pPr>
          </w:p>
        </w:tc>
        <w:tc>
          <w:tcPr>
            <w:tcW w:w="120" w:type="dxa"/>
            <w:vAlign w:val="bottom"/>
          </w:tcPr>
          <w:p>
            <w:pPr>
              <w:spacing w:after="0"/>
              <w:rPr>
                <w:sz w:val="19"/>
                <w:szCs w:val="19"/>
                <w:color w:val="auto"/>
              </w:rPr>
            </w:pPr>
          </w:p>
        </w:tc>
        <w:tc>
          <w:tcPr>
            <w:tcW w:w="1140" w:type="dxa"/>
            <w:vAlign w:val="bottom"/>
          </w:tcPr>
          <w:p>
            <w:pPr>
              <w:jc w:val="center"/>
              <w:ind w:right="30"/>
              <w:spacing w:after="0"/>
              <w:rPr>
                <w:sz w:val="20"/>
                <w:szCs w:val="20"/>
                <w:color w:val="auto"/>
              </w:rPr>
            </w:pPr>
            <w:r>
              <w:rPr>
                <w:rFonts w:ascii="Arial" w:cs="Arial" w:eastAsia="Arial" w:hAnsi="Arial"/>
                <w:sz w:val="18"/>
                <w:szCs w:val="18"/>
                <w:b w:val="1"/>
                <w:bCs w:val="1"/>
                <w:color w:val="auto"/>
                <w:w w:val="91"/>
              </w:rPr>
              <w:t>Options</w:t>
            </w:r>
          </w:p>
        </w:tc>
        <w:tc>
          <w:tcPr>
            <w:tcW w:w="0" w:type="dxa"/>
            <w:vAlign w:val="bottom"/>
          </w:tcPr>
          <w:p>
            <w:pPr>
              <w:spacing w:after="0"/>
              <w:rPr>
                <w:sz w:val="1"/>
                <w:szCs w:val="1"/>
                <w:color w:val="auto"/>
              </w:rPr>
            </w:pPr>
          </w:p>
        </w:tc>
      </w:tr>
      <w:tr>
        <w:trPr>
          <w:trHeight w:val="223"/>
        </w:trPr>
        <w:tc>
          <w:tcPr>
            <w:tcW w:w="254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2022</w:t>
            </w:r>
          </w:p>
        </w:tc>
        <w:tc>
          <w:tcPr>
            <w:tcW w:w="120" w:type="dxa"/>
            <w:vAlign w:val="bottom"/>
            <w:tcBorders>
              <w:top w:val="single" w:sz="8" w:color="CCEEFF"/>
            </w:tcBorders>
            <w:shd w:val="clear" w:color="auto" w:fill="CCEEFF"/>
          </w:tcPr>
          <w:p>
            <w:pPr>
              <w:spacing w:after="0"/>
              <w:rPr>
                <w:sz w:val="19"/>
                <w:szCs w:val="19"/>
                <w:color w:val="auto"/>
              </w:rPr>
            </w:pPr>
          </w:p>
        </w:tc>
        <w:tc>
          <w:tcPr>
            <w:tcW w:w="12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349</w:t>
            </w:r>
          </w:p>
        </w:tc>
        <w:tc>
          <w:tcPr>
            <w:tcW w:w="120" w:type="dxa"/>
            <w:vAlign w:val="bottom"/>
            <w:tcBorders>
              <w:top w:val="single" w:sz="8" w:color="CCEEFF"/>
            </w:tcBorders>
            <w:shd w:val="clear" w:color="auto" w:fill="CCEEFF"/>
          </w:tcPr>
          <w:p>
            <w:pPr>
              <w:spacing w:after="0"/>
              <w:rPr>
                <w:sz w:val="19"/>
                <w:szCs w:val="19"/>
                <w:color w:val="auto"/>
              </w:rPr>
            </w:pPr>
          </w:p>
        </w:tc>
        <w:tc>
          <w:tcPr>
            <w:tcW w:w="1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2.3 %</w:t>
            </w:r>
          </w:p>
        </w:tc>
        <w:tc>
          <w:tcPr>
            <w:tcW w:w="100" w:type="dxa"/>
            <w:vAlign w:val="bottom"/>
            <w:tcBorders>
              <w:top w:val="single" w:sz="8" w:color="CCEEFF"/>
            </w:tcBorders>
            <w:shd w:val="clear" w:color="auto" w:fill="CCEEFF"/>
          </w:tcPr>
          <w:p>
            <w:pPr>
              <w:spacing w:after="0"/>
              <w:rPr>
                <w:sz w:val="19"/>
                <w:szCs w:val="19"/>
                <w:color w:val="auto"/>
              </w:rPr>
            </w:pPr>
          </w:p>
        </w:tc>
        <w:tc>
          <w:tcPr>
            <w:tcW w:w="12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w:t>
            </w:r>
          </w:p>
        </w:tc>
        <w:tc>
          <w:tcPr>
            <w:tcW w:w="100" w:type="dxa"/>
            <w:vAlign w:val="bottom"/>
            <w:tcBorders>
              <w:top w:val="single" w:sz="8" w:color="CCEEFF"/>
            </w:tcBorders>
            <w:shd w:val="clear" w:color="auto" w:fill="CCEEFF"/>
          </w:tcPr>
          <w:p>
            <w:pPr>
              <w:spacing w:after="0"/>
              <w:rPr>
                <w:sz w:val="19"/>
                <w:szCs w:val="19"/>
                <w:color w:val="auto"/>
              </w:rPr>
            </w:pPr>
          </w:p>
        </w:tc>
        <w:tc>
          <w:tcPr>
            <w:tcW w:w="14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39.8 %</w:t>
            </w:r>
          </w:p>
        </w:tc>
        <w:tc>
          <w:tcPr>
            <w:tcW w:w="100" w:type="dxa"/>
            <w:vAlign w:val="bottom"/>
            <w:tcBorders>
              <w:top w:val="single" w:sz="8" w:color="CCEEFF"/>
            </w:tcBorders>
            <w:shd w:val="clear" w:color="auto" w:fill="CCEEFF"/>
          </w:tcPr>
          <w:p>
            <w:pPr>
              <w:spacing w:after="0"/>
              <w:rPr>
                <w:sz w:val="19"/>
                <w:szCs w:val="19"/>
                <w:color w:val="auto"/>
              </w:rPr>
            </w:pPr>
          </w:p>
        </w:tc>
        <w:tc>
          <w:tcPr>
            <w:tcW w:w="1420" w:type="dxa"/>
            <w:vAlign w:val="bottom"/>
            <w:tcBorders>
              <w:top w:val="single" w:sz="8" w:color="auto"/>
            </w:tcBorders>
            <w:shd w:val="clear" w:color="auto" w:fill="CCEEFF"/>
          </w:tcPr>
          <w:p>
            <w:pPr>
              <w:ind w:left="1020"/>
              <w:spacing w:after="0"/>
              <w:rPr>
                <w:sz w:val="20"/>
                <w:szCs w:val="20"/>
                <w:color w:val="auto"/>
              </w:rPr>
            </w:pPr>
            <w:r>
              <w:rPr>
                <w:rFonts w:ascii="Arial" w:cs="Arial" w:eastAsia="Arial" w:hAnsi="Arial"/>
                <w:sz w:val="18"/>
                <w:szCs w:val="18"/>
                <w:color w:val="auto"/>
                <w:w w:val="97"/>
              </w:rPr>
              <w:t>— %</w:t>
            </w:r>
          </w:p>
        </w:tc>
        <w:tc>
          <w:tcPr>
            <w:tcW w:w="12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6.71</w:t>
            </w:r>
          </w:p>
        </w:tc>
        <w:tc>
          <w:tcPr>
            <w:tcW w:w="0" w:type="dxa"/>
            <w:vAlign w:val="bottom"/>
          </w:tcPr>
          <w:p>
            <w:pPr>
              <w:spacing w:after="0"/>
              <w:rPr>
                <w:sz w:val="1"/>
                <w:szCs w:val="1"/>
                <w:color w:val="auto"/>
              </w:rPr>
            </w:pPr>
          </w:p>
        </w:tc>
      </w:tr>
      <w:tr>
        <w:trPr>
          <w:trHeight w:val="230"/>
        </w:trPr>
        <w:tc>
          <w:tcPr>
            <w:tcW w:w="2540" w:type="dxa"/>
            <w:vAlign w:val="bottom"/>
          </w:tcPr>
          <w:p>
            <w:pPr>
              <w:ind w:left="20"/>
              <w:spacing w:after="0"/>
              <w:rPr>
                <w:sz w:val="20"/>
                <w:szCs w:val="20"/>
                <w:color w:val="auto"/>
              </w:rPr>
            </w:pPr>
            <w:r>
              <w:rPr>
                <w:rFonts w:ascii="Arial" w:cs="Arial" w:eastAsia="Arial" w:hAnsi="Arial"/>
                <w:sz w:val="18"/>
                <w:szCs w:val="18"/>
                <w:color w:val="auto"/>
              </w:rPr>
              <w:t>2021</w:t>
            </w:r>
          </w:p>
        </w:tc>
        <w:tc>
          <w:tcPr>
            <w:tcW w:w="12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364</w:t>
            </w:r>
          </w:p>
        </w:tc>
        <w:tc>
          <w:tcPr>
            <w:tcW w:w="120" w:type="dxa"/>
            <w:vAlign w:val="bottom"/>
          </w:tcPr>
          <w:p>
            <w:pPr>
              <w:spacing w:after="0"/>
              <w:rPr>
                <w:sz w:val="20"/>
                <w:szCs w:val="20"/>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1.0 %</w:t>
            </w:r>
          </w:p>
        </w:tc>
        <w:tc>
          <w:tcPr>
            <w:tcW w:w="10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6.5</w:t>
            </w:r>
          </w:p>
        </w:tc>
        <w:tc>
          <w:tcPr>
            <w:tcW w:w="100" w:type="dxa"/>
            <w:vAlign w:val="bottom"/>
          </w:tcPr>
          <w:p>
            <w:pPr>
              <w:spacing w:after="0"/>
              <w:rPr>
                <w:sz w:val="20"/>
                <w:szCs w:val="20"/>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38.2 %</w:t>
            </w:r>
          </w:p>
        </w:tc>
        <w:tc>
          <w:tcPr>
            <w:tcW w:w="100" w:type="dxa"/>
            <w:vAlign w:val="bottom"/>
          </w:tcPr>
          <w:p>
            <w:pPr>
              <w:spacing w:after="0"/>
              <w:rPr>
                <w:sz w:val="20"/>
                <w:szCs w:val="20"/>
                <w:color w:val="auto"/>
              </w:rPr>
            </w:pPr>
          </w:p>
        </w:tc>
        <w:tc>
          <w:tcPr>
            <w:tcW w:w="1540" w:type="dxa"/>
            <w:vAlign w:val="bottom"/>
            <w:gridSpan w:val="2"/>
          </w:tcPr>
          <w:p>
            <w:pPr>
              <w:ind w:left="1020"/>
              <w:spacing w:after="0"/>
              <w:rPr>
                <w:sz w:val="20"/>
                <w:szCs w:val="20"/>
                <w:color w:val="auto"/>
              </w:rPr>
            </w:pPr>
            <w:r>
              <w:rPr>
                <w:rFonts w:ascii="Arial" w:cs="Arial" w:eastAsia="Arial" w:hAnsi="Arial"/>
                <w:sz w:val="18"/>
                <w:szCs w:val="18"/>
                <w:color w:val="auto"/>
              </w:rPr>
              <w:t>— %</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14.82</w:t>
            </w:r>
          </w:p>
        </w:tc>
        <w:tc>
          <w:tcPr>
            <w:tcW w:w="0" w:type="dxa"/>
            <w:vAlign w:val="bottom"/>
          </w:tcPr>
          <w:p>
            <w:pPr>
              <w:spacing w:after="0"/>
              <w:rPr>
                <w:sz w:val="1"/>
                <w:szCs w:val="1"/>
                <w:color w:val="auto"/>
              </w:rPr>
            </w:pPr>
          </w:p>
        </w:tc>
      </w:tr>
    </w:tbl>
    <w:p>
      <w:pPr>
        <w:spacing w:after="0" w:line="129" w:lineRule="exact"/>
        <w:rPr>
          <w:sz w:val="20"/>
          <w:szCs w:val="20"/>
          <w:color w:val="auto"/>
        </w:rPr>
      </w:pPr>
    </w:p>
    <w:p>
      <w:pPr>
        <w:ind w:left="480" w:right="20" w:hanging="454"/>
        <w:spacing w:after="0" w:line="273" w:lineRule="auto"/>
        <w:tabs>
          <w:tab w:leader="none" w:pos="480" w:val="left"/>
        </w:tabs>
        <w:numPr>
          <w:ilvl w:val="0"/>
          <w:numId w:val="13"/>
        </w:numPr>
        <w:rPr>
          <w:rFonts w:ascii="Arial" w:cs="Arial" w:eastAsia="Arial" w:hAnsi="Arial"/>
          <w:sz w:val="14"/>
          <w:szCs w:val="14"/>
          <w:color w:val="auto"/>
        </w:rPr>
      </w:pPr>
      <w:r>
        <w:rPr>
          <w:rFonts w:ascii="Arial" w:cs="Arial" w:eastAsia="Arial" w:hAnsi="Arial"/>
          <w:sz w:val="14"/>
          <w:szCs w:val="14"/>
          <w:color w:val="auto"/>
        </w:rPr>
        <w:t>Under the midpoint method, the expected option life is the midpoint between the contractual option life and the average vesting period for the options being granted. This resulted in an expected option life of 6.5 years for the options granted.</w:t>
      </w:r>
    </w:p>
    <w:p>
      <w:pPr>
        <w:spacing w:after="0" w:line="38" w:lineRule="exact"/>
        <w:rPr>
          <w:rFonts w:ascii="Arial" w:cs="Arial" w:eastAsia="Arial" w:hAnsi="Arial"/>
          <w:sz w:val="14"/>
          <w:szCs w:val="14"/>
          <w:color w:val="auto"/>
        </w:rPr>
      </w:pPr>
    </w:p>
    <w:p>
      <w:pPr>
        <w:ind w:left="480" w:hanging="454"/>
        <w:spacing w:after="0"/>
        <w:tabs>
          <w:tab w:leader="none" w:pos="480" w:val="left"/>
        </w:tabs>
        <w:numPr>
          <w:ilvl w:val="0"/>
          <w:numId w:val="13"/>
        </w:numPr>
        <w:rPr>
          <w:rFonts w:ascii="Arial" w:cs="Arial" w:eastAsia="Arial" w:hAnsi="Arial"/>
          <w:sz w:val="13"/>
          <w:szCs w:val="13"/>
          <w:color w:val="auto"/>
        </w:rPr>
      </w:pPr>
      <w:r>
        <w:rPr>
          <w:rFonts w:ascii="Arial" w:cs="Arial" w:eastAsia="Arial" w:hAnsi="Arial"/>
          <w:sz w:val="13"/>
          <w:szCs w:val="13"/>
          <w:color w:val="auto"/>
        </w:rPr>
        <w:t>Because the Company’s equity shares have been traded for a relatively short period of time, expected volatility assumption was based on the volatility of related industry stocks.</w:t>
      </w:r>
    </w:p>
    <w:p>
      <w:pPr>
        <w:spacing w:after="0" w:line="38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represents the employee stock option activity during the nine months ended September 30, 2022:</w:t>
      </w:r>
    </w:p>
    <w:p>
      <w:pPr>
        <w:spacing w:after="0" w:line="271"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532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0" w:type="dxa"/>
            <w:vAlign w:val="bottom"/>
          </w:tcPr>
          <w:p>
            <w:pPr>
              <w:jc w:val="center"/>
              <w:ind w:right="56"/>
              <w:spacing w:after="0"/>
              <w:rPr>
                <w:sz w:val="20"/>
                <w:szCs w:val="20"/>
                <w:color w:val="auto"/>
              </w:rPr>
            </w:pPr>
            <w:r>
              <w:rPr>
                <w:rFonts w:ascii="Arial" w:cs="Arial" w:eastAsia="Arial" w:hAnsi="Arial"/>
                <w:sz w:val="16"/>
                <w:szCs w:val="16"/>
                <w:b w:val="1"/>
                <w:bCs w:val="1"/>
                <w:color w:val="auto"/>
                <w:w w:val="91"/>
              </w:rPr>
              <w:t>Weighted</w:t>
            </w:r>
          </w:p>
        </w:tc>
        <w:tc>
          <w:tcPr>
            <w:tcW w:w="0" w:type="dxa"/>
            <w:vAlign w:val="bottom"/>
          </w:tcPr>
          <w:p>
            <w:pPr>
              <w:spacing w:after="0"/>
              <w:rPr>
                <w:sz w:val="1"/>
                <w:szCs w:val="1"/>
                <w:color w:val="auto"/>
              </w:rPr>
            </w:pPr>
          </w:p>
        </w:tc>
      </w:tr>
      <w:tr>
        <w:trPr>
          <w:trHeight w:val="162"/>
        </w:trPr>
        <w:tc>
          <w:tcPr>
            <w:tcW w:w="5320" w:type="dxa"/>
            <w:vAlign w:val="bottom"/>
          </w:tcPr>
          <w:p>
            <w:pPr>
              <w:spacing w:after="0"/>
              <w:rPr>
                <w:sz w:val="14"/>
                <w:szCs w:val="14"/>
                <w:color w:val="auto"/>
              </w:rPr>
            </w:pPr>
          </w:p>
        </w:tc>
        <w:tc>
          <w:tcPr>
            <w:tcW w:w="1380" w:type="dxa"/>
            <w:vAlign w:val="bottom"/>
            <w:vMerge w:val="restart"/>
          </w:tcPr>
          <w:p>
            <w:pPr>
              <w:jc w:val="center"/>
              <w:spacing w:after="0"/>
              <w:rPr>
                <w:sz w:val="20"/>
                <w:szCs w:val="20"/>
                <w:color w:val="auto"/>
              </w:rPr>
            </w:pPr>
            <w:r>
              <w:rPr>
                <w:rFonts w:ascii="Arial" w:cs="Arial" w:eastAsia="Arial" w:hAnsi="Arial"/>
                <w:sz w:val="16"/>
                <w:szCs w:val="16"/>
                <w:b w:val="1"/>
                <w:bCs w:val="1"/>
                <w:color w:val="auto"/>
                <w:w w:val="92"/>
              </w:rPr>
              <w:t>Number of</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20" w:type="dxa"/>
            <w:vAlign w:val="bottom"/>
            <w:gridSpan w:val="2"/>
            <w:vMerge w:val="restart"/>
          </w:tcPr>
          <w:p>
            <w:pPr>
              <w:jc w:val="center"/>
              <w:ind w:right="240"/>
              <w:spacing w:after="0"/>
              <w:rPr>
                <w:sz w:val="20"/>
                <w:szCs w:val="20"/>
                <w:color w:val="auto"/>
              </w:rPr>
            </w:pPr>
            <w:r>
              <w:rPr>
                <w:rFonts w:ascii="Arial" w:cs="Arial" w:eastAsia="Arial" w:hAnsi="Arial"/>
                <w:sz w:val="16"/>
                <w:szCs w:val="16"/>
                <w:b w:val="1"/>
                <w:bCs w:val="1"/>
                <w:color w:val="auto"/>
                <w:w w:val="88"/>
              </w:rPr>
              <w:t>Weighted</w:t>
            </w:r>
          </w:p>
        </w:tc>
        <w:tc>
          <w:tcPr>
            <w:tcW w:w="1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0" w:type="dxa"/>
            <w:vAlign w:val="bottom"/>
          </w:tcPr>
          <w:p>
            <w:pPr>
              <w:jc w:val="center"/>
              <w:ind w:right="76"/>
              <w:spacing w:after="0" w:line="162" w:lineRule="exact"/>
              <w:rPr>
                <w:sz w:val="20"/>
                <w:szCs w:val="20"/>
                <w:color w:val="auto"/>
              </w:rPr>
            </w:pPr>
            <w:r>
              <w:rPr>
                <w:rFonts w:ascii="Arial" w:cs="Arial" w:eastAsia="Arial" w:hAnsi="Arial"/>
                <w:sz w:val="16"/>
                <w:szCs w:val="16"/>
                <w:b w:val="1"/>
                <w:bCs w:val="1"/>
                <w:color w:val="auto"/>
                <w:w w:val="88"/>
              </w:rPr>
              <w:t>Average</w:t>
            </w:r>
          </w:p>
        </w:tc>
        <w:tc>
          <w:tcPr>
            <w:tcW w:w="0" w:type="dxa"/>
            <w:vAlign w:val="bottom"/>
          </w:tcPr>
          <w:p>
            <w:pPr>
              <w:spacing w:after="0"/>
              <w:rPr>
                <w:sz w:val="1"/>
                <w:szCs w:val="1"/>
                <w:color w:val="auto"/>
              </w:rPr>
            </w:pPr>
          </w:p>
        </w:tc>
      </w:tr>
      <w:tr>
        <w:trPr>
          <w:trHeight w:val="162"/>
        </w:trPr>
        <w:tc>
          <w:tcPr>
            <w:tcW w:w="5320" w:type="dxa"/>
            <w:vAlign w:val="bottom"/>
          </w:tcPr>
          <w:p>
            <w:pPr>
              <w:spacing w:after="0"/>
              <w:rPr>
                <w:sz w:val="14"/>
                <w:szCs w:val="14"/>
                <w:color w:val="auto"/>
              </w:rPr>
            </w:pPr>
          </w:p>
        </w:tc>
        <w:tc>
          <w:tcPr>
            <w:tcW w:w="138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20" w:type="dxa"/>
            <w:vAlign w:val="bottom"/>
            <w:gridSpan w:val="2"/>
            <w:vMerge w:val="continue"/>
          </w:tcPr>
          <w:p>
            <w:pPr>
              <w:spacing w:after="0"/>
              <w:rPr>
                <w:sz w:val="14"/>
                <w:szCs w:val="14"/>
                <w:color w:val="auto"/>
              </w:rPr>
            </w:pPr>
          </w:p>
        </w:tc>
        <w:tc>
          <w:tcPr>
            <w:tcW w:w="1480" w:type="dxa"/>
            <w:vAlign w:val="bottom"/>
            <w:gridSpan w:val="2"/>
            <w:vMerge w:val="restart"/>
          </w:tcPr>
          <w:p>
            <w:pPr>
              <w:jc w:val="center"/>
              <w:ind w:right="100"/>
              <w:spacing w:after="0"/>
              <w:rPr>
                <w:sz w:val="20"/>
                <w:szCs w:val="20"/>
                <w:color w:val="auto"/>
              </w:rPr>
            </w:pPr>
            <w:r>
              <w:rPr>
                <w:rFonts w:ascii="Arial" w:cs="Arial" w:eastAsia="Arial" w:hAnsi="Arial"/>
                <w:sz w:val="16"/>
                <w:szCs w:val="16"/>
                <w:b w:val="1"/>
                <w:bCs w:val="1"/>
                <w:color w:val="auto"/>
                <w:w w:val="92"/>
              </w:rPr>
              <w:t>Number of</w:t>
            </w:r>
          </w:p>
        </w:tc>
        <w:tc>
          <w:tcPr>
            <w:tcW w:w="160" w:type="dxa"/>
            <w:vAlign w:val="bottom"/>
          </w:tcPr>
          <w:p>
            <w:pPr>
              <w:spacing w:after="0"/>
              <w:rPr>
                <w:sz w:val="14"/>
                <w:szCs w:val="14"/>
                <w:color w:val="auto"/>
              </w:rPr>
            </w:pPr>
          </w:p>
        </w:tc>
        <w:tc>
          <w:tcPr>
            <w:tcW w:w="1200" w:type="dxa"/>
            <w:vAlign w:val="bottom"/>
          </w:tcPr>
          <w:p>
            <w:pPr>
              <w:jc w:val="center"/>
              <w:ind w:right="56"/>
              <w:spacing w:after="0" w:line="162" w:lineRule="exact"/>
              <w:rPr>
                <w:sz w:val="20"/>
                <w:szCs w:val="20"/>
                <w:color w:val="auto"/>
              </w:rPr>
            </w:pPr>
            <w:r>
              <w:rPr>
                <w:rFonts w:ascii="Arial" w:cs="Arial" w:eastAsia="Arial" w:hAnsi="Arial"/>
                <w:sz w:val="16"/>
                <w:szCs w:val="16"/>
                <w:b w:val="1"/>
                <w:bCs w:val="1"/>
                <w:color w:val="auto"/>
                <w:w w:val="89"/>
              </w:rPr>
              <w:t>Exercise Price</w:t>
            </w:r>
          </w:p>
        </w:tc>
        <w:tc>
          <w:tcPr>
            <w:tcW w:w="0" w:type="dxa"/>
            <w:vAlign w:val="bottom"/>
          </w:tcPr>
          <w:p>
            <w:pPr>
              <w:spacing w:after="0"/>
              <w:rPr>
                <w:sz w:val="1"/>
                <w:szCs w:val="1"/>
                <w:color w:val="auto"/>
              </w:rPr>
            </w:pPr>
          </w:p>
        </w:tc>
      </w:tr>
      <w:tr>
        <w:trPr>
          <w:trHeight w:val="162"/>
        </w:trPr>
        <w:tc>
          <w:tcPr>
            <w:tcW w:w="5320" w:type="dxa"/>
            <w:vAlign w:val="bottom"/>
          </w:tcPr>
          <w:p>
            <w:pPr>
              <w:spacing w:after="0"/>
              <w:rPr>
                <w:sz w:val="14"/>
                <w:szCs w:val="14"/>
                <w:color w:val="auto"/>
              </w:rPr>
            </w:pPr>
          </w:p>
        </w:tc>
        <w:tc>
          <w:tcPr>
            <w:tcW w:w="1380" w:type="dxa"/>
            <w:vAlign w:val="bottom"/>
          </w:tcPr>
          <w:p>
            <w:pPr>
              <w:jc w:val="center"/>
              <w:spacing w:after="0" w:line="162" w:lineRule="exact"/>
              <w:rPr>
                <w:sz w:val="20"/>
                <w:szCs w:val="20"/>
                <w:color w:val="auto"/>
              </w:rPr>
            </w:pPr>
            <w:r>
              <w:rPr>
                <w:rFonts w:ascii="Arial" w:cs="Arial" w:eastAsia="Arial" w:hAnsi="Arial"/>
                <w:sz w:val="16"/>
                <w:szCs w:val="16"/>
                <w:b w:val="1"/>
                <w:bCs w:val="1"/>
                <w:color w:val="auto"/>
                <w:w w:val="89"/>
              </w:rPr>
              <w:t>Options</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20" w:type="dxa"/>
            <w:vAlign w:val="bottom"/>
            <w:gridSpan w:val="2"/>
          </w:tcPr>
          <w:p>
            <w:pPr>
              <w:jc w:val="center"/>
              <w:ind w:right="240"/>
              <w:spacing w:after="0" w:line="162" w:lineRule="exact"/>
              <w:rPr>
                <w:sz w:val="20"/>
                <w:szCs w:val="20"/>
                <w:color w:val="auto"/>
              </w:rPr>
            </w:pPr>
            <w:r>
              <w:rPr>
                <w:rFonts w:ascii="Arial" w:cs="Arial" w:eastAsia="Arial" w:hAnsi="Arial"/>
                <w:sz w:val="16"/>
                <w:szCs w:val="16"/>
                <w:b w:val="1"/>
                <w:bCs w:val="1"/>
                <w:color w:val="auto"/>
                <w:w w:val="88"/>
              </w:rPr>
              <w:t>Average</w:t>
            </w:r>
          </w:p>
        </w:tc>
        <w:tc>
          <w:tcPr>
            <w:tcW w:w="1480" w:type="dxa"/>
            <w:vAlign w:val="bottom"/>
            <w:gridSpan w:val="2"/>
            <w:vMerge w:val="continue"/>
          </w:tcPr>
          <w:p>
            <w:pPr>
              <w:spacing w:after="0"/>
              <w:rPr>
                <w:sz w:val="14"/>
                <w:szCs w:val="14"/>
                <w:color w:val="auto"/>
              </w:rPr>
            </w:pPr>
          </w:p>
        </w:tc>
        <w:tc>
          <w:tcPr>
            <w:tcW w:w="160" w:type="dxa"/>
            <w:vAlign w:val="bottom"/>
          </w:tcPr>
          <w:p>
            <w:pPr>
              <w:spacing w:after="0"/>
              <w:rPr>
                <w:sz w:val="14"/>
                <w:szCs w:val="14"/>
                <w:color w:val="auto"/>
              </w:rPr>
            </w:pPr>
          </w:p>
        </w:tc>
        <w:tc>
          <w:tcPr>
            <w:tcW w:w="1200" w:type="dxa"/>
            <w:vAlign w:val="bottom"/>
          </w:tcPr>
          <w:p>
            <w:pPr>
              <w:jc w:val="center"/>
              <w:ind w:right="76"/>
              <w:spacing w:after="0" w:line="162" w:lineRule="exact"/>
              <w:rPr>
                <w:sz w:val="20"/>
                <w:szCs w:val="20"/>
                <w:color w:val="auto"/>
              </w:rPr>
            </w:pPr>
            <w:r>
              <w:rPr>
                <w:rFonts w:ascii="Arial" w:cs="Arial" w:eastAsia="Arial" w:hAnsi="Arial"/>
                <w:sz w:val="16"/>
                <w:szCs w:val="16"/>
                <w:b w:val="1"/>
                <w:bCs w:val="1"/>
                <w:color w:val="auto"/>
                <w:w w:val="89"/>
              </w:rPr>
              <w:t>of Options</w:t>
            </w:r>
          </w:p>
        </w:tc>
        <w:tc>
          <w:tcPr>
            <w:tcW w:w="0" w:type="dxa"/>
            <w:vAlign w:val="bottom"/>
          </w:tcPr>
          <w:p>
            <w:pPr>
              <w:spacing w:after="0"/>
              <w:rPr>
                <w:sz w:val="1"/>
                <w:szCs w:val="1"/>
                <w:color w:val="auto"/>
              </w:rPr>
            </w:pPr>
          </w:p>
        </w:tc>
      </w:tr>
      <w:tr>
        <w:trPr>
          <w:trHeight w:val="213"/>
        </w:trPr>
        <w:tc>
          <w:tcPr>
            <w:tcW w:w="5320" w:type="dxa"/>
            <w:vAlign w:val="bottom"/>
          </w:tcPr>
          <w:p>
            <w:pPr>
              <w:spacing w:after="0"/>
              <w:rPr>
                <w:sz w:val="18"/>
                <w:szCs w:val="18"/>
                <w:color w:val="auto"/>
              </w:rPr>
            </w:pPr>
          </w:p>
        </w:tc>
        <w:tc>
          <w:tcPr>
            <w:tcW w:w="1380" w:type="dxa"/>
            <w:vAlign w:val="bottom"/>
          </w:tcPr>
          <w:p>
            <w:pPr>
              <w:jc w:val="center"/>
              <w:spacing w:after="0"/>
              <w:rPr>
                <w:sz w:val="20"/>
                <w:szCs w:val="20"/>
                <w:color w:val="auto"/>
              </w:rPr>
            </w:pPr>
            <w:r>
              <w:rPr>
                <w:rFonts w:ascii="Arial" w:cs="Arial" w:eastAsia="Arial" w:hAnsi="Arial"/>
                <w:sz w:val="16"/>
                <w:szCs w:val="16"/>
                <w:b w:val="1"/>
                <w:bCs w:val="1"/>
                <w:color w:val="auto"/>
                <w:w w:val="91"/>
              </w:rPr>
              <w:t>Outstanding</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91"/>
              </w:rPr>
              <w:t>Exercise Price</w:t>
            </w:r>
          </w:p>
        </w:tc>
        <w:tc>
          <w:tcPr>
            <w:tcW w:w="1480" w:type="dxa"/>
            <w:vAlign w:val="bottom"/>
            <w:gridSpan w:val="2"/>
          </w:tcPr>
          <w:p>
            <w:pPr>
              <w:jc w:val="center"/>
              <w:ind w:right="80"/>
              <w:spacing w:after="0"/>
              <w:rPr>
                <w:sz w:val="20"/>
                <w:szCs w:val="20"/>
                <w:color w:val="auto"/>
              </w:rPr>
            </w:pPr>
            <w:r>
              <w:rPr>
                <w:rFonts w:ascii="Arial" w:cs="Arial" w:eastAsia="Arial" w:hAnsi="Arial"/>
                <w:sz w:val="16"/>
                <w:szCs w:val="16"/>
                <w:b w:val="1"/>
                <w:bCs w:val="1"/>
                <w:color w:val="auto"/>
                <w:w w:val="88"/>
              </w:rPr>
              <w:t>Options Vested</w:t>
            </w:r>
          </w:p>
        </w:tc>
        <w:tc>
          <w:tcPr>
            <w:tcW w:w="160" w:type="dxa"/>
            <w:vAlign w:val="bottom"/>
          </w:tcPr>
          <w:p>
            <w:pPr>
              <w:spacing w:after="0"/>
              <w:rPr>
                <w:sz w:val="18"/>
                <w:szCs w:val="18"/>
                <w:color w:val="auto"/>
              </w:rPr>
            </w:pPr>
          </w:p>
        </w:tc>
        <w:tc>
          <w:tcPr>
            <w:tcW w:w="1200" w:type="dxa"/>
            <w:vAlign w:val="bottom"/>
          </w:tcPr>
          <w:p>
            <w:pPr>
              <w:jc w:val="center"/>
              <w:ind w:right="76"/>
              <w:spacing w:after="0"/>
              <w:rPr>
                <w:sz w:val="20"/>
                <w:szCs w:val="20"/>
                <w:color w:val="auto"/>
              </w:rPr>
            </w:pPr>
            <w:r>
              <w:rPr>
                <w:rFonts w:ascii="Arial" w:cs="Arial" w:eastAsia="Arial" w:hAnsi="Arial"/>
                <w:sz w:val="16"/>
                <w:szCs w:val="16"/>
                <w:b w:val="1"/>
                <w:bCs w:val="1"/>
                <w:color w:val="auto"/>
                <w:w w:val="83"/>
              </w:rPr>
              <w:t>Vested</w:t>
            </w:r>
          </w:p>
        </w:tc>
        <w:tc>
          <w:tcPr>
            <w:tcW w:w="0" w:type="dxa"/>
            <w:vAlign w:val="bottom"/>
          </w:tcPr>
          <w:p>
            <w:pPr>
              <w:spacing w:after="0"/>
              <w:rPr>
                <w:sz w:val="1"/>
                <w:szCs w:val="1"/>
                <w:color w:val="auto"/>
              </w:rPr>
            </w:pPr>
          </w:p>
        </w:tc>
      </w:tr>
      <w:tr>
        <w:trPr>
          <w:trHeight w:val="226"/>
        </w:trPr>
        <w:tc>
          <w:tcPr>
            <w:tcW w:w="53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December 31, 2021</w:t>
            </w:r>
          </w:p>
        </w:tc>
        <w:tc>
          <w:tcPr>
            <w:tcW w:w="13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2,242</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21.38</w:t>
            </w:r>
          </w:p>
        </w:tc>
        <w:tc>
          <w:tcPr>
            <w:tcW w:w="100" w:type="dxa"/>
            <w:vAlign w:val="bottom"/>
            <w:tcBorders>
              <w:top w:val="single" w:sz="8" w:color="CCEEFF"/>
            </w:tcBorders>
            <w:shd w:val="clear" w:color="auto" w:fill="CCEEFF"/>
          </w:tcPr>
          <w:p>
            <w:pPr>
              <w:spacing w:after="0"/>
              <w:rPr>
                <w:sz w:val="19"/>
                <w:szCs w:val="19"/>
                <w:color w:val="auto"/>
              </w:rPr>
            </w:pPr>
          </w:p>
        </w:tc>
        <w:tc>
          <w:tcPr>
            <w:tcW w:w="13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840</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12.28</w:t>
            </w:r>
          </w:p>
        </w:tc>
        <w:tc>
          <w:tcPr>
            <w:tcW w:w="0" w:type="dxa"/>
            <w:vAlign w:val="bottom"/>
          </w:tcPr>
          <w:p>
            <w:pPr>
              <w:spacing w:after="0"/>
              <w:rPr>
                <w:sz w:val="1"/>
                <w:szCs w:val="1"/>
                <w:color w:val="auto"/>
              </w:rPr>
            </w:pPr>
          </w:p>
        </w:tc>
      </w:tr>
      <w:tr>
        <w:trPr>
          <w:trHeight w:val="229"/>
        </w:trPr>
        <w:tc>
          <w:tcPr>
            <w:tcW w:w="5320" w:type="dxa"/>
            <w:vAlign w:val="bottom"/>
          </w:tcPr>
          <w:p>
            <w:pPr>
              <w:ind w:left="20"/>
              <w:spacing w:after="0"/>
              <w:rPr>
                <w:sz w:val="20"/>
                <w:szCs w:val="20"/>
                <w:color w:val="auto"/>
              </w:rPr>
            </w:pPr>
            <w:r>
              <w:rPr>
                <w:rFonts w:ascii="Arial" w:cs="Arial" w:eastAsia="Arial" w:hAnsi="Arial"/>
                <w:sz w:val="18"/>
                <w:szCs w:val="18"/>
                <w:color w:val="auto"/>
              </w:rPr>
              <w:t>Granted</w:t>
            </w:r>
          </w:p>
        </w:tc>
        <w:tc>
          <w:tcPr>
            <w:tcW w:w="1380" w:type="dxa"/>
            <w:vAlign w:val="bottom"/>
          </w:tcPr>
          <w:p>
            <w:pPr>
              <w:jc w:val="right"/>
              <w:spacing w:after="0"/>
              <w:rPr>
                <w:sz w:val="20"/>
                <w:szCs w:val="20"/>
                <w:color w:val="auto"/>
              </w:rPr>
            </w:pPr>
            <w:r>
              <w:rPr>
                <w:rFonts w:ascii="Arial" w:cs="Arial" w:eastAsia="Arial" w:hAnsi="Arial"/>
                <w:sz w:val="18"/>
                <w:szCs w:val="18"/>
                <w:color w:val="auto"/>
              </w:rPr>
              <w:t>349</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15.40</w:t>
            </w:r>
          </w:p>
        </w:tc>
        <w:tc>
          <w:tcPr>
            <w:tcW w:w="10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320" w:type="dxa"/>
            <w:vAlign w:val="bottom"/>
            <w:shd w:val="clear" w:color="auto" w:fill="CCEEFF"/>
          </w:tcPr>
          <w:p>
            <w:pPr>
              <w:ind w:left="20"/>
              <w:spacing w:after="0"/>
              <w:rPr>
                <w:sz w:val="20"/>
                <w:szCs w:val="20"/>
                <w:color w:val="auto"/>
              </w:rPr>
            </w:pPr>
            <w:r>
              <w:rPr>
                <w:rFonts w:ascii="Arial" w:cs="Arial" w:eastAsia="Arial" w:hAnsi="Arial"/>
                <w:sz w:val="18"/>
                <w:szCs w:val="18"/>
                <w:color w:val="auto"/>
              </w:rPr>
              <w:t>Exercised</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9.12</w:t>
            </w:r>
          </w:p>
        </w:tc>
        <w:tc>
          <w:tcPr>
            <w:tcW w:w="10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320" w:type="dxa"/>
            <w:vAlign w:val="bottom"/>
          </w:tcPr>
          <w:p>
            <w:pPr>
              <w:ind w:left="20"/>
              <w:spacing w:after="0"/>
              <w:rPr>
                <w:sz w:val="20"/>
                <w:szCs w:val="20"/>
                <w:color w:val="auto"/>
              </w:rPr>
            </w:pPr>
            <w:r>
              <w:rPr>
                <w:rFonts w:ascii="Arial" w:cs="Arial" w:eastAsia="Arial" w:hAnsi="Arial"/>
                <w:sz w:val="18"/>
                <w:szCs w:val="18"/>
                <w:color w:val="auto"/>
              </w:rPr>
              <w:t>Forfeited</w:t>
            </w:r>
          </w:p>
        </w:tc>
        <w:tc>
          <w:tcPr>
            <w:tcW w:w="1380" w:type="dxa"/>
            <w:vAlign w:val="bottom"/>
          </w:tcPr>
          <w:p>
            <w:pPr>
              <w:jc w:val="right"/>
              <w:spacing w:after="0"/>
              <w:rPr>
                <w:sz w:val="20"/>
                <w:szCs w:val="20"/>
                <w:color w:val="auto"/>
              </w:rPr>
            </w:pPr>
            <w:r>
              <w:rPr>
                <w:rFonts w:ascii="Arial" w:cs="Arial" w:eastAsia="Arial" w:hAnsi="Arial"/>
                <w:sz w:val="18"/>
                <w:szCs w:val="18"/>
                <w:color w:val="auto"/>
              </w:rPr>
              <w:t>(162)</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23.58</w:t>
            </w:r>
          </w:p>
        </w:tc>
        <w:tc>
          <w:tcPr>
            <w:tcW w:w="10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320" w:type="dxa"/>
            <w:vAlign w:val="bottom"/>
            <w:shd w:val="clear" w:color="auto" w:fill="CCEEFF"/>
          </w:tcPr>
          <w:p>
            <w:pPr>
              <w:ind w:left="20"/>
              <w:spacing w:after="0"/>
              <w:rPr>
                <w:sz w:val="20"/>
                <w:szCs w:val="20"/>
                <w:color w:val="auto"/>
              </w:rPr>
            </w:pPr>
            <w:r>
              <w:rPr>
                <w:rFonts w:ascii="Arial" w:cs="Arial" w:eastAsia="Arial" w:hAnsi="Arial"/>
                <w:sz w:val="18"/>
                <w:szCs w:val="18"/>
                <w:color w:val="auto"/>
              </w:rPr>
              <w:t>Expired</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17.28</w:t>
            </w:r>
          </w:p>
        </w:tc>
        <w:tc>
          <w:tcPr>
            <w:tcW w:w="10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320" w:type="dxa"/>
            <w:vAlign w:val="bottom"/>
          </w:tcPr>
          <w:p>
            <w:pPr>
              <w:ind w:left="20"/>
              <w:spacing w:after="0"/>
              <w:rPr>
                <w:sz w:val="20"/>
                <w:szCs w:val="20"/>
                <w:color w:val="auto"/>
              </w:rPr>
            </w:pPr>
            <w:r>
              <w:rPr>
                <w:rFonts w:ascii="Arial" w:cs="Arial" w:eastAsia="Arial" w:hAnsi="Arial"/>
                <w:sz w:val="18"/>
                <w:szCs w:val="18"/>
                <w:b w:val="1"/>
                <w:bCs w:val="1"/>
                <w:color w:val="auto"/>
              </w:rPr>
              <w:t>September 30, 2022</w:t>
            </w: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2,273</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20.97</w:t>
            </w:r>
          </w:p>
        </w:tc>
        <w:tc>
          <w:tcPr>
            <w:tcW w:w="10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880</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15.57</w:t>
            </w:r>
          </w:p>
        </w:tc>
        <w:tc>
          <w:tcPr>
            <w:tcW w:w="0" w:type="dxa"/>
            <w:vAlign w:val="bottom"/>
          </w:tcPr>
          <w:p>
            <w:pPr>
              <w:spacing w:after="0"/>
              <w:rPr>
                <w:sz w:val="1"/>
                <w:szCs w:val="1"/>
                <w:color w:val="auto"/>
              </w:rPr>
            </w:pPr>
          </w:p>
        </w:tc>
      </w:tr>
      <w:tr>
        <w:trPr>
          <w:trHeight w:val="20"/>
        </w:trPr>
        <w:tc>
          <w:tcPr>
            <w:tcW w:w="532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Restricted Stock</w:t>
      </w:r>
    </w:p>
    <w:p>
      <w:pPr>
        <w:spacing w:after="0" w:line="256" w:lineRule="exact"/>
        <w:rPr>
          <w:sz w:val="20"/>
          <w:szCs w:val="20"/>
          <w:color w:val="auto"/>
        </w:rPr>
      </w:pPr>
    </w:p>
    <w:p>
      <w:pPr>
        <w:ind w:left="660"/>
        <w:spacing w:after="0"/>
        <w:rPr>
          <w:sz w:val="20"/>
          <w:szCs w:val="20"/>
          <w:color w:val="auto"/>
        </w:rPr>
      </w:pPr>
      <w:r>
        <w:rPr>
          <w:rFonts w:ascii="Arial" w:cs="Arial" w:eastAsia="Arial" w:hAnsi="Arial"/>
          <w:sz w:val="16"/>
          <w:szCs w:val="16"/>
          <w:color w:val="auto"/>
        </w:rPr>
        <w:t>A summary of the status of Pennant’s non-vested Restricted Stock, and changes during the nine months ended September 30, 2022, is presented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below:</w:t>
      </w:r>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7840" w:type="dxa"/>
            <w:vAlign w:val="bottom"/>
          </w:tcPr>
          <w:p>
            <w:pPr>
              <w:spacing w:after="0"/>
              <w:rPr>
                <w:sz w:val="16"/>
                <w:szCs w:val="16"/>
                <w:color w:val="auto"/>
              </w:rPr>
            </w:pPr>
          </w:p>
        </w:tc>
        <w:tc>
          <w:tcPr>
            <w:tcW w:w="1640" w:type="dxa"/>
            <w:vAlign w:val="bottom"/>
          </w:tcPr>
          <w:p>
            <w:pPr>
              <w:jc w:val="right"/>
              <w:spacing w:after="0"/>
              <w:rPr>
                <w:sz w:val="20"/>
                <w:szCs w:val="20"/>
                <w:color w:val="auto"/>
              </w:rPr>
            </w:pPr>
            <w:r>
              <w:rPr>
                <w:rFonts w:ascii="Arial" w:cs="Arial" w:eastAsia="Arial" w:hAnsi="Arial"/>
                <w:sz w:val="16"/>
                <w:szCs w:val="16"/>
                <w:b w:val="1"/>
                <w:bCs w:val="1"/>
                <w:color w:val="auto"/>
                <w:w w:val="92"/>
              </w:rPr>
              <w:t>Non-Vested Restricted</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500" w:type="dxa"/>
            <w:vAlign w:val="bottom"/>
          </w:tcPr>
          <w:p>
            <w:pPr>
              <w:jc w:val="right"/>
              <w:ind w:right="112"/>
              <w:spacing w:after="0"/>
              <w:rPr>
                <w:sz w:val="20"/>
                <w:szCs w:val="20"/>
                <w:color w:val="auto"/>
              </w:rPr>
            </w:pPr>
            <w:r>
              <w:rPr>
                <w:rFonts w:ascii="Arial" w:cs="Arial" w:eastAsia="Arial" w:hAnsi="Arial"/>
                <w:sz w:val="16"/>
                <w:szCs w:val="16"/>
                <w:b w:val="1"/>
                <w:bCs w:val="1"/>
                <w:color w:val="auto"/>
                <w:w w:val="91"/>
              </w:rPr>
              <w:t>Weighted Average</w:t>
            </w:r>
          </w:p>
        </w:tc>
      </w:tr>
      <w:tr>
        <w:trPr>
          <w:trHeight w:val="213"/>
        </w:trPr>
        <w:tc>
          <w:tcPr>
            <w:tcW w:w="7840" w:type="dxa"/>
            <w:vAlign w:val="bottom"/>
            <w:tcBorders>
              <w:bottom w:val="single" w:sz="8" w:color="CCEEFF"/>
            </w:tcBorders>
          </w:tcPr>
          <w:p>
            <w:pPr>
              <w:spacing w:after="0"/>
              <w:rPr>
                <w:sz w:val="18"/>
                <w:szCs w:val="18"/>
                <w:color w:val="auto"/>
              </w:rPr>
            </w:pPr>
          </w:p>
        </w:tc>
        <w:tc>
          <w:tcPr>
            <w:tcW w:w="1640" w:type="dxa"/>
            <w:vAlign w:val="bottom"/>
            <w:tcBorders>
              <w:bottom w:val="single" w:sz="8" w:color="auto"/>
            </w:tcBorders>
          </w:tcPr>
          <w:p>
            <w:pPr>
              <w:jc w:val="right"/>
              <w:ind w:right="533"/>
              <w:spacing w:after="0"/>
              <w:rPr>
                <w:sz w:val="20"/>
                <w:szCs w:val="20"/>
                <w:color w:val="auto"/>
              </w:rPr>
            </w:pPr>
            <w:r>
              <w:rPr>
                <w:rFonts w:ascii="Arial" w:cs="Arial" w:eastAsia="Arial" w:hAnsi="Arial"/>
                <w:sz w:val="16"/>
                <w:szCs w:val="16"/>
                <w:b w:val="1"/>
                <w:bCs w:val="1"/>
                <w:color w:val="auto"/>
              </w:rPr>
              <w:t>Stock</w:t>
            </w:r>
          </w:p>
        </w:tc>
        <w:tc>
          <w:tcPr>
            <w:tcW w:w="120" w:type="dxa"/>
            <w:vAlign w:val="bottom"/>
            <w:tcBorders>
              <w:bottom w:val="single" w:sz="8" w:color="CCEEFF"/>
            </w:tcBorders>
          </w:tcPr>
          <w:p>
            <w:pPr>
              <w:spacing w:after="0"/>
              <w:rPr>
                <w:sz w:val="18"/>
                <w:szCs w:val="18"/>
                <w:color w:val="auto"/>
              </w:rPr>
            </w:pPr>
          </w:p>
        </w:tc>
        <w:tc>
          <w:tcPr>
            <w:tcW w:w="1640" w:type="dxa"/>
            <w:vAlign w:val="bottom"/>
            <w:tcBorders>
              <w:bottom w:val="single" w:sz="8" w:color="auto"/>
            </w:tcBorders>
            <w:gridSpan w:val="2"/>
          </w:tcPr>
          <w:p>
            <w:pPr>
              <w:jc w:val="right"/>
              <w:spacing w:after="0"/>
              <w:rPr>
                <w:sz w:val="20"/>
                <w:szCs w:val="20"/>
                <w:color w:val="auto"/>
              </w:rPr>
            </w:pPr>
            <w:r>
              <w:rPr>
                <w:rFonts w:ascii="Arial" w:cs="Arial" w:eastAsia="Arial" w:hAnsi="Arial"/>
                <w:sz w:val="16"/>
                <w:szCs w:val="16"/>
                <w:b w:val="1"/>
                <w:bCs w:val="1"/>
                <w:color w:val="auto"/>
                <w:w w:val="97"/>
              </w:rPr>
              <w:t>Grant Date Fair Value</w:t>
            </w:r>
          </w:p>
        </w:tc>
      </w:tr>
      <w:tr>
        <w:trPr>
          <w:trHeight w:val="226"/>
        </w:trPr>
        <w:tc>
          <w:tcPr>
            <w:tcW w:w="78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December 31, 2021</w:t>
            </w:r>
          </w:p>
        </w:tc>
        <w:tc>
          <w:tcPr>
            <w:tcW w:w="1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1,493</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15.00</w:t>
            </w:r>
          </w:p>
        </w:tc>
      </w:tr>
      <w:tr>
        <w:trPr>
          <w:trHeight w:val="230"/>
        </w:trPr>
        <w:tc>
          <w:tcPr>
            <w:tcW w:w="7840" w:type="dxa"/>
            <w:vAlign w:val="bottom"/>
          </w:tcPr>
          <w:p>
            <w:pPr>
              <w:ind w:left="20"/>
              <w:spacing w:after="0"/>
              <w:rPr>
                <w:sz w:val="20"/>
                <w:szCs w:val="20"/>
                <w:color w:val="auto"/>
              </w:rPr>
            </w:pPr>
            <w:r>
              <w:rPr>
                <w:rFonts w:ascii="Arial" w:cs="Arial" w:eastAsia="Arial" w:hAnsi="Arial"/>
                <w:sz w:val="18"/>
                <w:szCs w:val="18"/>
                <w:color w:val="auto"/>
              </w:rPr>
              <w:t>Granted</w:t>
            </w:r>
          </w:p>
        </w:tc>
        <w:tc>
          <w:tcPr>
            <w:tcW w:w="1640" w:type="dxa"/>
            <w:vAlign w:val="bottom"/>
          </w:tcPr>
          <w:p>
            <w:pPr>
              <w:jc w:val="right"/>
              <w:spacing w:after="0"/>
              <w:rPr>
                <w:sz w:val="20"/>
                <w:szCs w:val="20"/>
                <w:color w:val="auto"/>
              </w:rPr>
            </w:pPr>
            <w:r>
              <w:rPr>
                <w:rFonts w:ascii="Arial" w:cs="Arial" w:eastAsia="Arial" w:hAnsi="Arial"/>
                <w:sz w:val="18"/>
                <w:szCs w:val="18"/>
                <w:color w:val="auto"/>
              </w:rPr>
              <w:t>276</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13.63</w:t>
            </w:r>
          </w:p>
        </w:tc>
      </w:tr>
      <w:tr>
        <w:trPr>
          <w:trHeight w:val="230"/>
        </w:trPr>
        <w:tc>
          <w:tcPr>
            <w:tcW w:w="7840" w:type="dxa"/>
            <w:vAlign w:val="bottom"/>
            <w:shd w:val="clear" w:color="auto" w:fill="CCEEFF"/>
          </w:tcPr>
          <w:p>
            <w:pPr>
              <w:ind w:left="20"/>
              <w:spacing w:after="0"/>
              <w:rPr>
                <w:sz w:val="20"/>
                <w:szCs w:val="20"/>
                <w:color w:val="auto"/>
              </w:rPr>
            </w:pPr>
            <w:r>
              <w:rPr>
                <w:rFonts w:ascii="Arial" w:cs="Arial" w:eastAsia="Arial" w:hAnsi="Arial"/>
                <w:sz w:val="18"/>
                <w:szCs w:val="18"/>
                <w:color w:val="auto"/>
              </w:rPr>
              <w:t>Vested</w:t>
            </w:r>
          </w:p>
        </w:tc>
        <w:tc>
          <w:tcPr>
            <w:tcW w:w="1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(1,070)</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14.97</w:t>
            </w:r>
          </w:p>
        </w:tc>
      </w:tr>
      <w:tr>
        <w:trPr>
          <w:trHeight w:val="229"/>
        </w:trPr>
        <w:tc>
          <w:tcPr>
            <w:tcW w:w="78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Forfeited</w:t>
            </w: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(256)</w:t>
            </w:r>
          </w:p>
        </w:tc>
        <w:tc>
          <w:tcPr>
            <w:tcW w:w="120" w:type="dxa"/>
            <w:vAlign w:val="bottom"/>
            <w:tcBorders>
              <w:bottom w:val="single" w:sz="8" w:color="CCEEFF"/>
            </w:tcBorders>
          </w:tcPr>
          <w:p>
            <w:pPr>
              <w:spacing w:after="0"/>
              <w:rPr>
                <w:sz w:val="19"/>
                <w:szCs w:val="19"/>
                <w:color w:val="auto"/>
              </w:rPr>
            </w:pPr>
          </w:p>
        </w:tc>
        <w:tc>
          <w:tcPr>
            <w:tcW w:w="140" w:type="dxa"/>
            <w:vAlign w:val="bottom"/>
            <w:tcBorders>
              <w:bottom w:val="single" w:sz="8" w:color="CCEEFF"/>
            </w:tcBorders>
          </w:tcPr>
          <w:p>
            <w:pPr>
              <w:spacing w:after="0"/>
              <w:rPr>
                <w:sz w:val="19"/>
                <w:szCs w:val="19"/>
                <w:color w:val="auto"/>
              </w:rPr>
            </w:pPr>
          </w:p>
        </w:tc>
        <w:tc>
          <w:tcPr>
            <w:tcW w:w="150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15.05</w:t>
            </w:r>
          </w:p>
        </w:tc>
      </w:tr>
      <w:tr>
        <w:trPr>
          <w:trHeight w:val="248"/>
        </w:trPr>
        <w:tc>
          <w:tcPr>
            <w:tcW w:w="78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September 30, 2022</w:t>
            </w:r>
          </w:p>
        </w:tc>
        <w:tc>
          <w:tcPr>
            <w:tcW w:w="1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443</w:t>
            </w:r>
          </w:p>
        </w:tc>
        <w:tc>
          <w:tcPr>
            <w:tcW w:w="2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14.18</w:t>
            </w:r>
          </w:p>
        </w:tc>
      </w:tr>
      <w:tr>
        <w:trPr>
          <w:trHeight w:val="20"/>
        </w:trPr>
        <w:tc>
          <w:tcPr>
            <w:tcW w:w="7840" w:type="dxa"/>
            <w:vAlign w:val="bottom"/>
            <w:tcBorders>
              <w:top w:val="single" w:sz="8" w:color="CCEEFF"/>
            </w:tcBorders>
          </w:tcPr>
          <w:p>
            <w:pPr>
              <w:spacing w:after="0" w:line="20" w:lineRule="exact"/>
              <w:rPr>
                <w:sz w:val="1"/>
                <w:szCs w:val="1"/>
                <w:color w:val="auto"/>
              </w:rPr>
            </w:pPr>
          </w:p>
        </w:tc>
        <w:tc>
          <w:tcPr>
            <w:tcW w:w="16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500" w:type="dxa"/>
            <w:vAlign w:val="bottom"/>
            <w:tcBorders>
              <w:top w:val="single" w:sz="8" w:color="CCEEFF"/>
            </w:tcBorders>
          </w:tcPr>
          <w:p>
            <w:pPr>
              <w:spacing w:after="0" w:line="20" w:lineRule="exact"/>
              <w:rPr>
                <w:sz w:val="1"/>
                <w:szCs w:val="1"/>
                <w:color w:val="auto"/>
              </w:rPr>
            </w:pPr>
          </w:p>
        </w:tc>
      </w:tr>
    </w:tbl>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13. LEASES</w:t>
      </w:r>
    </w:p>
    <w:p>
      <w:pPr>
        <w:spacing w:after="0" w:line="54"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auto"/>
        </w:rPr>
        <w:t>The Company’s independent operating subsidiaries lease 49 senior living communities and its administrative offices under non-cancelable operating leases, most of which have initial lease terms ranging from five to 21 years. Most of these leases contain renewal options, most involve rent increases and none contain purchase options. The lease term excludes lease renewals because the renewal rents are not at a bargain, there are no economic penalties for the Company to renew the lease, and it is not reasonably certain that the Company will exercise the extension options. The Company’s independent operating subsidiaries leased 29 and 31 communities from subsidiaries of Ensign (the “Ensign Leases”) under a master lease arrangement as of September 30, 2022 and September 30, 2021, respectively. Each of the leases have a initial term of between 14 and 20 years from the lease commencement date. The total amount of rent expense included in rent - cost of services paid to subsidiaries of Ensign was $3,760 and $10,250 for the three and nine months ended September 30, 2022, respectively, and $3,169 and $9,415 for the three and nine months ended September 30, 2021, respectively. In addition to rent, each of the</w:t>
      </w:r>
    </w:p>
    <w:p>
      <w:pPr>
        <w:sectPr>
          <w:pgSz w:w="11900" w:h="16838" w:orient="portrait"/>
          <w:cols w:equalWidth="0" w:num="1">
            <w:col w:w="11240"/>
          </w:cols>
          <w:pgMar w:left="320" w:top="125" w:right="339" w:bottom="1440" w:gutter="0" w:footer="0" w:header="0"/>
        </w:sectPr>
      </w:pPr>
    </w:p>
    <w:p>
      <w:pPr>
        <w:spacing w:after="0" w:line="200" w:lineRule="exact"/>
        <w:rPr>
          <w:sz w:val="20"/>
          <w:szCs w:val="20"/>
          <w:color w:val="auto"/>
        </w:rPr>
      </w:pPr>
    </w:p>
    <w:p>
      <w:pPr>
        <w:spacing w:after="0" w:line="334"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22" w:name="page23"/>
    <w:bookmarkEnd w:id="22"/>
    <w:p>
      <w:pPr>
        <w:spacing w:after="0"/>
        <w:rPr>
          <w:sz w:val="20"/>
          <w:szCs w:val="20"/>
          <w:color w:val="auto"/>
        </w:rPr>
      </w:pPr>
      <w:r>
        <w:rPr>
          <w:rFonts w:ascii="Arial" w:cs="Arial" w:eastAsia="Arial" w:hAnsi="Arial"/>
          <w:sz w:val="18"/>
          <w:szCs w:val="18"/>
          <w:u w:val="single" w:color="auto"/>
          <w:color w:val="0000FF"/>
        </w:rPr>
        <w:t>Table of Contents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PENNANT GROUP,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CONDENSED CONSOLIDATED FINANCIAL STATEMENTS - (Continued)</w:t>
      </w:r>
    </w:p>
    <w:p>
      <w:pPr>
        <w:spacing w:after="0" w:line="200" w:lineRule="exact"/>
        <w:rPr>
          <w:sz w:val="20"/>
          <w:szCs w:val="20"/>
          <w:color w:val="auto"/>
        </w:rPr>
      </w:pPr>
    </w:p>
    <w:p>
      <w:pPr>
        <w:spacing w:after="0" w:line="32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operating companies are required to pay the following: (1) all impositions and taxes levied on or with respect to the leased properties (other than taxes on the income of the lessor); (2) all utilities and other services necessary or appropriate for the leased properties and the business conducted on the leased properties; (3) all insurance required in connection with the leased properties and the business conducted on the leased properties; (4) all community maintenance and repair costs; and (5) all fees in connection with any licenses or authorizations necessary or appropriate for the leased properties and the business conducted on the leased properties.</w:t>
      </w:r>
    </w:p>
    <w:p>
      <w:pPr>
        <w:spacing w:after="0" w:line="215"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Twelve of the Company’s affiliated senior living communities, excluding the communities that are operated under the Ensign Leases (as defined herein), are operated under two separate master lease arrangements. Under these master leases, a breach at a single community could subject one or more of the other communities covered by the same master lease to the same default risk. Failure to comply with Medicare and Medicaid provider requirements is a default under several of the Company’s leases and master leases. With an indivisible lease, it is difficult to restructure the composition of the portfolio or economic terms of the master lease without the consent of the landlord.</w:t>
      </w:r>
    </w:p>
    <w:p>
      <w:pPr>
        <w:spacing w:after="0" w:line="215"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On January 27, 2022, affiliates of the Company, entered into Transfer Agreements with affiliates of Ensign, providing for the transfer of the operations of senior living communities. The closing of the Transaction was completed in two phases with the transfer of two operations on March 1, 2022 and the remainder transferred on April 1, 2022. As a result of the lease terminations, the Company reduced both the right of use assets and the lease liabilities by $42,515. Four of the terminated leases were part of master lease agreements. As a result of the transferred leases being removed from master lease arrangements, the remaining lease components under the master lease arrangements were modified which resulted in a net increase to the lease liability and ROU asset balance of $6,522 for the nine months ended September 30, 2022.</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960" w:type="dxa"/>
            <w:vAlign w:val="bottom"/>
          </w:tcPr>
          <w:p>
            <w:pPr>
              <w:ind w:left="660"/>
              <w:spacing w:after="0"/>
              <w:rPr>
                <w:sz w:val="20"/>
                <w:szCs w:val="20"/>
                <w:color w:val="auto"/>
              </w:rPr>
            </w:pPr>
            <w:r>
              <w:rPr>
                <w:rFonts w:ascii="Arial" w:cs="Arial" w:eastAsia="Arial" w:hAnsi="Arial"/>
                <w:sz w:val="18"/>
                <w:szCs w:val="18"/>
                <w:color w:val="auto"/>
              </w:rPr>
              <w:t>The components of operating lease cost, are as follows:</w:t>
            </w:r>
          </w:p>
        </w:tc>
        <w:tc>
          <w:tcPr>
            <w:tcW w:w="2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60" w:type="dxa"/>
            <w:vAlign w:val="bottom"/>
          </w:tcPr>
          <w:p>
            <w:pPr>
              <w:spacing w:after="0"/>
              <w:rPr>
                <w:sz w:val="20"/>
                <w:szCs w:val="20"/>
                <w:color w:val="auto"/>
              </w:rPr>
            </w:pPr>
          </w:p>
        </w:tc>
      </w:tr>
      <w:tr>
        <w:trPr>
          <w:trHeight w:val="445"/>
        </w:trPr>
        <w:tc>
          <w:tcPr>
            <w:tcW w:w="5960" w:type="dxa"/>
            <w:vAlign w:val="bottom"/>
          </w:tcPr>
          <w:p>
            <w:pPr>
              <w:spacing w:after="0"/>
              <w:rPr>
                <w:sz w:val="24"/>
                <w:szCs w:val="24"/>
                <w:color w:val="auto"/>
              </w:rPr>
            </w:pPr>
          </w:p>
        </w:tc>
        <w:tc>
          <w:tcPr>
            <w:tcW w:w="2680" w:type="dxa"/>
            <w:vAlign w:val="bottom"/>
            <w:gridSpan w:val="7"/>
          </w:tcPr>
          <w:p>
            <w:pPr>
              <w:ind w:left="40"/>
              <w:spacing w:after="0"/>
              <w:rPr>
                <w:sz w:val="20"/>
                <w:szCs w:val="20"/>
                <w:color w:val="auto"/>
              </w:rPr>
            </w:pPr>
            <w:r>
              <w:rPr>
                <w:rFonts w:ascii="Arial" w:cs="Arial" w:eastAsia="Arial" w:hAnsi="Arial"/>
                <w:sz w:val="18"/>
                <w:szCs w:val="18"/>
                <w:b w:val="1"/>
                <w:bCs w:val="1"/>
                <w:color w:val="auto"/>
                <w:w w:val="94"/>
              </w:rPr>
              <w:t>Three Months Ended September</w:t>
            </w:r>
          </w:p>
        </w:tc>
        <w:tc>
          <w:tcPr>
            <w:tcW w:w="2600" w:type="dxa"/>
            <w:vAlign w:val="bottom"/>
            <w:gridSpan w:val="6"/>
          </w:tcPr>
          <w:p>
            <w:pPr>
              <w:jc w:val="right"/>
              <w:spacing w:after="0"/>
              <w:rPr>
                <w:sz w:val="20"/>
                <w:szCs w:val="20"/>
                <w:color w:val="auto"/>
              </w:rPr>
            </w:pPr>
            <w:r>
              <w:rPr>
                <w:rFonts w:ascii="Arial" w:cs="Arial" w:eastAsia="Arial" w:hAnsi="Arial"/>
                <w:sz w:val="18"/>
                <w:szCs w:val="18"/>
                <w:b w:val="1"/>
                <w:bCs w:val="1"/>
                <w:color w:val="auto"/>
                <w:w w:val="93"/>
              </w:rPr>
              <w:t>Nine Months Ended September</w:t>
            </w:r>
          </w:p>
        </w:tc>
      </w:tr>
      <w:tr>
        <w:trPr>
          <w:trHeight w:val="239"/>
        </w:trPr>
        <w:tc>
          <w:tcPr>
            <w:tcW w:w="596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spacing w:after="0"/>
              <w:rPr>
                <w:sz w:val="20"/>
                <w:szCs w:val="20"/>
                <w:color w:val="auto"/>
              </w:rPr>
            </w:pPr>
          </w:p>
        </w:tc>
        <w:tc>
          <w:tcPr>
            <w:tcW w:w="460" w:type="dxa"/>
            <w:vAlign w:val="bottom"/>
            <w:tcBorders>
              <w:bottom w:val="single" w:sz="8" w:color="auto"/>
            </w:tcBorders>
            <w:gridSpan w:val="3"/>
          </w:tcPr>
          <w:p>
            <w:pPr>
              <w:jc w:val="right"/>
              <w:ind w:right="130"/>
              <w:spacing w:after="0"/>
              <w:rPr>
                <w:sz w:val="20"/>
                <w:szCs w:val="20"/>
                <w:color w:val="auto"/>
              </w:rPr>
            </w:pPr>
            <w:r>
              <w:rPr>
                <w:rFonts w:ascii="Arial" w:cs="Arial" w:eastAsia="Arial" w:hAnsi="Arial"/>
                <w:sz w:val="18"/>
                <w:szCs w:val="18"/>
                <w:b w:val="1"/>
                <w:bCs w:val="1"/>
                <w:color w:val="auto"/>
                <w:w w:val="87"/>
              </w:rPr>
              <w:t>30,</w:t>
            </w:r>
          </w:p>
        </w:tc>
        <w:tc>
          <w:tcPr>
            <w:tcW w:w="96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c>
          <w:tcPr>
            <w:tcW w:w="460" w:type="dxa"/>
            <w:vAlign w:val="bottom"/>
            <w:tcBorders>
              <w:bottom w:val="single" w:sz="8" w:color="auto"/>
            </w:tcBorders>
            <w:gridSpan w:val="3"/>
          </w:tcPr>
          <w:p>
            <w:pPr>
              <w:jc w:val="right"/>
              <w:ind w:right="130"/>
              <w:spacing w:after="0"/>
              <w:rPr>
                <w:sz w:val="20"/>
                <w:szCs w:val="20"/>
                <w:color w:val="auto"/>
              </w:rPr>
            </w:pPr>
            <w:r>
              <w:rPr>
                <w:rFonts w:ascii="Arial" w:cs="Arial" w:eastAsia="Arial" w:hAnsi="Arial"/>
                <w:sz w:val="18"/>
                <w:szCs w:val="18"/>
                <w:b w:val="1"/>
                <w:bCs w:val="1"/>
                <w:color w:val="auto"/>
                <w:w w:val="87"/>
              </w:rPr>
              <w:t>30,</w:t>
            </w:r>
          </w:p>
        </w:tc>
        <w:tc>
          <w:tcPr>
            <w:tcW w:w="960" w:type="dxa"/>
            <w:vAlign w:val="bottom"/>
            <w:tcBorders>
              <w:bottom w:val="single" w:sz="8" w:color="auto"/>
            </w:tcBorders>
          </w:tcPr>
          <w:p>
            <w:pPr>
              <w:spacing w:after="0"/>
              <w:rPr>
                <w:sz w:val="20"/>
                <w:szCs w:val="20"/>
                <w:color w:val="auto"/>
              </w:rPr>
            </w:pPr>
          </w:p>
        </w:tc>
      </w:tr>
      <w:tr>
        <w:trPr>
          <w:trHeight w:val="227"/>
        </w:trPr>
        <w:tc>
          <w:tcPr>
            <w:tcW w:w="596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2022</w:t>
            </w:r>
          </w:p>
        </w:tc>
        <w:tc>
          <w:tcPr>
            <w:tcW w:w="60" w:type="dxa"/>
            <w:vAlign w:val="bottom"/>
            <w:tcBorders>
              <w:bottom w:val="single" w:sz="8" w:color="auto"/>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2021</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2022</w:t>
            </w:r>
          </w:p>
        </w:tc>
        <w:tc>
          <w:tcPr>
            <w:tcW w:w="60" w:type="dxa"/>
            <w:vAlign w:val="bottom"/>
            <w:tcBorders>
              <w:bottom w:val="single" w:sz="8" w:color="auto"/>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2021</w:t>
            </w:r>
          </w:p>
        </w:tc>
      </w:tr>
      <w:tr>
        <w:trPr>
          <w:trHeight w:val="210"/>
        </w:trPr>
        <w:tc>
          <w:tcPr>
            <w:tcW w:w="59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Operating Lease Costs:</w:t>
            </w:r>
          </w:p>
        </w:tc>
        <w:tc>
          <w:tcPr>
            <w:tcW w:w="2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r>
      <w:tr>
        <w:trPr>
          <w:trHeight w:val="230"/>
        </w:trPr>
        <w:tc>
          <w:tcPr>
            <w:tcW w:w="5960" w:type="dxa"/>
            <w:vAlign w:val="bottom"/>
          </w:tcPr>
          <w:p>
            <w:pPr>
              <w:ind w:left="20"/>
              <w:spacing w:after="0"/>
              <w:rPr>
                <w:sz w:val="20"/>
                <w:szCs w:val="20"/>
                <w:color w:val="auto"/>
              </w:rPr>
            </w:pPr>
            <w:r>
              <w:rPr>
                <w:rFonts w:ascii="Arial" w:cs="Arial" w:eastAsia="Arial" w:hAnsi="Arial"/>
                <w:sz w:val="18"/>
                <w:szCs w:val="18"/>
                <w:color w:val="auto"/>
              </w:rPr>
              <w:t>Community Rent—cost of services</w:t>
            </w:r>
          </w:p>
        </w:tc>
        <w:tc>
          <w:tcPr>
            <w:tcW w:w="280" w:type="dxa"/>
            <w:vAlign w:val="bottom"/>
          </w:tcPr>
          <w:p>
            <w:pPr>
              <w:ind w:left="20"/>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8,129</w:t>
            </w:r>
          </w:p>
        </w:tc>
        <w:tc>
          <w:tcPr>
            <w:tcW w:w="460" w:type="dxa"/>
            <w:vAlign w:val="bottom"/>
            <w:gridSpan w:val="3"/>
          </w:tcPr>
          <w:p>
            <w:pPr>
              <w:jc w:val="right"/>
              <w:ind w:right="90"/>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9,052</w:t>
            </w:r>
          </w:p>
        </w:tc>
        <w:tc>
          <w:tcPr>
            <w:tcW w:w="100" w:type="dxa"/>
            <w:vAlign w:val="bottom"/>
          </w:tcPr>
          <w:p>
            <w:pPr>
              <w:spacing w:after="0"/>
              <w:rPr>
                <w:sz w:val="19"/>
                <w:szCs w:val="19"/>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24,755</w:t>
            </w:r>
          </w:p>
        </w:tc>
        <w:tc>
          <w:tcPr>
            <w:tcW w:w="460" w:type="dxa"/>
            <w:vAlign w:val="bottom"/>
            <w:gridSpan w:val="3"/>
          </w:tcPr>
          <w:p>
            <w:pPr>
              <w:jc w:val="right"/>
              <w:ind w:right="90"/>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26,844</w:t>
            </w:r>
          </w:p>
        </w:tc>
      </w:tr>
      <w:tr>
        <w:trPr>
          <w:trHeight w:val="229"/>
        </w:trPr>
        <w:tc>
          <w:tcPr>
            <w:tcW w:w="5960" w:type="dxa"/>
            <w:vAlign w:val="bottom"/>
            <w:shd w:val="clear" w:color="auto" w:fill="CCEEFF"/>
          </w:tcPr>
          <w:p>
            <w:pPr>
              <w:ind w:left="20"/>
              <w:spacing w:after="0"/>
              <w:rPr>
                <w:sz w:val="20"/>
                <w:szCs w:val="20"/>
                <w:color w:val="auto"/>
              </w:rPr>
            </w:pPr>
            <w:r>
              <w:rPr>
                <w:rFonts w:ascii="Arial" w:cs="Arial" w:eastAsia="Arial" w:hAnsi="Arial"/>
                <w:sz w:val="18"/>
                <w:szCs w:val="18"/>
                <w:color w:val="auto"/>
              </w:rPr>
              <w:t>Office Rent—cost of services</w:t>
            </w:r>
          </w:p>
        </w:tc>
        <w:tc>
          <w:tcPr>
            <w:tcW w:w="28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1,262</w:t>
            </w:r>
          </w:p>
        </w:tc>
        <w:tc>
          <w:tcPr>
            <w:tcW w:w="60" w:type="dxa"/>
            <w:vAlign w:val="bottom"/>
            <w:tcBorders>
              <w:bottom w:val="single" w:sz="8" w:color="auto"/>
            </w:tcBorders>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1,282</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3,765</w:t>
            </w:r>
          </w:p>
        </w:tc>
        <w:tc>
          <w:tcPr>
            <w:tcW w:w="60" w:type="dxa"/>
            <w:vAlign w:val="bottom"/>
            <w:tcBorders>
              <w:bottom w:val="single" w:sz="8" w:color="auto"/>
            </w:tcBorders>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3,611</w:t>
            </w:r>
          </w:p>
        </w:tc>
      </w:tr>
      <w:tr>
        <w:trPr>
          <w:trHeight w:val="223"/>
        </w:trPr>
        <w:tc>
          <w:tcPr>
            <w:tcW w:w="5960" w:type="dxa"/>
            <w:vAlign w:val="bottom"/>
          </w:tcPr>
          <w:p>
            <w:pPr>
              <w:ind w:left="220"/>
              <w:spacing w:after="0"/>
              <w:rPr>
                <w:sz w:val="20"/>
                <w:szCs w:val="20"/>
                <w:color w:val="auto"/>
              </w:rPr>
            </w:pPr>
            <w:r>
              <w:rPr>
                <w:rFonts w:ascii="Arial" w:cs="Arial" w:eastAsia="Arial" w:hAnsi="Arial"/>
                <w:sz w:val="18"/>
                <w:szCs w:val="18"/>
                <w:color w:val="auto"/>
              </w:rPr>
              <w:t>Rent—cost of services</w:t>
            </w:r>
          </w:p>
        </w:tc>
        <w:tc>
          <w:tcPr>
            <w:tcW w:w="28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9,391</w:t>
            </w:r>
          </w:p>
        </w:tc>
        <w:tc>
          <w:tcPr>
            <w:tcW w:w="6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10,334</w:t>
            </w:r>
          </w:p>
        </w:tc>
        <w:tc>
          <w:tcPr>
            <w:tcW w:w="100" w:type="dxa"/>
            <w:vAlign w:val="bottom"/>
          </w:tcPr>
          <w:p>
            <w:pPr>
              <w:spacing w:after="0"/>
              <w:rPr>
                <w:sz w:val="19"/>
                <w:szCs w:val="19"/>
                <w:color w:val="auto"/>
              </w:rPr>
            </w:pP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28,520</w:t>
            </w:r>
          </w:p>
        </w:tc>
        <w:tc>
          <w:tcPr>
            <w:tcW w:w="6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30,455</w:t>
            </w:r>
          </w:p>
        </w:tc>
      </w:tr>
      <w:tr>
        <w:trPr>
          <w:trHeight w:val="20"/>
        </w:trPr>
        <w:tc>
          <w:tcPr>
            <w:tcW w:w="596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r>
        <w:trPr>
          <w:trHeight w:val="237"/>
        </w:trPr>
        <w:tc>
          <w:tcPr>
            <w:tcW w:w="596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r>
      <w:tr>
        <w:trPr>
          <w:trHeight w:val="230"/>
        </w:trPr>
        <w:tc>
          <w:tcPr>
            <w:tcW w:w="5960" w:type="dxa"/>
            <w:vAlign w:val="bottom"/>
          </w:tcPr>
          <w:p>
            <w:pPr>
              <w:ind w:left="20"/>
              <w:spacing w:after="0"/>
              <w:rPr>
                <w:sz w:val="20"/>
                <w:szCs w:val="20"/>
                <w:color w:val="auto"/>
              </w:rPr>
            </w:pPr>
            <w:r>
              <w:rPr>
                <w:rFonts w:ascii="Arial" w:cs="Arial" w:eastAsia="Arial" w:hAnsi="Arial"/>
                <w:sz w:val="18"/>
                <w:szCs w:val="18"/>
                <w:color w:val="auto"/>
              </w:rPr>
              <w:t>General and administrative expense</w:t>
            </w:r>
          </w:p>
        </w:tc>
        <w:tc>
          <w:tcPr>
            <w:tcW w:w="280" w:type="dxa"/>
            <w:vAlign w:val="bottom"/>
          </w:tcPr>
          <w:p>
            <w:pPr>
              <w:ind w:left="20"/>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86</w:t>
            </w:r>
          </w:p>
        </w:tc>
        <w:tc>
          <w:tcPr>
            <w:tcW w:w="460" w:type="dxa"/>
            <w:vAlign w:val="bottom"/>
            <w:gridSpan w:val="3"/>
          </w:tcPr>
          <w:p>
            <w:pPr>
              <w:jc w:val="right"/>
              <w:ind w:right="90"/>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51</w:t>
            </w:r>
          </w:p>
        </w:tc>
        <w:tc>
          <w:tcPr>
            <w:tcW w:w="100" w:type="dxa"/>
            <w:vAlign w:val="bottom"/>
          </w:tcPr>
          <w:p>
            <w:pPr>
              <w:spacing w:after="0"/>
              <w:rPr>
                <w:sz w:val="19"/>
                <w:szCs w:val="19"/>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241</w:t>
            </w:r>
          </w:p>
        </w:tc>
        <w:tc>
          <w:tcPr>
            <w:tcW w:w="460" w:type="dxa"/>
            <w:vAlign w:val="bottom"/>
            <w:gridSpan w:val="3"/>
          </w:tcPr>
          <w:p>
            <w:pPr>
              <w:jc w:val="right"/>
              <w:ind w:right="90"/>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192</w:t>
            </w:r>
          </w:p>
        </w:tc>
      </w:tr>
      <w:tr>
        <w:trPr>
          <w:trHeight w:val="230"/>
        </w:trPr>
        <w:tc>
          <w:tcPr>
            <w:tcW w:w="5960" w:type="dxa"/>
            <w:vAlign w:val="bottom"/>
            <w:shd w:val="clear" w:color="auto" w:fill="CCEEFF"/>
          </w:tcPr>
          <w:p>
            <w:pPr>
              <w:ind w:left="20"/>
              <w:spacing w:after="0" w:line="230" w:lineRule="exact"/>
              <w:rPr>
                <w:sz w:val="20"/>
                <w:szCs w:val="20"/>
                <w:color w:val="auto"/>
              </w:rPr>
            </w:pPr>
            <w:r>
              <w:rPr>
                <w:rFonts w:ascii="Arial" w:cs="Arial" w:eastAsia="Arial" w:hAnsi="Arial"/>
                <w:sz w:val="18"/>
                <w:szCs w:val="18"/>
                <w:color w:val="auto"/>
              </w:rPr>
              <w:t xml:space="preserve">Variable lease cost </w:t>
            </w:r>
            <w:r>
              <w:rPr>
                <w:rFonts w:ascii="Arial" w:cs="Arial" w:eastAsia="Arial" w:hAnsi="Arial"/>
                <w:sz w:val="23"/>
                <w:szCs w:val="23"/>
                <w:color w:val="auto"/>
                <w:vertAlign w:val="superscript"/>
              </w:rPr>
              <w:t>(a)</w:t>
            </w:r>
          </w:p>
        </w:tc>
        <w:tc>
          <w:tcPr>
            <w:tcW w:w="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1,590</w:t>
            </w:r>
          </w:p>
        </w:tc>
        <w:tc>
          <w:tcPr>
            <w:tcW w:w="460" w:type="dxa"/>
            <w:vAlign w:val="bottom"/>
            <w:gridSpan w:val="3"/>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1,609</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4,463</w:t>
            </w:r>
          </w:p>
        </w:tc>
        <w:tc>
          <w:tcPr>
            <w:tcW w:w="460" w:type="dxa"/>
            <w:vAlign w:val="bottom"/>
            <w:gridSpan w:val="3"/>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4,598</w:t>
            </w:r>
          </w:p>
        </w:tc>
      </w:tr>
    </w:tbl>
    <w:p>
      <w:pPr>
        <w:spacing w:after="0" w:line="130" w:lineRule="exact"/>
        <w:rPr>
          <w:sz w:val="20"/>
          <w:szCs w:val="20"/>
          <w:color w:val="auto"/>
        </w:rPr>
      </w:pPr>
    </w:p>
    <w:p>
      <w:pPr>
        <w:ind w:left="480" w:right="40" w:hanging="454"/>
        <w:spacing w:after="0" w:line="273" w:lineRule="auto"/>
        <w:tabs>
          <w:tab w:leader="none" w:pos="480" w:val="left"/>
        </w:tabs>
        <w:numPr>
          <w:ilvl w:val="0"/>
          <w:numId w:val="14"/>
        </w:numPr>
        <w:rPr>
          <w:rFonts w:ascii="Arial" w:cs="Arial" w:eastAsia="Arial" w:hAnsi="Arial"/>
          <w:sz w:val="14"/>
          <w:szCs w:val="14"/>
          <w:color w:val="auto"/>
        </w:rPr>
      </w:pPr>
      <w:r>
        <w:rPr>
          <w:rFonts w:ascii="Arial" w:cs="Arial" w:eastAsia="Arial" w:hAnsi="Arial"/>
          <w:sz w:val="14"/>
          <w:szCs w:val="14"/>
          <w:color w:val="auto"/>
        </w:rPr>
        <w:t>Represents variable lease cost for operating leases, which costs include property taxes and insurance, common area maintenance, and consumer price index increases, incurred as part of the Company’s triple net lease, and which is included in cost of services for the three and nine months ended September 30, 2022 and 2021.</w:t>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3" w:name="page24"/>
    <w:bookmarkEnd w:id="23"/>
    <w:p>
      <w:pPr>
        <w:spacing w:after="0"/>
        <w:rPr>
          <w:sz w:val="20"/>
          <w:szCs w:val="20"/>
          <w:color w:val="auto"/>
        </w:rPr>
      </w:pPr>
      <w:r>
        <w:rPr>
          <w:rFonts w:ascii="Arial" w:cs="Arial" w:eastAsia="Arial" w:hAnsi="Arial"/>
          <w:sz w:val="18"/>
          <w:szCs w:val="18"/>
          <w:u w:val="single" w:color="auto"/>
          <w:color w:val="0000FF"/>
        </w:rPr>
        <w:t>Table of Contents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PENNANT GROUP,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CONDENSED CONSOLIDATED FINANCIAL STATEMENTS - (Continued)</w:t>
      </w: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shows the lease maturity analysis for all leases as of September 30, 2022, for the years ended December 31:</w:t>
      </w:r>
    </w:p>
    <w:p>
      <w:pPr>
        <w:spacing w:after="0" w:line="28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960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Year</w:t>
            </w:r>
          </w:p>
        </w:tc>
        <w:tc>
          <w:tcPr>
            <w:tcW w:w="30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Amount</w:t>
            </w:r>
          </w:p>
        </w:tc>
      </w:tr>
      <w:tr>
        <w:trPr>
          <w:trHeight w:val="223"/>
        </w:trPr>
        <w:tc>
          <w:tcPr>
            <w:tcW w:w="9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2022 (Remainder)</w:t>
            </w: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8,800</w:t>
            </w:r>
          </w:p>
        </w:tc>
      </w:tr>
      <w:tr>
        <w:trPr>
          <w:trHeight w:val="229"/>
        </w:trPr>
        <w:tc>
          <w:tcPr>
            <w:tcW w:w="9600" w:type="dxa"/>
            <w:vAlign w:val="bottom"/>
          </w:tcPr>
          <w:p>
            <w:pPr>
              <w:ind w:left="20"/>
              <w:spacing w:after="0"/>
              <w:rPr>
                <w:sz w:val="20"/>
                <w:szCs w:val="20"/>
                <w:color w:val="auto"/>
              </w:rPr>
            </w:pPr>
            <w:r>
              <w:rPr>
                <w:rFonts w:ascii="Arial" w:cs="Arial" w:eastAsia="Arial" w:hAnsi="Arial"/>
                <w:sz w:val="18"/>
                <w:szCs w:val="18"/>
                <w:color w:val="auto"/>
              </w:rPr>
              <w:t>2023</w:t>
            </w:r>
          </w:p>
        </w:tc>
        <w:tc>
          <w:tcPr>
            <w:tcW w:w="3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34,844</w:t>
            </w:r>
          </w:p>
        </w:tc>
      </w:tr>
      <w:tr>
        <w:trPr>
          <w:trHeight w:val="230"/>
        </w:trPr>
        <w:tc>
          <w:tcPr>
            <w:tcW w:w="9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2024</w:t>
            </w:r>
          </w:p>
        </w:tc>
        <w:tc>
          <w:tcPr>
            <w:tcW w:w="3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34,100</w:t>
            </w:r>
          </w:p>
        </w:tc>
      </w:tr>
      <w:tr>
        <w:trPr>
          <w:trHeight w:val="229"/>
        </w:trPr>
        <w:tc>
          <w:tcPr>
            <w:tcW w:w="9600" w:type="dxa"/>
            <w:vAlign w:val="bottom"/>
          </w:tcPr>
          <w:p>
            <w:pPr>
              <w:ind w:left="20"/>
              <w:spacing w:after="0"/>
              <w:rPr>
                <w:sz w:val="20"/>
                <w:szCs w:val="20"/>
                <w:color w:val="auto"/>
              </w:rPr>
            </w:pPr>
            <w:r>
              <w:rPr>
                <w:rFonts w:ascii="Arial" w:cs="Arial" w:eastAsia="Arial" w:hAnsi="Arial"/>
                <w:sz w:val="18"/>
                <w:szCs w:val="18"/>
                <w:color w:val="auto"/>
              </w:rPr>
              <w:t>2025</w:t>
            </w:r>
          </w:p>
        </w:tc>
        <w:tc>
          <w:tcPr>
            <w:tcW w:w="3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32,770</w:t>
            </w:r>
          </w:p>
        </w:tc>
      </w:tr>
      <w:tr>
        <w:trPr>
          <w:trHeight w:val="229"/>
        </w:trPr>
        <w:tc>
          <w:tcPr>
            <w:tcW w:w="9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2026</w:t>
            </w:r>
          </w:p>
        </w:tc>
        <w:tc>
          <w:tcPr>
            <w:tcW w:w="3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31,955</w:t>
            </w:r>
          </w:p>
        </w:tc>
      </w:tr>
      <w:tr>
        <w:trPr>
          <w:trHeight w:val="230"/>
        </w:trPr>
        <w:tc>
          <w:tcPr>
            <w:tcW w:w="96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Thereafter</w:t>
            </w:r>
          </w:p>
        </w:tc>
        <w:tc>
          <w:tcPr>
            <w:tcW w:w="30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276,631</w:t>
            </w:r>
          </w:p>
        </w:tc>
      </w:tr>
      <w:tr>
        <w:trPr>
          <w:trHeight w:val="223"/>
        </w:trPr>
        <w:tc>
          <w:tcPr>
            <w:tcW w:w="9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lease payments</w:t>
            </w:r>
          </w:p>
        </w:tc>
        <w:tc>
          <w:tcPr>
            <w:tcW w:w="3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419,100</w:t>
            </w:r>
          </w:p>
        </w:tc>
      </w:tr>
      <w:tr>
        <w:trPr>
          <w:trHeight w:val="230"/>
        </w:trPr>
        <w:tc>
          <w:tcPr>
            <w:tcW w:w="960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Less: present value adjustments</w:t>
            </w:r>
          </w:p>
        </w:tc>
        <w:tc>
          <w:tcPr>
            <w:tcW w:w="30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(153,731)</w:t>
            </w:r>
          </w:p>
        </w:tc>
      </w:tr>
      <w:tr>
        <w:trPr>
          <w:trHeight w:val="223"/>
        </w:trPr>
        <w:tc>
          <w:tcPr>
            <w:tcW w:w="9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Present value of total lease liabilities</w:t>
            </w:r>
          </w:p>
        </w:tc>
        <w:tc>
          <w:tcPr>
            <w:tcW w:w="3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265,369</w:t>
            </w:r>
          </w:p>
        </w:tc>
      </w:tr>
      <w:tr>
        <w:trPr>
          <w:trHeight w:val="230"/>
        </w:trPr>
        <w:tc>
          <w:tcPr>
            <w:tcW w:w="960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Less: current lease liabilities</w:t>
            </w:r>
          </w:p>
        </w:tc>
        <w:tc>
          <w:tcPr>
            <w:tcW w:w="30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(15,948)</w:t>
            </w:r>
          </w:p>
        </w:tc>
      </w:tr>
      <w:tr>
        <w:trPr>
          <w:trHeight w:val="248"/>
        </w:trPr>
        <w:tc>
          <w:tcPr>
            <w:tcW w:w="960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Long-term operating lease liabilities</w:t>
            </w: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249,421</w:t>
            </w:r>
          </w:p>
        </w:tc>
      </w:tr>
      <w:tr>
        <w:trPr>
          <w:trHeight w:val="20"/>
        </w:trPr>
        <w:tc>
          <w:tcPr>
            <w:tcW w:w="96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r>
    </w:tbl>
    <w:p>
      <w:pPr>
        <w:spacing w:after="0" w:line="323"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Operating lease liabilities are based on the net present value of the remaining lease payments over the remaining lease term. In determining the present value of lease payments, the Company used its incremental borrowing rate based on the information available at each lease’s commencement date to determine each lease's operating lease liability. As of September 30, 2022, the weighted average remaining lease term is 12.9 years and the weighted average discount rate is 7.6%.</w:t>
      </w: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14. INCOME TAXES</w:t>
      </w:r>
    </w:p>
    <w:p>
      <w:pPr>
        <w:spacing w:after="0" w:line="40" w:lineRule="exact"/>
        <w:rPr>
          <w:sz w:val="20"/>
          <w:szCs w:val="20"/>
          <w:color w:val="auto"/>
        </w:rPr>
      </w:pPr>
    </w:p>
    <w:p>
      <w:pPr>
        <w:ind w:right="320" w:firstLine="648"/>
        <w:spacing w:after="0" w:line="324" w:lineRule="auto"/>
        <w:rPr>
          <w:sz w:val="20"/>
          <w:szCs w:val="20"/>
          <w:color w:val="auto"/>
        </w:rPr>
      </w:pPr>
      <w:r>
        <w:rPr>
          <w:rFonts w:ascii="Arial" w:cs="Arial" w:eastAsia="Arial" w:hAnsi="Arial"/>
          <w:sz w:val="16"/>
          <w:szCs w:val="16"/>
          <w:color w:val="auto"/>
        </w:rPr>
        <w:t>The Company recorded income tax expense of $1,074 and $69 or 17.7% and 5.8% of earnings before income taxes for the three months ended September 30, 2022 and 2021, respectively. The increase in tax is primarily due to less excess tax benefits on equity compensation.</w:t>
      </w:r>
    </w:p>
    <w:p>
      <w:pPr>
        <w:spacing w:after="0" w:line="151" w:lineRule="exact"/>
        <w:rPr>
          <w:sz w:val="20"/>
          <w:szCs w:val="20"/>
          <w:color w:val="auto"/>
        </w:rPr>
      </w:pPr>
    </w:p>
    <w:p>
      <w:pPr>
        <w:jc w:val="both"/>
        <w:ind w:right="200" w:firstLine="648"/>
        <w:spacing w:after="0" w:line="248" w:lineRule="auto"/>
        <w:rPr>
          <w:sz w:val="20"/>
          <w:szCs w:val="20"/>
          <w:color w:val="auto"/>
        </w:rPr>
      </w:pPr>
      <w:r>
        <w:rPr>
          <w:rFonts w:ascii="Arial" w:cs="Arial" w:eastAsia="Arial" w:hAnsi="Arial"/>
          <w:sz w:val="18"/>
          <w:szCs w:val="18"/>
          <w:color w:val="auto"/>
        </w:rPr>
        <w:t>The Company recorded income tax expense of $241 and $1,013 or 6.3% and 18.4% of earnings before income taxes for the nine months ended September 30, 2022 and 2021, respectively. The decrease in tax is primarily due to less non-deductible equity compensation and tax benefit related to the Transfer Agreements with Ensign.</w:t>
      </w:r>
    </w:p>
    <w:p>
      <w:pPr>
        <w:spacing w:after="0" w:line="2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15. COMMITMENTS AND CONTINGENCIES</w:t>
      </w:r>
    </w:p>
    <w:p>
      <w:pPr>
        <w:spacing w:after="0" w:line="67"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i w:val="1"/>
          <w:iCs w:val="1"/>
          <w:color w:val="auto"/>
        </w:rPr>
        <w:t xml:space="preserve">Regulatory Matters - </w:t>
      </w:r>
      <w:r>
        <w:rPr>
          <w:rFonts w:ascii="Arial" w:cs="Arial" w:eastAsia="Arial" w:hAnsi="Arial"/>
          <w:sz w:val="17"/>
          <w:szCs w:val="17"/>
          <w:color w:val="auto"/>
        </w:rPr>
        <w:t>The Company provides services in complex and highly regulated industries. The Company’s compliance with applicable</w:t>
      </w:r>
      <w:r>
        <w:rPr>
          <w:rFonts w:ascii="Arial" w:cs="Arial" w:eastAsia="Arial" w:hAnsi="Arial"/>
          <w:sz w:val="17"/>
          <w:szCs w:val="17"/>
          <w:i w:val="1"/>
          <w:iCs w:val="1"/>
          <w:color w:val="auto"/>
        </w:rPr>
        <w:t xml:space="preserve"> </w:t>
      </w:r>
      <w:r>
        <w:rPr>
          <w:rFonts w:ascii="Arial" w:cs="Arial" w:eastAsia="Arial" w:hAnsi="Arial"/>
          <w:sz w:val="17"/>
          <w:szCs w:val="17"/>
          <w:color w:val="auto"/>
        </w:rPr>
        <w:t>U.S. federal, state and local laws and regulations governing these industries may be subject to governmental review and adverse findings may result in significant regulatory action, which could include sanctions, damages, fines, penalties (many of which may not be covered by insurance), and even exclusion from government programs. The Company is a party to various regulatory and other governmental audits and investigations in the ordinary course of business and cannot predict the ultimate outcome of any federal or state regulatory survey, audit or investigation. While governmental audits and investigations are the subject of administrative appeals, the appeals process, even if successful, may take several years to resolve and penalties subject to appeal may remain in place during such appeals. The Department of Justice, CMS, or other federal and state enforcement and regulatory agencies may conduct additional investigations related to the Company's businesses. The Company believes that it is presently in compliance in all material respects with all applicable laws and regulations.</w:t>
      </w:r>
    </w:p>
    <w:p>
      <w:pPr>
        <w:spacing w:after="0" w:line="208"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i w:val="1"/>
          <w:iCs w:val="1"/>
          <w:color w:val="auto"/>
        </w:rPr>
        <w:t xml:space="preserve">Cost-Containment Measures - </w:t>
      </w:r>
      <w:r>
        <w:rPr>
          <w:rFonts w:ascii="Arial" w:cs="Arial" w:eastAsia="Arial" w:hAnsi="Arial"/>
          <w:sz w:val="18"/>
          <w:szCs w:val="18"/>
          <w:color w:val="auto"/>
        </w:rPr>
        <w:t>Government and third-party payors have instituted cost-containment measures designed to limit payments made to</w:t>
      </w:r>
      <w:r>
        <w:rPr>
          <w:rFonts w:ascii="Arial" w:cs="Arial" w:eastAsia="Arial" w:hAnsi="Arial"/>
          <w:sz w:val="18"/>
          <w:szCs w:val="18"/>
          <w:i w:val="1"/>
          <w:iCs w:val="1"/>
          <w:color w:val="auto"/>
        </w:rPr>
        <w:t xml:space="preserve"> </w:t>
      </w:r>
      <w:r>
        <w:rPr>
          <w:rFonts w:ascii="Arial" w:cs="Arial" w:eastAsia="Arial" w:hAnsi="Arial"/>
          <w:sz w:val="18"/>
          <w:szCs w:val="18"/>
          <w:color w:val="auto"/>
        </w:rPr>
        <w:t>providers of healthcare services, may propose future cost-containment measures, and there can be no assurance that future measures designed to limit payments made to providers will not adversely affect the Company.</w:t>
      </w:r>
    </w:p>
    <w:p>
      <w:pPr>
        <w:spacing w:after="0" w:line="211"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6"/>
          <w:szCs w:val="16"/>
          <w:i w:val="1"/>
          <w:iCs w:val="1"/>
          <w:color w:val="auto"/>
        </w:rPr>
        <w:t xml:space="preserve">Indemnities - </w:t>
      </w:r>
      <w:r>
        <w:rPr>
          <w:rFonts w:ascii="Arial" w:cs="Arial" w:eastAsia="Arial" w:hAnsi="Arial"/>
          <w:sz w:val="16"/>
          <w:szCs w:val="16"/>
          <w:color w:val="auto"/>
        </w:rPr>
        <w:t>From time to time, the Company enters into certain types of contracts that contingently require the Company to indemnify parties</w:t>
      </w:r>
      <w:r>
        <w:rPr>
          <w:rFonts w:ascii="Arial" w:cs="Arial" w:eastAsia="Arial" w:hAnsi="Arial"/>
          <w:sz w:val="16"/>
          <w:szCs w:val="16"/>
          <w:i w:val="1"/>
          <w:iCs w:val="1"/>
          <w:color w:val="auto"/>
        </w:rPr>
        <w:t xml:space="preserve"> </w:t>
      </w:r>
      <w:r>
        <w:rPr>
          <w:rFonts w:ascii="Arial" w:cs="Arial" w:eastAsia="Arial" w:hAnsi="Arial"/>
          <w:sz w:val="16"/>
          <w:szCs w:val="16"/>
          <w:color w:val="auto"/>
        </w:rPr>
        <w:t>against third-party claims. These contracts primarily include (i) certain real estate leases, under which the Company may be required to indemnify property owners or prior operators for post-transfer environmental or other liabilities and other claims arising from the Company’s use of the applicable premises,</w:t>
      </w:r>
    </w:p>
    <w:p>
      <w:pPr>
        <w:spacing w:after="0" w:line="2" w:lineRule="exact"/>
        <w:rPr>
          <w:sz w:val="20"/>
          <w:szCs w:val="20"/>
          <w:color w:val="auto"/>
        </w:rPr>
      </w:pPr>
    </w:p>
    <w:p>
      <w:pPr>
        <w:ind w:firstLine="8"/>
        <w:spacing w:after="0" w:line="260" w:lineRule="auto"/>
        <w:tabs>
          <w:tab w:leader="none" w:pos="273" w:val="left"/>
        </w:tabs>
        <w:numPr>
          <w:ilvl w:val="0"/>
          <w:numId w:val="15"/>
        </w:numPr>
        <w:rPr>
          <w:rFonts w:ascii="Arial" w:cs="Arial" w:eastAsia="Arial" w:hAnsi="Arial"/>
          <w:sz w:val="18"/>
          <w:szCs w:val="18"/>
          <w:color w:val="auto"/>
        </w:rPr>
      </w:pPr>
      <w:r>
        <w:rPr>
          <w:rFonts w:ascii="Arial" w:cs="Arial" w:eastAsia="Arial" w:hAnsi="Arial"/>
          <w:sz w:val="18"/>
          <w:szCs w:val="18"/>
          <w:color w:val="auto"/>
        </w:rPr>
        <w:t>operations transfer agreements, in which the Company agrees to indemnify past operators of agencies and communities the Company acquires against certain</w:t>
      </w:r>
    </w:p>
    <w:p>
      <w:pPr>
        <w:spacing w:after="0" w:line="200" w:lineRule="exact"/>
        <w:rPr>
          <w:sz w:val="20"/>
          <w:szCs w:val="20"/>
          <w:color w:val="auto"/>
        </w:rPr>
      </w:pPr>
    </w:p>
    <w:p>
      <w:pPr>
        <w:spacing w:after="0" w:line="3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4" w:name="page25"/>
    <w:bookmarkEnd w:id="24"/>
    <w:p>
      <w:pPr>
        <w:spacing w:after="0"/>
        <w:rPr>
          <w:sz w:val="20"/>
          <w:szCs w:val="20"/>
          <w:color w:val="auto"/>
        </w:rPr>
      </w:pPr>
      <w:r>
        <w:rPr>
          <w:rFonts w:ascii="Arial" w:cs="Arial" w:eastAsia="Arial" w:hAnsi="Arial"/>
          <w:sz w:val="18"/>
          <w:szCs w:val="18"/>
          <w:u w:val="single" w:color="auto"/>
          <w:color w:val="0000FF"/>
        </w:rPr>
        <w:t>Table of Contents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PENNANT GROUP,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CONDENSED CONSOLIDATED FINANCIAL STATEMENTS - (Continued)</w:t>
      </w:r>
    </w:p>
    <w:p>
      <w:pPr>
        <w:spacing w:after="0" w:line="200" w:lineRule="exact"/>
        <w:rPr>
          <w:sz w:val="20"/>
          <w:szCs w:val="20"/>
          <w:color w:val="auto"/>
        </w:rPr>
      </w:pPr>
    </w:p>
    <w:p>
      <w:pPr>
        <w:spacing w:after="0" w:line="32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liabilities arising from the transfer of the operation and/or the operation thereof after the transfer, (iii) certain Ensign lending agreements, and (iv) certain agreements with management, directors and employees, under which the subsidiaries of the Company may be required to indemnify such persons for liabilities arising out of their employment relationships. The terms of such obligations vary by contract and, in most instances, a specific or maximum dollar amount is not explicitly stated therein. Generally, amounts under these contracts cannot be reasonably estimated until a specific claim is asserted. Consequently, because no claims have been asserted, no liabilities have been recorded for these obligations on the Company’s Condensed Consolidated Balance Sheets for any of the periods presented.</w:t>
      </w:r>
    </w:p>
    <w:p>
      <w:pPr>
        <w:spacing w:after="0" w:line="219"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i w:val="1"/>
          <w:iCs w:val="1"/>
          <w:color w:val="auto"/>
        </w:rPr>
        <w:t xml:space="preserve">Litigation - </w:t>
      </w:r>
      <w:r>
        <w:rPr>
          <w:rFonts w:ascii="Arial" w:cs="Arial" w:eastAsia="Arial" w:hAnsi="Arial"/>
          <w:sz w:val="17"/>
          <w:szCs w:val="17"/>
          <w:color w:val="auto"/>
        </w:rPr>
        <w:t>The Company’s businesses involve a significant risk of liability given the age and health of the patients and residents served by its</w:t>
      </w:r>
      <w:r>
        <w:rPr>
          <w:rFonts w:ascii="Arial" w:cs="Arial" w:eastAsia="Arial" w:hAnsi="Arial"/>
          <w:sz w:val="17"/>
          <w:szCs w:val="17"/>
          <w:i w:val="1"/>
          <w:iCs w:val="1"/>
          <w:color w:val="auto"/>
        </w:rPr>
        <w:t xml:space="preserve"> </w:t>
      </w:r>
      <w:r>
        <w:rPr>
          <w:rFonts w:ascii="Arial" w:cs="Arial" w:eastAsia="Arial" w:hAnsi="Arial"/>
          <w:sz w:val="17"/>
          <w:szCs w:val="17"/>
          <w:color w:val="auto"/>
        </w:rPr>
        <w:t>independent operating subsidiaries. The Company, its operating companies, and others in the industry may be subject to a number of claims and lawsuits, including professional liability claims, alleging that services provided have resulted in personal injury, elder abuse, wrongful death or other related claims. Healthcare litigation (including class action litigation) is common and is filed based upon a wide variety of claims and theories, and the Company is routinely subjected to these claims in the ordinary course of business, including potential claims related to patient care and treatment, and professional negligence, as well as employment related claims. If there were a significant increase in the number of these claims or an increase in amounts owing should plaintiffs be successful in their prosecution of these claims, this could materially adversely affect the Company’s business, financial condition, results of operations and cash flows. In addition, the defense of these lawsuits may result in significant legal costs, regardless of the outcome, and may result in large settlement amounts or damage awards.</w:t>
      </w:r>
    </w:p>
    <w:p>
      <w:pPr>
        <w:spacing w:after="0" w:line="208"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In addition to the potential lawsuits and claims described above, the Company is also subject to potential lawsuits under the False Claims Act (the “FCA”) and comparable state laws alleging submission of fraudulent claims for services to any healthcare program (such as Medicare) or payor. A violation may provide the basis for exclusion from federally funded healthcare programs. Such exclusions could have a correlative negative impact on the Company’s financial performance. Some states, including California, Arizona and Texas, have enacted similar whistleblower and false claims laws and regulations. In addition, the Deficit Reduction Act of 2005 created incentives for states to enact anti-fraud legislation modeled on the FCA, for which 18 states have qualified, including California and Texas, where we conduct business. As such, the Company could face increased scrutiny, potential liability and legal expenses and costs based on claims under state false claims acts in markets in which it conducts business.</w:t>
      </w:r>
    </w:p>
    <w:p>
      <w:pPr>
        <w:spacing w:after="0" w:line="191" w:lineRule="exact"/>
        <w:rPr>
          <w:sz w:val="20"/>
          <w:szCs w:val="20"/>
          <w:color w:val="auto"/>
        </w:rPr>
      </w:pPr>
    </w:p>
    <w:p>
      <w:pPr>
        <w:jc w:val="both"/>
        <w:ind w:firstLine="648"/>
        <w:spacing w:after="0" w:line="241" w:lineRule="auto"/>
        <w:rPr>
          <w:sz w:val="20"/>
          <w:szCs w:val="20"/>
          <w:color w:val="auto"/>
        </w:rPr>
      </w:pPr>
      <w:r>
        <w:rPr>
          <w:rFonts w:ascii="Arial" w:cs="Arial" w:eastAsia="Arial" w:hAnsi="Arial"/>
          <w:sz w:val="18"/>
          <w:szCs w:val="18"/>
          <w:color w:val="auto"/>
        </w:rPr>
        <w:t>Under the Fraud Enforcement and Recovery Act (“FERA”) and its associated rules, healthcare providers face significant penalties for the knowing retention of government overpayments, even if no false claim was involved. Providers have an obligation to proactively exercise “reasonable diligence” to identify overpayments and return those overpayments to CMS within 60 days of “identification” or the date any corresponding cost report is due, whichever is later. Retention of overpayments beyond this period may create liability under the FCA. In addition, FERA protects whistleblowers (including employees, contractors, and agents) from retaliation.</w:t>
      </w:r>
    </w:p>
    <w:p>
      <w:pPr>
        <w:spacing w:after="0" w:line="230"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The Company cannot predict or provide any assurance as to the possible outcome of any litigation. If any litigation were to proceed, and the Company and its operating companies are subjected to, alleged to be liable for, or agree to a settlement of, claims or obligations under federal Medicare statutes, the FCA, or similar state and federal statutes and related regulations, the Company’s business, financial condition and results of operations and cash flows could be materially and adversely affected. Among other things, any settlement or litigation could involve the payment of substantial sums to settle any alleged civil violations, and may also include the assumption of specific procedural and financial obligations by the Company or its independent operating subsidiaries going forward under a corporate integrity agreement and/or other arrangement with the government.</w:t>
      </w:r>
    </w:p>
    <w:p>
      <w:pPr>
        <w:spacing w:after="0" w:line="191"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i w:val="1"/>
          <w:iCs w:val="1"/>
          <w:color w:val="auto"/>
        </w:rPr>
        <w:t xml:space="preserve">Medicare Revenue Recoupments - </w:t>
      </w:r>
      <w:r>
        <w:rPr>
          <w:rFonts w:ascii="Arial" w:cs="Arial" w:eastAsia="Arial" w:hAnsi="Arial"/>
          <w:sz w:val="18"/>
          <w:szCs w:val="18"/>
          <w:color w:val="auto"/>
        </w:rPr>
        <w:t>The Company is subject to probe reviews relating to Medicare services, billings and potential overpayments by</w:t>
      </w:r>
      <w:r>
        <w:rPr>
          <w:rFonts w:ascii="Arial" w:cs="Arial" w:eastAsia="Arial" w:hAnsi="Arial"/>
          <w:sz w:val="18"/>
          <w:szCs w:val="18"/>
          <w:i w:val="1"/>
          <w:iCs w:val="1"/>
          <w:color w:val="auto"/>
        </w:rPr>
        <w:t xml:space="preserve"> </w:t>
      </w:r>
      <w:r>
        <w:rPr>
          <w:rFonts w:ascii="Arial" w:cs="Arial" w:eastAsia="Arial" w:hAnsi="Arial"/>
          <w:sz w:val="18"/>
          <w:szCs w:val="18"/>
          <w:color w:val="auto"/>
        </w:rPr>
        <w:t>Unified Program Integrity Contractors (“UPIC”), Recovery Audit Contractors (“RAC”), Zone Program Integrity Contractors (“ZPIC”), Program Safeguard Contractors (“PSC”), Supplemental Medical Review Contractors (“SMRC”) and Medicaid Integrity Contributors (“MIC”) programs, each of the foregoing collectively referred to as “Reviews.”</w:t>
      </w:r>
    </w:p>
    <w:p>
      <w:pPr>
        <w:spacing w:after="0" w:line="214" w:lineRule="exact"/>
        <w:rPr>
          <w:sz w:val="20"/>
          <w:szCs w:val="20"/>
          <w:color w:val="auto"/>
        </w:rPr>
      </w:pPr>
    </w:p>
    <w:p>
      <w:pPr>
        <w:jc w:val="both"/>
        <w:ind w:firstLine="648"/>
        <w:spacing w:after="0" w:line="296" w:lineRule="auto"/>
        <w:rPr>
          <w:sz w:val="20"/>
          <w:szCs w:val="20"/>
          <w:color w:val="auto"/>
        </w:rPr>
      </w:pPr>
      <w:r>
        <w:rPr>
          <w:rFonts w:ascii="Arial" w:cs="Arial" w:eastAsia="Arial" w:hAnsi="Arial"/>
          <w:sz w:val="16"/>
          <w:szCs w:val="16"/>
          <w:color w:val="auto"/>
        </w:rPr>
        <w:t>As of September 30, 2022, seven of the Company’s independent operating subsidiaries had Reviews scheduled, on appeal or in dispute resolution process, both pre- and post-payment. If an operation fails an initial or subsequent Review, the operation could then be subject to extended Review, suspension of payment, or extrapolation of the identified error rate to all billing in the same time period. The Company, from time to time, receives record requests in reviews which have resulted in claim denials on paid claims. The Company has appealed substantially all denials arising from these reviews using the applicable appeals process. As of September 30, 2022, and through the filing of this Quarterly Report on Form 10-Q, the</w:t>
      </w: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5" w:name="page26"/>
    <w:bookmarkEnd w:id="25"/>
    <w:p>
      <w:pPr>
        <w:spacing w:after="0"/>
        <w:rPr>
          <w:sz w:val="20"/>
          <w:szCs w:val="20"/>
          <w:color w:val="auto"/>
        </w:rPr>
      </w:pPr>
      <w:r>
        <w:rPr>
          <w:rFonts w:ascii="Arial" w:cs="Arial" w:eastAsia="Arial" w:hAnsi="Arial"/>
          <w:sz w:val="18"/>
          <w:szCs w:val="18"/>
          <w:u w:val="single" w:color="auto"/>
          <w:color w:val="0000FF"/>
        </w:rPr>
        <w:t>Table of Contents</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THE PENNANT GROUP, INC.</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THE CONDENSED CONSOLIDATED FINANCIAL STATEMENTS - (Continued)</w:t>
      </w:r>
    </w:p>
    <w:p>
      <w:pPr>
        <w:spacing w:after="0" w:line="200" w:lineRule="exact"/>
        <w:rPr>
          <w:sz w:val="20"/>
          <w:szCs w:val="20"/>
          <w:color w:val="auto"/>
        </w:rPr>
      </w:pPr>
    </w:p>
    <w:p>
      <w:pPr>
        <w:spacing w:after="0" w:line="321"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Company’s independent operating subsidiaries have responded to the Reviews that are currently ongoing, on appeal or in dispute resolution process. The Company cannot predict the ultimate outcome of any regulatory and other governmental reviews. While such reviews are the subject of administrative appeals, the appeals process, even if successful, may take several years to resolve. The costs to respond to and defend such reviews may be significant and an adverse determination in such reviews may subject the Company to sanctions, damages, extrapolation of damage findings, additional recoupments, fines, other penalties (some of which may not be covered by insurance), and termination from Medicare programs which may, either individually or in the aggregate, have a material adverse effect on the Company's business and financial condition.</w:t>
      </w:r>
    </w:p>
    <w:p>
      <w:pPr>
        <w:spacing w:after="0" w:line="205"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From June 2021 to May 2022, one hospice provider number was subject to a Medicare payment suspension imposed by a UPIC. As of September 30, 2022, the total amount due from the government payor impacted by the suspension was $5,181 and was recorded in long-term other assets. The amounts suspended represent all Medicare payments due to the provider number during the suspension.</w:t>
      </w:r>
    </w:p>
    <w:p>
      <w:pPr>
        <w:spacing w:after="0" w:line="211"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In May 2022, the Company received communication that the Medicare payment suspension was terminated and the UPIC’s review was complete. The UPIC reviewed 107 patient records covering a 10-month period to determine whether, in its view, a Medicare overpayment was made. Based on the results of the review, the UPIC has alleged sampled and extrapolated overpayments of $5,165, and has withheld that amount through continued recoupment of Medicare payments. The Company is pursuing its appeal rights through the administrative appeals process, including contesting the methodology used by the UPIC to perform statistical extrapolation. At this stage of the review, based on the information currently available to the Company, the Company cannot predict the timing or the ultimate outcome of this review. As of September 30, 2022, we have an accrued liability that is immaterial for this review which was recorded as an offset to revenue.</w:t>
      </w:r>
    </w:p>
    <w:p>
      <w:pPr>
        <w:spacing w:after="0" w:line="204"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i w:val="1"/>
          <w:iCs w:val="1"/>
          <w:color w:val="auto"/>
        </w:rPr>
        <w:t xml:space="preserve">Insurance </w:t>
      </w:r>
      <w:r>
        <w:rPr>
          <w:rFonts w:ascii="Arial" w:cs="Arial" w:eastAsia="Arial" w:hAnsi="Arial"/>
          <w:sz w:val="18"/>
          <w:szCs w:val="18"/>
          <w:color w:val="auto"/>
        </w:rPr>
        <w:t>- The Company retains risk for a substantial portion of potential claims for general and professional liability, workers’ compensation</w:t>
      </w:r>
      <w:r>
        <w:rPr>
          <w:rFonts w:ascii="Arial" w:cs="Arial" w:eastAsia="Arial" w:hAnsi="Arial"/>
          <w:sz w:val="18"/>
          <w:szCs w:val="18"/>
          <w:i w:val="1"/>
          <w:iCs w:val="1"/>
          <w:color w:val="auto"/>
        </w:rPr>
        <w:t xml:space="preserve"> </w:t>
      </w:r>
      <w:r>
        <w:rPr>
          <w:rFonts w:ascii="Arial" w:cs="Arial" w:eastAsia="Arial" w:hAnsi="Arial"/>
          <w:sz w:val="18"/>
          <w:szCs w:val="18"/>
          <w:color w:val="auto"/>
        </w:rPr>
        <w:t>and automobile liability. The Company recognizes obligations associated with these costs, up to specified deductible limits in the period in which a claim is incurred, including with respect to both reported claims and claims incurred but not reported. The general and professional liability insurance has a retention limit of $150 per claim with a $500 corridor as an additional out-of-pocket retention we must satisfy for claims within the policy year before the carrier will reimburse losses. The workers’ compensation insurance has a retention limit of $250 per claim, except for policies held in Texas and Washington which are subject to state insurance and possess their own limits.</w:t>
      </w:r>
    </w:p>
    <w:p>
      <w:pPr>
        <w:spacing w:after="0" w:line="219"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Effective January 1, 2022 the Company is self-insured for claims related to employee health, dental, and vision care. To protect itself against loss exposure, the Company has purchased individual stop-loss insurance coverage that insures individual health claims that exceed $325 for each covered person for fiscal year 2022.</w:t>
      </w: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6" w:name="page27"/>
    <w:bookmarkEnd w:id="26"/>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59" w:lineRule="exact"/>
        <w:rPr>
          <w:sz w:val="20"/>
          <w:szCs w:val="20"/>
          <w:color w:val="auto"/>
        </w:rPr>
      </w:pPr>
    </w:p>
    <w:p>
      <w:pPr>
        <w:spacing w:after="0"/>
        <w:tabs>
          <w:tab w:leader="none" w:pos="76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5"/>
          <w:szCs w:val="15"/>
          <w:b w:val="1"/>
          <w:bCs w:val="1"/>
          <w:i w:val="1"/>
          <w:iCs w:val="1"/>
          <w:color w:val="auto"/>
        </w:rPr>
        <w:t>Management’s Discussion and Analysis of Financial Condition and Results of Operations</w:t>
      </w:r>
    </w:p>
    <w:p>
      <w:pPr>
        <w:spacing w:after="0" w:line="256"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i w:val="1"/>
          <w:iCs w:val="1"/>
          <w:color w:val="auto"/>
        </w:rPr>
        <w:t>You should read the following discussion and analysis in conjunction with the Interim Financial Statements and the related notes thereto contained in Part I, Item 1 of this Quarterly Report on Form 10-Q (this “Quarterly Report”). The information contained in this Quarterly Report is not a complete description of our business or the risks associated with an investment in our common stock. We urge you to carefully review and consider the various disclosures made by us in this Quarterly Report and in our other reports filed with the Securities and Exchange Commission (“SEC”), including our Annual Report on Form 10-K for the year ended December 31, 2021 (the “2021 Annual Report”), which discusses our business and related risks in greater detail, as well as subsequent reports we may file from time to time on Form 10-K, Form 10-Q and 8-K, for additional information. The section entitled “Risk Factors” filed within our 2021 Annual Report describes some of the important risk factors that may affect our business, financial condition, results of operations and/or liquidity. You should carefully consider those risks, in addition to the other information in this Quarterly Report and in our other filings with the SEC, before deciding to purchase, hold or sell our common stock.</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Special Note About Forward-Looking Statements</w:t>
      </w:r>
    </w:p>
    <w:p>
      <w:pPr>
        <w:spacing w:after="0" w:line="229" w:lineRule="exact"/>
        <w:rPr>
          <w:sz w:val="20"/>
          <w:szCs w:val="20"/>
          <w:color w:val="auto"/>
        </w:rPr>
      </w:pPr>
    </w:p>
    <w:p>
      <w:pPr>
        <w:jc w:val="both"/>
        <w:ind w:firstLine="212"/>
        <w:spacing w:after="0" w:line="269" w:lineRule="auto"/>
        <w:rPr>
          <w:sz w:val="20"/>
          <w:szCs w:val="20"/>
          <w:color w:val="auto"/>
        </w:rPr>
      </w:pPr>
      <w:r>
        <w:rPr>
          <w:rFonts w:ascii="Arial" w:cs="Arial" w:eastAsia="Arial" w:hAnsi="Arial"/>
          <w:sz w:val="17"/>
          <w:szCs w:val="17"/>
          <w:color w:val="auto"/>
        </w:rPr>
        <w:t>This Quarterly Report contains “forward-looking statements” within the meaning of the safe harbor provisions of the U.S. Private Securities Litigation Reform Act of 1995, that are based on our management’s beliefs and assumptions and on information currently available to our management. Forward-looking statements include all statements that are not historical facts and can be identified by the use of forward-looking terminology such as the words “outlook,” “believes,” “expects,” “potential,” “continues,” “may,” “might,” “will,” “should,” “could,” “seeks,” “approximately,” “goals,” “future,” “projects,” “predicts,” “guidance,” “target,” “intends,” “plans,” “estimates,” “anticipates”, the negative version of these words or other comparable words. Forward-looking statements include, but are not limited to, statements related to our expectations regarding the performance of our business, our financial results, our liquidity and capital resources, the effects of competition and the effects of future legislation or regulations and other non-historical statements. Additionally, many of these risks and uncertainties are currently amplified by and will continue to be amplified by, or in the future may be amplified by, the COVID-19 outbreak. The developments with respect to the spread of COVID-19 and its impacts have occurred rapidly, and because of the unprecedented nature of the pandemic, we are unable to predict the extent and duration of the adverse financial impact of COVID-19 on our business, financial condition and results of operations.</w:t>
      </w:r>
    </w:p>
    <w:p>
      <w:pPr>
        <w:spacing w:after="0" w:line="209" w:lineRule="exact"/>
        <w:rPr>
          <w:sz w:val="20"/>
          <w:szCs w:val="20"/>
          <w:color w:val="auto"/>
        </w:rPr>
      </w:pPr>
    </w:p>
    <w:p>
      <w:pPr>
        <w:jc w:val="both"/>
        <w:ind w:firstLine="257"/>
        <w:spacing w:after="0" w:line="263" w:lineRule="auto"/>
        <w:rPr>
          <w:sz w:val="20"/>
          <w:szCs w:val="20"/>
          <w:color w:val="auto"/>
        </w:rPr>
      </w:pPr>
      <w:r>
        <w:rPr>
          <w:rFonts w:ascii="Arial" w:cs="Arial" w:eastAsia="Arial" w:hAnsi="Arial"/>
          <w:sz w:val="18"/>
          <w:szCs w:val="18"/>
          <w:color w:val="auto"/>
        </w:rPr>
        <w:t>The risk factors discussed in this Quarterly Report and the 2021 Annual Report under the heading “Risk Factors,” could cause our results to differ materially from those expressed in forward-looking statements. Factors that could cause actual results to differ materially from those in the forward-looking statements include, but are not limited to:</w:t>
      </w:r>
    </w:p>
    <w:p>
      <w:pPr>
        <w:spacing w:after="0" w:line="211" w:lineRule="exact"/>
        <w:rPr>
          <w:sz w:val="20"/>
          <w:szCs w:val="20"/>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uncertainties related to the lingering effect of the COVID-19 pandemic;</w:t>
      </w:r>
    </w:p>
    <w:p>
      <w:pPr>
        <w:spacing w:after="0" w:line="117" w:lineRule="exact"/>
        <w:rPr>
          <w:rFonts w:ascii="Arial" w:cs="Arial" w:eastAsia="Arial" w:hAnsi="Arial"/>
          <w:sz w:val="18"/>
          <w:szCs w:val="18"/>
          <w:color w:val="auto"/>
        </w:rPr>
      </w:pPr>
    </w:p>
    <w:p>
      <w:pPr>
        <w:ind w:left="660" w:right="80" w:hanging="328"/>
        <w:spacing w:after="0" w:line="342" w:lineRule="auto"/>
        <w:tabs>
          <w:tab w:leader="none" w:pos="655" w:val="left"/>
        </w:tabs>
        <w:numPr>
          <w:ilvl w:val="0"/>
          <w:numId w:val="16"/>
        </w:numPr>
        <w:rPr>
          <w:rFonts w:ascii="Arial" w:cs="Arial" w:eastAsia="Arial" w:hAnsi="Arial"/>
          <w:sz w:val="16"/>
          <w:szCs w:val="16"/>
          <w:color w:val="auto"/>
        </w:rPr>
      </w:pPr>
      <w:r>
        <w:rPr>
          <w:rFonts w:ascii="Arial" w:cs="Arial" w:eastAsia="Arial" w:hAnsi="Arial"/>
          <w:sz w:val="16"/>
          <w:szCs w:val="16"/>
          <w:color w:val="auto"/>
        </w:rPr>
        <w:t>difficulty complying with state and federal vaccination mandates, which widely vary, the enforcement of which is in flux, and the potential effects of such vaccine mandates on our business, including our ability to retain and hire staff and maintain residents of our senior living communities;</w:t>
      </w:r>
    </w:p>
    <w:p>
      <w:pPr>
        <w:spacing w:after="0" w:line="15" w:lineRule="exact"/>
        <w:rPr>
          <w:rFonts w:ascii="Arial" w:cs="Arial" w:eastAsia="Arial" w:hAnsi="Arial"/>
          <w:sz w:val="16"/>
          <w:szCs w:val="16"/>
          <w:color w:val="auto"/>
        </w:rPr>
      </w:pPr>
    </w:p>
    <w:p>
      <w:pPr>
        <w:ind w:left="660" w:hanging="328"/>
        <w:spacing w:after="0" w:line="277" w:lineRule="auto"/>
        <w:tabs>
          <w:tab w:leader="none" w:pos="655" w:val="left"/>
        </w:tabs>
        <w:numPr>
          <w:ilvl w:val="0"/>
          <w:numId w:val="16"/>
        </w:numPr>
        <w:rPr>
          <w:rFonts w:ascii="Arial" w:cs="Arial" w:eastAsia="Arial" w:hAnsi="Arial"/>
          <w:sz w:val="18"/>
          <w:szCs w:val="18"/>
          <w:color w:val="auto"/>
        </w:rPr>
      </w:pPr>
      <w:r>
        <w:rPr>
          <w:rFonts w:ascii="Arial" w:cs="Arial" w:eastAsia="Arial" w:hAnsi="Arial"/>
          <w:sz w:val="18"/>
          <w:szCs w:val="18"/>
          <w:color w:val="auto"/>
        </w:rPr>
        <w:t>uncertainties related to the end of the COVID-19 public health emergency declared by federal and state authorities, and the ongoing expiration of certain waivers granted during that emergency prior to its termination;</w:t>
      </w:r>
    </w:p>
    <w:p>
      <w:pPr>
        <w:spacing w:after="0" w:line="62" w:lineRule="exact"/>
        <w:rPr>
          <w:rFonts w:ascii="Arial" w:cs="Arial" w:eastAsia="Arial" w:hAnsi="Arial"/>
          <w:sz w:val="18"/>
          <w:szCs w:val="18"/>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federal and state changes to, or delays receiving, reimbursement and other aspects of Medicaid and Medicare;</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changes in the regulations affecting the healthcare industry;</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6"/>
        </w:numPr>
        <w:rPr>
          <w:rFonts w:ascii="Arial" w:cs="Arial" w:eastAsia="Arial" w:hAnsi="Arial"/>
          <w:sz w:val="16"/>
          <w:szCs w:val="16"/>
          <w:color w:val="auto"/>
        </w:rPr>
      </w:pPr>
      <w:r>
        <w:rPr>
          <w:rFonts w:ascii="Arial" w:cs="Arial" w:eastAsia="Arial" w:hAnsi="Arial"/>
          <w:sz w:val="16"/>
          <w:szCs w:val="16"/>
          <w:color w:val="auto"/>
        </w:rPr>
        <w:t>proposed changes to payment models and reimbursement amounts within the Medicare and Medicaid fee schedules for future calendar years;</w:t>
      </w:r>
    </w:p>
    <w:p>
      <w:pPr>
        <w:spacing w:after="0" w:line="140" w:lineRule="exact"/>
        <w:rPr>
          <w:rFonts w:ascii="Arial" w:cs="Arial" w:eastAsia="Arial" w:hAnsi="Arial"/>
          <w:sz w:val="16"/>
          <w:szCs w:val="16"/>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potential additional regulation affecting the ownership, operating standards, and staffing of businesses in our industry;</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increases in the federal income tax rate;</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increased competition and increased cost of acquisition or retention for, or a shortage of, skilled personnel;</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government reviews, audits and investigations of our business;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changes in federal and state employment related laws;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compliance with state and federal employment, immigration, licensing and other laws;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competition from other healthcare providers;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actions of national labor unions;</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7" w:name="page28"/>
    <w:bookmarkEnd w:id="27"/>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63" w:lineRule="exact"/>
        <w:rPr>
          <w:sz w:val="20"/>
          <w:szCs w:val="20"/>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leases of our affiliated senior living communities;</w:t>
      </w:r>
    </w:p>
    <w:p>
      <w:pPr>
        <w:spacing w:after="0" w:line="117" w:lineRule="exact"/>
        <w:rPr>
          <w:rFonts w:ascii="Arial" w:cs="Arial" w:eastAsia="Arial" w:hAnsi="Arial"/>
          <w:sz w:val="18"/>
          <w:szCs w:val="18"/>
          <w:color w:val="auto"/>
        </w:rPr>
      </w:pPr>
    </w:p>
    <w:p>
      <w:pPr>
        <w:ind w:left="660" w:hanging="328"/>
        <w:spacing w:after="0" w:line="277" w:lineRule="auto"/>
        <w:tabs>
          <w:tab w:leader="none" w:pos="655" w:val="left"/>
        </w:tabs>
        <w:numPr>
          <w:ilvl w:val="0"/>
          <w:numId w:val="17"/>
        </w:numPr>
        <w:rPr>
          <w:rFonts w:ascii="Arial" w:cs="Arial" w:eastAsia="Arial" w:hAnsi="Arial"/>
          <w:sz w:val="18"/>
          <w:szCs w:val="18"/>
          <w:color w:val="auto"/>
        </w:rPr>
      </w:pPr>
      <w:r>
        <w:rPr>
          <w:rFonts w:ascii="Arial" w:cs="Arial" w:eastAsia="Arial" w:hAnsi="Arial"/>
          <w:sz w:val="18"/>
          <w:szCs w:val="18"/>
          <w:color w:val="auto"/>
        </w:rPr>
        <w:t>inability to complete future community or business acquisitions and failure to successfully integrate acquired communities and businesses into our operations;</w:t>
      </w:r>
    </w:p>
    <w:p>
      <w:pPr>
        <w:spacing w:after="0" w:line="102" w:lineRule="exact"/>
        <w:rPr>
          <w:rFonts w:ascii="Arial" w:cs="Arial" w:eastAsia="Arial" w:hAnsi="Arial"/>
          <w:sz w:val="18"/>
          <w:szCs w:val="18"/>
          <w:color w:val="auto"/>
        </w:rPr>
      </w:pPr>
    </w:p>
    <w:p>
      <w:pPr>
        <w:ind w:left="660" w:hanging="328"/>
        <w:spacing w:after="0" w:line="232" w:lineRule="auto"/>
        <w:tabs>
          <w:tab w:leader="none" w:pos="655" w:val="left"/>
        </w:tabs>
        <w:numPr>
          <w:ilvl w:val="0"/>
          <w:numId w:val="17"/>
        </w:numPr>
        <w:rPr>
          <w:rFonts w:ascii="Arial" w:cs="Arial" w:eastAsia="Arial" w:hAnsi="Arial"/>
          <w:sz w:val="22"/>
          <w:szCs w:val="22"/>
          <w:color w:val="auto"/>
        </w:rPr>
      </w:pPr>
      <w:r>
        <w:rPr>
          <w:rFonts w:ascii="Arial" w:cs="Arial" w:eastAsia="Arial" w:hAnsi="Arial"/>
          <w:sz w:val="18"/>
          <w:szCs w:val="18"/>
          <w:color w:val="auto"/>
        </w:rPr>
        <w:t>general economic conditions, including inflation and increasing interest rates, which raise the costs of goods and borrowing capital, which may affect the delivery and affordability of our services;</w:t>
      </w:r>
    </w:p>
    <w:p>
      <w:pPr>
        <w:spacing w:after="0" w:line="95" w:lineRule="exact"/>
        <w:rPr>
          <w:rFonts w:ascii="Arial" w:cs="Arial" w:eastAsia="Arial" w:hAnsi="Arial"/>
          <w:sz w:val="22"/>
          <w:szCs w:val="22"/>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security breaches and other cyber security incidents;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performance of the financial and credit markets; and,</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uncertainties related to our ability to obtain financing or the terms of such financing.</w:t>
      </w:r>
    </w:p>
    <w:p>
      <w:pPr>
        <w:spacing w:after="0" w:line="252" w:lineRule="exact"/>
        <w:rPr>
          <w:sz w:val="20"/>
          <w:szCs w:val="20"/>
          <w:color w:val="auto"/>
        </w:rPr>
      </w:pPr>
    </w:p>
    <w:p>
      <w:pPr>
        <w:jc w:val="both"/>
        <w:ind w:firstLine="237"/>
        <w:spacing w:after="0" w:line="311" w:lineRule="auto"/>
        <w:rPr>
          <w:sz w:val="20"/>
          <w:szCs w:val="20"/>
          <w:color w:val="auto"/>
        </w:rPr>
      </w:pPr>
      <w:r>
        <w:rPr>
          <w:rFonts w:ascii="Arial" w:cs="Arial" w:eastAsia="Arial" w:hAnsi="Arial"/>
          <w:sz w:val="16"/>
          <w:szCs w:val="16"/>
          <w:color w:val="auto"/>
        </w:rPr>
        <w:t>Forward-looking statements involve risks, uncertainties and assumptions. Actual results may differ materially from those expressed in these forward-looking statements. You should not place undue reliance on any forward-looking statements in this Quarterly Report. Although we may from time to time voluntarily update our prior forward-looking statements, we disclaim any commitment to do so except as required by applicable securities laws.</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56" w:lineRule="exact"/>
        <w:rPr>
          <w:sz w:val="20"/>
          <w:szCs w:val="20"/>
          <w:color w:val="auto"/>
        </w:rPr>
      </w:pPr>
    </w:p>
    <w:p>
      <w:pPr>
        <w:jc w:val="both"/>
        <w:ind w:firstLine="648"/>
        <w:spacing w:after="0" w:line="296" w:lineRule="auto"/>
        <w:rPr>
          <w:sz w:val="20"/>
          <w:szCs w:val="20"/>
          <w:color w:val="auto"/>
        </w:rPr>
      </w:pPr>
      <w:r>
        <w:rPr>
          <w:rFonts w:ascii="Arial" w:cs="Arial" w:eastAsia="Arial" w:hAnsi="Arial"/>
          <w:sz w:val="16"/>
          <w:szCs w:val="16"/>
          <w:color w:val="auto"/>
        </w:rPr>
        <w:t>We are a leading provider of high-quality healthcare services to patients of all ages, including the growing senior population, in the United States. We strive to be the provider of choice in the communities we serve through our innovative operating model. We operate in multiple lines of businesses including home health, hospice and senior living services across Arizona, California, Colorado, Idaho, Iowa, Montana, Nevada, Oklahoma, Oregon, Texas, Utah, Washington, Wisconsin and Wyoming. As of September 30, 2022, our home health and hospice business provided home health, hospice and home care services from 94 agencies operating across these 14 states, and our senior living business operated 49 senior living communities throughout six states.</w:t>
      </w:r>
    </w:p>
    <w:p>
      <w:pPr>
        <w:spacing w:after="0" w:line="18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summarizes our affiliated home health and hospice agencies and senior living communities as of:</w:t>
      </w:r>
    </w:p>
    <w:p>
      <w:pPr>
        <w:spacing w:after="0" w:line="4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320" w:type="dxa"/>
            <w:vAlign w:val="bottom"/>
          </w:tcPr>
          <w:p>
            <w:pPr>
              <w:spacing w:after="0"/>
              <w:rPr>
                <w:sz w:val="20"/>
                <w:szCs w:val="20"/>
                <w:color w:val="auto"/>
              </w:rPr>
            </w:pPr>
          </w:p>
        </w:tc>
        <w:tc>
          <w:tcPr>
            <w:tcW w:w="72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600" w:type="dxa"/>
            <w:vAlign w:val="bottom"/>
            <w:tcBorders>
              <w:bottom w:val="single" w:sz="8" w:color="auto"/>
            </w:tcBorders>
            <w:gridSpan w:val="4"/>
          </w:tcPr>
          <w:p>
            <w:pPr>
              <w:ind w:left="240"/>
              <w:spacing w:after="0"/>
              <w:rPr>
                <w:sz w:val="20"/>
                <w:szCs w:val="20"/>
                <w:color w:val="auto"/>
              </w:rPr>
            </w:pPr>
            <w:r>
              <w:rPr>
                <w:rFonts w:ascii="Arial" w:cs="Arial" w:eastAsia="Arial" w:hAnsi="Arial"/>
                <w:sz w:val="18"/>
                <w:szCs w:val="18"/>
                <w:b w:val="1"/>
                <w:bCs w:val="1"/>
                <w:color w:val="auto"/>
              </w:rPr>
              <w:t>December 31,</w:t>
            </w:r>
          </w:p>
        </w:tc>
        <w:tc>
          <w:tcPr>
            <w:tcW w:w="70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48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b w:val="1"/>
                <w:bCs w:val="1"/>
                <w:color w:val="auto"/>
              </w:rPr>
              <w:t>September 30,</w:t>
            </w:r>
          </w:p>
        </w:tc>
      </w:tr>
      <w:tr>
        <w:trPr>
          <w:trHeight w:val="223"/>
        </w:trPr>
        <w:tc>
          <w:tcPr>
            <w:tcW w:w="3320" w:type="dxa"/>
            <w:vAlign w:val="bottom"/>
            <w:tcBorders>
              <w:bottom w:val="single" w:sz="8" w:color="CCEEFF"/>
            </w:tcBorders>
          </w:tcPr>
          <w:p>
            <w:pPr>
              <w:spacing w:after="0"/>
              <w:rPr>
                <w:sz w:val="19"/>
                <w:szCs w:val="19"/>
                <w:color w:val="auto"/>
              </w:rPr>
            </w:pPr>
          </w:p>
        </w:tc>
        <w:tc>
          <w:tcPr>
            <w:tcW w:w="72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b w:val="1"/>
                <w:bCs w:val="1"/>
                <w:color w:val="auto"/>
              </w:rPr>
              <w:t>2014</w:t>
            </w:r>
          </w:p>
        </w:tc>
        <w:tc>
          <w:tcPr>
            <w:tcW w:w="80" w:type="dxa"/>
            <w:vAlign w:val="bottom"/>
            <w:tcBorders>
              <w:bottom w:val="single" w:sz="8" w:color="CCEEFF"/>
            </w:tcBorders>
          </w:tcPr>
          <w:p>
            <w:pPr>
              <w:spacing w:after="0"/>
              <w:rPr>
                <w:sz w:val="19"/>
                <w:szCs w:val="19"/>
                <w:color w:val="auto"/>
              </w:rPr>
            </w:pPr>
          </w:p>
        </w:tc>
        <w:tc>
          <w:tcPr>
            <w:tcW w:w="70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rPr>
              <w:t>2015</w:t>
            </w:r>
          </w:p>
        </w:tc>
        <w:tc>
          <w:tcPr>
            <w:tcW w:w="100" w:type="dxa"/>
            <w:vAlign w:val="bottom"/>
            <w:tcBorders>
              <w:bottom w:val="single" w:sz="8" w:color="CCEEFF"/>
            </w:tcBorders>
          </w:tcPr>
          <w:p>
            <w:pPr>
              <w:spacing w:after="0"/>
              <w:rPr>
                <w:sz w:val="19"/>
                <w:szCs w:val="19"/>
                <w:color w:val="auto"/>
              </w:rPr>
            </w:pPr>
          </w:p>
        </w:tc>
        <w:tc>
          <w:tcPr>
            <w:tcW w:w="70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rPr>
              <w:t>2016</w:t>
            </w:r>
          </w:p>
        </w:tc>
        <w:tc>
          <w:tcPr>
            <w:tcW w:w="100" w:type="dxa"/>
            <w:vAlign w:val="bottom"/>
            <w:tcBorders>
              <w:bottom w:val="single" w:sz="8" w:color="CCEEFF"/>
            </w:tcBorders>
          </w:tcPr>
          <w:p>
            <w:pPr>
              <w:spacing w:after="0"/>
              <w:rPr>
                <w:sz w:val="19"/>
                <w:szCs w:val="19"/>
                <w:color w:val="auto"/>
              </w:rPr>
            </w:pPr>
          </w:p>
        </w:tc>
        <w:tc>
          <w:tcPr>
            <w:tcW w:w="7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b w:val="1"/>
                <w:bCs w:val="1"/>
                <w:color w:val="auto"/>
              </w:rPr>
              <w:t>2017</w:t>
            </w:r>
          </w:p>
        </w:tc>
        <w:tc>
          <w:tcPr>
            <w:tcW w:w="100" w:type="dxa"/>
            <w:vAlign w:val="bottom"/>
            <w:tcBorders>
              <w:bottom w:val="single" w:sz="8" w:color="CCEEFF"/>
            </w:tcBorders>
          </w:tcPr>
          <w:p>
            <w:pPr>
              <w:spacing w:after="0"/>
              <w:rPr>
                <w:sz w:val="19"/>
                <w:szCs w:val="19"/>
                <w:color w:val="auto"/>
              </w:rPr>
            </w:pPr>
          </w:p>
        </w:tc>
        <w:tc>
          <w:tcPr>
            <w:tcW w:w="7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b w:val="1"/>
                <w:bCs w:val="1"/>
                <w:color w:val="auto"/>
              </w:rPr>
              <w:t>2018</w:t>
            </w:r>
          </w:p>
        </w:tc>
        <w:tc>
          <w:tcPr>
            <w:tcW w:w="100" w:type="dxa"/>
            <w:vAlign w:val="bottom"/>
            <w:tcBorders>
              <w:bottom w:val="single" w:sz="8" w:color="CCEEFF"/>
            </w:tcBorders>
          </w:tcPr>
          <w:p>
            <w:pPr>
              <w:spacing w:after="0"/>
              <w:rPr>
                <w:sz w:val="19"/>
                <w:szCs w:val="19"/>
                <w:color w:val="auto"/>
              </w:rPr>
            </w:pPr>
          </w:p>
        </w:tc>
        <w:tc>
          <w:tcPr>
            <w:tcW w:w="7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b w:val="1"/>
                <w:bCs w:val="1"/>
                <w:color w:val="auto"/>
              </w:rPr>
              <w:t>2019</w:t>
            </w:r>
          </w:p>
        </w:tc>
        <w:tc>
          <w:tcPr>
            <w:tcW w:w="100" w:type="dxa"/>
            <w:vAlign w:val="bottom"/>
            <w:tcBorders>
              <w:bottom w:val="single" w:sz="8" w:color="CCEEFF"/>
            </w:tcBorders>
          </w:tcPr>
          <w:p>
            <w:pPr>
              <w:spacing w:after="0"/>
              <w:rPr>
                <w:sz w:val="19"/>
                <w:szCs w:val="19"/>
                <w:color w:val="auto"/>
              </w:rPr>
            </w:pPr>
          </w:p>
        </w:tc>
        <w:tc>
          <w:tcPr>
            <w:tcW w:w="72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b w:val="1"/>
                <w:bCs w:val="1"/>
                <w:color w:val="auto"/>
              </w:rPr>
              <w:t>2020</w:t>
            </w:r>
          </w:p>
        </w:tc>
        <w:tc>
          <w:tcPr>
            <w:tcW w:w="100" w:type="dxa"/>
            <w:vAlign w:val="bottom"/>
            <w:tcBorders>
              <w:bottom w:val="single" w:sz="8" w:color="CCEEFF"/>
            </w:tcBorders>
          </w:tcPr>
          <w:p>
            <w:pPr>
              <w:spacing w:after="0"/>
              <w:rPr>
                <w:sz w:val="19"/>
                <w:szCs w:val="19"/>
                <w:color w:val="auto"/>
              </w:rPr>
            </w:pPr>
          </w:p>
        </w:tc>
        <w:tc>
          <w:tcPr>
            <w:tcW w:w="7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b w:val="1"/>
                <w:bCs w:val="1"/>
                <w:color w:val="auto"/>
              </w:rPr>
              <w:t>2021</w:t>
            </w:r>
          </w:p>
        </w:tc>
        <w:tc>
          <w:tcPr>
            <w:tcW w:w="120" w:type="dxa"/>
            <w:vAlign w:val="bottom"/>
            <w:tcBorders>
              <w:bottom w:val="single" w:sz="8" w:color="CCEEFF"/>
            </w:tcBorders>
          </w:tcPr>
          <w:p>
            <w:pPr>
              <w:spacing w:after="0"/>
              <w:rPr>
                <w:sz w:val="19"/>
                <w:szCs w:val="19"/>
                <w:color w:val="auto"/>
              </w:rPr>
            </w:pPr>
          </w:p>
        </w:tc>
        <w:tc>
          <w:tcPr>
            <w:tcW w:w="148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2022</w:t>
            </w:r>
          </w:p>
        </w:tc>
      </w:tr>
      <w:tr>
        <w:trPr>
          <w:trHeight w:val="223"/>
        </w:trPr>
        <w:tc>
          <w:tcPr>
            <w:tcW w:w="3320" w:type="dxa"/>
            <w:vAlign w:val="bottom"/>
            <w:shd w:val="clear" w:color="auto" w:fill="CCEEFF"/>
          </w:tcPr>
          <w:p>
            <w:pPr>
              <w:ind w:left="20"/>
              <w:spacing w:after="0"/>
              <w:rPr>
                <w:sz w:val="20"/>
                <w:szCs w:val="20"/>
                <w:color w:val="auto"/>
              </w:rPr>
            </w:pPr>
            <w:r>
              <w:rPr>
                <w:rFonts w:ascii="Arial" w:cs="Arial" w:eastAsia="Arial" w:hAnsi="Arial"/>
                <w:sz w:val="18"/>
                <w:szCs w:val="18"/>
                <w:color w:val="auto"/>
              </w:rPr>
              <w:t>Home health and hospice agencies</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8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w:t>
            </w:r>
          </w:p>
        </w:tc>
        <w:tc>
          <w:tcPr>
            <w:tcW w:w="10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w:t>
            </w:r>
          </w:p>
        </w:tc>
        <w:tc>
          <w:tcPr>
            <w:tcW w:w="10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w:t>
            </w:r>
          </w:p>
        </w:tc>
        <w:tc>
          <w:tcPr>
            <w:tcW w:w="10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w:t>
            </w:r>
          </w:p>
        </w:tc>
        <w:tc>
          <w:tcPr>
            <w:tcW w:w="10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w:t>
            </w:r>
          </w:p>
        </w:tc>
        <w:tc>
          <w:tcPr>
            <w:tcW w:w="10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w:t>
            </w:r>
          </w:p>
        </w:tc>
        <w:tc>
          <w:tcPr>
            <w:tcW w:w="10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w:t>
            </w:r>
          </w:p>
        </w:tc>
        <w:tc>
          <w:tcPr>
            <w:tcW w:w="12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w:t>
            </w:r>
          </w:p>
        </w:tc>
      </w:tr>
      <w:tr>
        <w:trPr>
          <w:trHeight w:val="229"/>
        </w:trPr>
        <w:tc>
          <w:tcPr>
            <w:tcW w:w="3320" w:type="dxa"/>
            <w:vAlign w:val="bottom"/>
          </w:tcPr>
          <w:p>
            <w:pPr>
              <w:ind w:left="20"/>
              <w:spacing w:after="0"/>
              <w:rPr>
                <w:sz w:val="20"/>
                <w:szCs w:val="20"/>
                <w:color w:val="auto"/>
              </w:rPr>
            </w:pPr>
            <w:r>
              <w:rPr>
                <w:rFonts w:ascii="Arial" w:cs="Arial" w:eastAsia="Arial" w:hAnsi="Arial"/>
                <w:sz w:val="18"/>
                <w:szCs w:val="18"/>
                <w:color w:val="auto"/>
              </w:rPr>
              <w:t>Senior living communities</w:t>
            </w:r>
          </w:p>
        </w:tc>
        <w:tc>
          <w:tcPr>
            <w:tcW w:w="720" w:type="dxa"/>
            <w:vAlign w:val="bottom"/>
          </w:tcPr>
          <w:p>
            <w:pPr>
              <w:jc w:val="right"/>
              <w:spacing w:after="0"/>
              <w:rPr>
                <w:sz w:val="20"/>
                <w:szCs w:val="20"/>
                <w:color w:val="auto"/>
              </w:rPr>
            </w:pPr>
            <w:r>
              <w:rPr>
                <w:rFonts w:ascii="Arial" w:cs="Arial" w:eastAsia="Arial" w:hAnsi="Arial"/>
                <w:sz w:val="18"/>
                <w:szCs w:val="18"/>
                <w:color w:val="auto"/>
              </w:rPr>
              <w:t>15</w:t>
            </w:r>
          </w:p>
        </w:tc>
        <w:tc>
          <w:tcPr>
            <w:tcW w:w="8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36</w:t>
            </w:r>
          </w:p>
        </w:tc>
        <w:tc>
          <w:tcPr>
            <w:tcW w:w="1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36</w:t>
            </w:r>
          </w:p>
        </w:tc>
        <w:tc>
          <w:tcPr>
            <w:tcW w:w="1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43</w:t>
            </w:r>
          </w:p>
        </w:tc>
        <w:tc>
          <w:tcPr>
            <w:tcW w:w="1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50</w:t>
            </w:r>
          </w:p>
        </w:tc>
        <w:tc>
          <w:tcPr>
            <w:tcW w:w="1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52</w:t>
            </w:r>
          </w:p>
        </w:tc>
        <w:tc>
          <w:tcPr>
            <w:tcW w:w="1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54</w:t>
            </w:r>
          </w:p>
        </w:tc>
        <w:tc>
          <w:tcPr>
            <w:tcW w:w="1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54</w:t>
            </w:r>
          </w:p>
        </w:tc>
        <w:tc>
          <w:tcPr>
            <w:tcW w:w="12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49</w:t>
            </w:r>
          </w:p>
        </w:tc>
      </w:tr>
      <w:tr>
        <w:trPr>
          <w:trHeight w:val="230"/>
        </w:trPr>
        <w:tc>
          <w:tcPr>
            <w:tcW w:w="332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Senior living units</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1,587</w:t>
            </w:r>
          </w:p>
        </w:tc>
        <w:tc>
          <w:tcPr>
            <w:tcW w:w="8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3,184</w:t>
            </w:r>
          </w:p>
        </w:tc>
        <w:tc>
          <w:tcPr>
            <w:tcW w:w="10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3,184</w:t>
            </w:r>
          </w:p>
        </w:tc>
        <w:tc>
          <w:tcPr>
            <w:tcW w:w="10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3,434</w:t>
            </w:r>
          </w:p>
        </w:tc>
        <w:tc>
          <w:tcPr>
            <w:tcW w:w="10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3,820</w:t>
            </w:r>
          </w:p>
        </w:tc>
        <w:tc>
          <w:tcPr>
            <w:tcW w:w="10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3,963</w:t>
            </w:r>
          </w:p>
        </w:tc>
        <w:tc>
          <w:tcPr>
            <w:tcW w:w="10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4,127</w:t>
            </w:r>
          </w:p>
        </w:tc>
        <w:tc>
          <w:tcPr>
            <w:tcW w:w="10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4,127</w:t>
            </w:r>
          </w:p>
        </w:tc>
        <w:tc>
          <w:tcPr>
            <w:tcW w:w="12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3,500</w:t>
            </w:r>
          </w:p>
        </w:tc>
      </w:tr>
      <w:tr>
        <w:trPr>
          <w:trHeight w:val="188"/>
        </w:trPr>
        <w:tc>
          <w:tcPr>
            <w:tcW w:w="3320" w:type="dxa"/>
            <w:vAlign w:val="bottom"/>
          </w:tcPr>
          <w:p>
            <w:pPr>
              <w:ind w:left="20"/>
              <w:spacing w:after="0" w:line="189" w:lineRule="exact"/>
              <w:rPr>
                <w:sz w:val="20"/>
                <w:szCs w:val="20"/>
                <w:color w:val="auto"/>
              </w:rPr>
            </w:pPr>
            <w:r>
              <w:rPr>
                <w:rFonts w:ascii="Arial" w:cs="Arial" w:eastAsia="Arial" w:hAnsi="Arial"/>
                <w:sz w:val="18"/>
                <w:szCs w:val="18"/>
                <w:color w:val="auto"/>
                <w:w w:val="95"/>
              </w:rPr>
              <w:t>Total number of home health, hospice, and</w:t>
            </w:r>
          </w:p>
        </w:tc>
        <w:tc>
          <w:tcPr>
            <w:tcW w:w="7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80" w:type="dxa"/>
            <w:vAlign w:val="bottom"/>
          </w:tcPr>
          <w:p>
            <w:pPr>
              <w:spacing w:after="0"/>
              <w:rPr>
                <w:sz w:val="16"/>
                <w:szCs w:val="16"/>
                <w:color w:val="auto"/>
              </w:rPr>
            </w:pPr>
          </w:p>
        </w:tc>
      </w:tr>
      <w:tr>
        <w:trPr>
          <w:trHeight w:val="230"/>
        </w:trPr>
        <w:tc>
          <w:tcPr>
            <w:tcW w:w="3320" w:type="dxa"/>
            <w:vAlign w:val="bottom"/>
          </w:tcPr>
          <w:p>
            <w:pPr>
              <w:ind w:left="20"/>
              <w:spacing w:after="0"/>
              <w:rPr>
                <w:sz w:val="20"/>
                <w:szCs w:val="20"/>
                <w:color w:val="auto"/>
              </w:rPr>
            </w:pPr>
            <w:r>
              <w:rPr>
                <w:rFonts w:ascii="Arial" w:cs="Arial" w:eastAsia="Arial" w:hAnsi="Arial"/>
                <w:sz w:val="18"/>
                <w:szCs w:val="18"/>
                <w:color w:val="auto"/>
              </w:rPr>
              <w:t>senior living operations</w:t>
            </w:r>
          </w:p>
        </w:tc>
        <w:tc>
          <w:tcPr>
            <w:tcW w:w="720" w:type="dxa"/>
            <w:vAlign w:val="bottom"/>
          </w:tcPr>
          <w:p>
            <w:pPr>
              <w:jc w:val="right"/>
              <w:spacing w:after="0"/>
              <w:rPr>
                <w:sz w:val="20"/>
                <w:szCs w:val="20"/>
                <w:color w:val="auto"/>
              </w:rPr>
            </w:pPr>
            <w:r>
              <w:rPr>
                <w:rFonts w:ascii="Arial" w:cs="Arial" w:eastAsia="Arial" w:hAnsi="Arial"/>
                <w:sz w:val="18"/>
                <w:szCs w:val="18"/>
                <w:color w:val="auto"/>
              </w:rPr>
              <w:t>40</w:t>
            </w:r>
          </w:p>
        </w:tc>
        <w:tc>
          <w:tcPr>
            <w:tcW w:w="8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68</w:t>
            </w:r>
          </w:p>
        </w:tc>
        <w:tc>
          <w:tcPr>
            <w:tcW w:w="10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75</w:t>
            </w:r>
          </w:p>
        </w:tc>
        <w:tc>
          <w:tcPr>
            <w:tcW w:w="10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89</w:t>
            </w:r>
          </w:p>
        </w:tc>
        <w:tc>
          <w:tcPr>
            <w:tcW w:w="10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104</w:t>
            </w:r>
          </w:p>
        </w:tc>
        <w:tc>
          <w:tcPr>
            <w:tcW w:w="10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115</w:t>
            </w:r>
          </w:p>
        </w:tc>
        <w:tc>
          <w:tcPr>
            <w:tcW w:w="10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130</w:t>
            </w:r>
          </w:p>
        </w:tc>
        <w:tc>
          <w:tcPr>
            <w:tcW w:w="10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142</w:t>
            </w:r>
          </w:p>
        </w:tc>
        <w:tc>
          <w:tcPr>
            <w:tcW w:w="120" w:type="dxa"/>
            <w:vAlign w:val="bottom"/>
          </w:tcPr>
          <w:p>
            <w:pPr>
              <w:spacing w:after="0"/>
              <w:rPr>
                <w:sz w:val="20"/>
                <w:szCs w:val="20"/>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143</w:t>
            </w:r>
          </w:p>
        </w:tc>
      </w:tr>
    </w:tbl>
    <w:p>
      <w:pPr>
        <w:spacing w:after="0" w:line="319"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COVID-19</w:t>
      </w:r>
    </w:p>
    <w:p>
      <w:pPr>
        <w:spacing w:after="0" w:line="256"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We have been, and we expect to continue to be, impacted by several factors related to the viral disease known as COVID-19 (“COVID-19”) that may cause actual results to differ from our historical results or current expectations. Although global outbreaks of COVID-19 have decreased and best practices for responding to COVID-19 are now better understood, we cannot predict the future course of the virus and its impacts on staffing, on our operating practices, and on our financial results.</w:t>
      </w:r>
    </w:p>
    <w:p>
      <w:pPr>
        <w:spacing w:after="0" w:line="214"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Home Health and Hospice</w:t>
      </w:r>
    </w:p>
    <w:p>
      <w:pPr>
        <w:spacing w:after="0" w:line="239" w:lineRule="exact"/>
        <w:rPr>
          <w:sz w:val="20"/>
          <w:szCs w:val="20"/>
          <w:color w:val="auto"/>
        </w:rPr>
      </w:pPr>
    </w:p>
    <w:p>
      <w:pPr>
        <w:jc w:val="both"/>
        <w:ind w:firstLine="648"/>
        <w:spacing w:after="0" w:line="248" w:lineRule="auto"/>
        <w:rPr>
          <w:sz w:val="20"/>
          <w:szCs w:val="20"/>
          <w:color w:val="auto"/>
        </w:rPr>
      </w:pPr>
      <w:r>
        <w:rPr>
          <w:rFonts w:ascii="Arial" w:cs="Arial" w:eastAsia="Arial" w:hAnsi="Arial"/>
          <w:sz w:val="18"/>
          <w:szCs w:val="18"/>
          <w:color w:val="auto"/>
        </w:rPr>
        <w:t>During the third quarter of 2022, the labor challenges experienced throughout the past year continued with some moderation. For the third quarter of 2022, hospice average discharged length of stay was impacted slightly as a result of a shift of patient referrals from more acute settings, resulting in a modest decline in hospice average length of stay despite an incremental improvement in hospice admissions.</w:t>
      </w:r>
    </w:p>
    <w:p>
      <w:pPr>
        <w:spacing w:after="0" w:line="222"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Senior Living</w:t>
      </w:r>
    </w:p>
    <w:p>
      <w:pPr>
        <w:spacing w:after="0" w:line="252"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COVID-19 continues to impact our senior living business and geographies, including impacts on our residents, team members, vendors and business partners. While our overall senior living occupancy has decreased since the onset of the COVID-19 pandemic due to a greater number of move outs net of move ins, during the third quarter of 2022 we experienced</w:t>
      </w: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8" w:name="page29"/>
    <w:bookmarkEnd w:id="28"/>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6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modest improvement in occupancy. We cannot be sure if or when the occupancy levels in our senior living communities will improve over multiple measurement periods or return to pre-pandemic levels.</w:t>
      </w:r>
    </w:p>
    <w:p>
      <w:pPr>
        <w:spacing w:after="0" w:line="197"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Labor</w:t>
      </w:r>
    </w:p>
    <w:p>
      <w:pPr>
        <w:spacing w:after="0" w:line="252"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Wage rates have increased in response to COVID-driven staffing shortages and the lingering disruption COVID-19 caused to the labor market. We are monitoring the ongoing impact of COVID-19 on labor costs due to increased overtime, premium pay, and temporary labor to supplement existing staffing.</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Activities</w:t>
      </w:r>
    </w:p>
    <w:p>
      <w:pPr>
        <w:spacing w:after="0" w:line="243" w:lineRule="exact"/>
        <w:rPr>
          <w:sz w:val="20"/>
          <w:szCs w:val="20"/>
          <w:color w:val="auto"/>
        </w:rPr>
      </w:pPr>
    </w:p>
    <w:p>
      <w:pPr>
        <w:jc w:val="both"/>
        <w:ind w:right="20" w:firstLine="648"/>
        <w:spacing w:after="0" w:line="263" w:lineRule="auto"/>
        <w:rPr>
          <w:sz w:val="20"/>
          <w:szCs w:val="20"/>
          <w:color w:val="auto"/>
        </w:rPr>
      </w:pPr>
      <w:r>
        <w:rPr>
          <w:rFonts w:ascii="Arial" w:cs="Arial" w:eastAsia="Arial" w:hAnsi="Arial"/>
          <w:sz w:val="18"/>
          <w:szCs w:val="18"/>
          <w:i w:val="1"/>
          <w:iCs w:val="1"/>
          <w:color w:val="auto"/>
        </w:rPr>
        <w:t xml:space="preserve">Acquisitions. </w:t>
      </w:r>
      <w:r>
        <w:rPr>
          <w:rFonts w:ascii="Arial" w:cs="Arial" w:eastAsia="Arial" w:hAnsi="Arial"/>
          <w:sz w:val="18"/>
          <w:szCs w:val="18"/>
          <w:color w:val="auto"/>
        </w:rPr>
        <w:t>During the nine months ended September 30, 2022, we expanded our operations with the addition of two home health and four</w:t>
      </w:r>
      <w:r>
        <w:rPr>
          <w:rFonts w:ascii="Arial" w:cs="Arial" w:eastAsia="Arial" w:hAnsi="Arial"/>
          <w:sz w:val="18"/>
          <w:szCs w:val="18"/>
          <w:i w:val="1"/>
          <w:iCs w:val="1"/>
          <w:color w:val="auto"/>
        </w:rPr>
        <w:t xml:space="preserve"> </w:t>
      </w:r>
      <w:r>
        <w:rPr>
          <w:rFonts w:ascii="Arial" w:cs="Arial" w:eastAsia="Arial" w:hAnsi="Arial"/>
          <w:sz w:val="18"/>
          <w:szCs w:val="18"/>
          <w:color w:val="auto"/>
        </w:rPr>
        <w:t>hospice agencies as well as one senior living community. A subsidiary of the Company entered into a separate operations transfer agreement with the prior operator of the acquired operation as part of each transaction.</w:t>
      </w:r>
    </w:p>
    <w:p>
      <w:pPr>
        <w:spacing w:after="0" w:line="211"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On November 1, 2022, we closed on the acquisition of one home health agency that expands our footprint in Wisconsin. The purchase price of the home health agency was $0.5 million.</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Trends</w:t>
      </w:r>
    </w:p>
    <w:p>
      <w:pPr>
        <w:spacing w:after="0" w:line="256" w:lineRule="exact"/>
        <w:rPr>
          <w:sz w:val="20"/>
          <w:szCs w:val="20"/>
          <w:color w:val="auto"/>
        </w:rPr>
      </w:pPr>
    </w:p>
    <w:p>
      <w:pPr>
        <w:jc w:val="both"/>
        <w:ind w:firstLine="648"/>
        <w:spacing w:after="0" w:line="296" w:lineRule="auto"/>
        <w:rPr>
          <w:sz w:val="20"/>
          <w:szCs w:val="20"/>
          <w:color w:val="auto"/>
        </w:rPr>
      </w:pPr>
      <w:r>
        <w:rPr>
          <w:rFonts w:ascii="Arial" w:cs="Arial" w:eastAsia="Arial" w:hAnsi="Arial"/>
          <w:sz w:val="16"/>
          <w:szCs w:val="16"/>
          <w:color w:val="auto"/>
        </w:rPr>
        <w:t>Since the pandemic began and throughout the 2021 fiscal year, we experienced a steady decline in senior living occupancy as move-ins declined relative to move-outs due to the pandemic. However, we have experienced modest senior living occupancy improvement through the third quarter of 2022, partly as a result of improving COVID-19 case trends and renewed consideration of senior living communities as a home based care setting. Nevertheless, we cannot be sure when the occupancy levels in our senior living communities will return to pre-pandemic levels. As uncertainty regarding the COVID-19 pandemic persists, if there is a resurgence in cases, or if variant strains aggressively emerge, we could see a more prolonged recovery.</w:t>
      </w:r>
    </w:p>
    <w:p>
      <w:pPr>
        <w:spacing w:after="0" w:line="188"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When we acquire turnaround or start-up operations, we expect that our combined metrics may be impacted. We expect these metrics to vary from period to period based upon the maturity of the operations within our portfolio. We have generally experienced lower occupancy rates and higher costs at our senior living communities and lower census and higher costs at our home health and hospice agencies for recently acquired operations; as a result, we generally anticipate lower and/or fluctuating consolidated and segment margins during years of acquisition growth.</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Government Regulation</w:t>
      </w:r>
    </w:p>
    <w:p>
      <w:pPr>
        <w:spacing w:after="0" w:line="256"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We have disclosed under the heading “Government Regulation” in the 2021 Annual Report a summary of regulations that we believe materially affect our business, financial condition or results of operations. Since the time of the filing of the 2021 Annual Report, the following regulations have been updated.</w:t>
      </w:r>
    </w:p>
    <w:p>
      <w:pPr>
        <w:spacing w:after="0" w:line="211" w:lineRule="exact"/>
        <w:rPr>
          <w:sz w:val="20"/>
          <w:szCs w:val="20"/>
          <w:color w:val="auto"/>
        </w:rPr>
      </w:pPr>
    </w:p>
    <w:p>
      <w:pPr>
        <w:jc w:val="both"/>
        <w:ind w:firstLine="648"/>
        <w:spacing w:after="0" w:line="301" w:lineRule="auto"/>
        <w:rPr>
          <w:sz w:val="20"/>
          <w:szCs w:val="20"/>
          <w:color w:val="auto"/>
        </w:rPr>
      </w:pPr>
      <w:r>
        <w:rPr>
          <w:rFonts w:ascii="Arial" w:cs="Arial" w:eastAsia="Arial" w:hAnsi="Arial"/>
          <w:sz w:val="16"/>
          <w:szCs w:val="16"/>
          <w:color w:val="auto"/>
        </w:rPr>
        <w:t>The Coronavirus Aid, Relief, and Economic Security Act (the “CARES Act”) was enacted on March 27, 2020, and subsequent regulatory actions. The CARES Act contained provisions for accelerated or advance Medicare payments (“AAP”) to provide supporting cash flow to providers and suppliers combating the effects of the COVID-19 pandemic. We applied for and received $28.0 million in 2020. These funds were subject to automatic recoupment through offsets to new claims beginning one year after payment were issued. On June 23, 2022, we completed repayment of all the AAP we had received.</w:t>
      </w:r>
    </w:p>
    <w:p>
      <w:pPr>
        <w:spacing w:after="0" w:line="184"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The CARES Act payroll tax deferral program allowed employers to defer the deposit and payment of the employer’s portion of social security taxes that otherwise would be due between March 27, 2020, and December 31, 2020. The CARES Act permits employers to deposit half of these deferred payments by the end of 2021 and the other half by the end of 2022. The Company deferred approximately $7.8 million of the employer-paid portion of social security taxes, of which $4.1 million remains unpaid as of September 30, 2022, all of which is included in current liabilities in accrued wages and related liabilities and is expected to be paid by the end of 2022.</w:t>
      </w:r>
    </w:p>
    <w:p>
      <w:pPr>
        <w:spacing w:after="0" w:line="201"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7"/>
          <w:szCs w:val="17"/>
          <w:color w:val="auto"/>
        </w:rPr>
        <w:t>As described in our most recent Annual Report on Form 10-K, Item 1A, Risks Related to COVID-19, CMS issued, and the United States Supreme Court upheld, an interim final rule requiring workers of Medicare- or Medicaid-reimbursed operations to be fully vaccinated or subject to an appropriate exemption. The application of this interim final rule has been extended to all 50 states after litigation before various courts, including the United States Supreme Court. The deadline for compliance with this mandate by March 21, 2022, based on the state of operation. In addition, several states in which our independent operating subsidiaries are located issued their own vaccine requirements, most notably California, Colorado,</w:t>
      </w: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9" w:name="page30"/>
    <w:bookmarkEnd w:id="29"/>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49" w:lineRule="exact"/>
        <w:rPr>
          <w:sz w:val="20"/>
          <w:szCs w:val="20"/>
          <w:color w:val="auto"/>
        </w:rPr>
      </w:pPr>
    </w:p>
    <w:p>
      <w:pPr>
        <w:jc w:val="both"/>
        <w:spacing w:after="0" w:line="280" w:lineRule="auto"/>
        <w:rPr>
          <w:sz w:val="20"/>
          <w:szCs w:val="20"/>
          <w:color w:val="auto"/>
        </w:rPr>
      </w:pPr>
      <w:r>
        <w:rPr>
          <w:rFonts w:ascii="Arial" w:cs="Arial" w:eastAsia="Arial" w:hAnsi="Arial"/>
          <w:sz w:val="16"/>
          <w:szCs w:val="16"/>
          <w:color w:val="auto"/>
        </w:rPr>
        <w:t>Oregon, and Washington. Since then, CMS has issued guidance indicating that its surveys for compliance with the interim final rule’s vaccine mandate will only be enforced in surveys used for initial certification or recertification of providers, and in response to complaints of non-compliance. Colorado has</w:t>
      </w:r>
    </w:p>
    <w:p>
      <w:pPr>
        <w:jc w:val="both"/>
        <w:spacing w:after="0" w:line="249" w:lineRule="auto"/>
        <w:rPr>
          <w:sz w:val="20"/>
          <w:szCs w:val="20"/>
          <w:color w:val="auto"/>
        </w:rPr>
      </w:pPr>
      <w:r>
        <w:rPr>
          <w:rFonts w:ascii="Arial" w:cs="Arial" w:eastAsia="Arial" w:hAnsi="Arial"/>
          <w:sz w:val="17"/>
          <w:szCs w:val="17"/>
          <w:color w:val="auto"/>
        </w:rPr>
        <w:t>since allowed its COVID-19 vaccination mandate for healthcare workers to expir</w:t>
      </w:r>
      <w:r>
        <w:rPr>
          <w:rFonts w:ascii="Arial" w:cs="Arial" w:eastAsia="Arial" w:hAnsi="Arial"/>
          <w:sz w:val="20"/>
          <w:szCs w:val="20"/>
          <w:color w:val="008080"/>
        </w:rPr>
        <w:t>e.</w:t>
      </w:r>
      <w:r>
        <w:rPr>
          <w:rFonts w:ascii="Arial" w:cs="Arial" w:eastAsia="Arial" w:hAnsi="Arial"/>
          <w:sz w:val="17"/>
          <w:szCs w:val="17"/>
          <w:color w:val="auto"/>
        </w:rPr>
        <w:t xml:space="preserve"> In some of the states where our independent operating subsidiaries are located, state requirements for vaccination of healthcare workers have been updated to address the availability and necessity of vaccine boosters after receiving an initial one- or two-injection course of vaccination. Still other states, such as Texas, have prohibited COVID-19 vaccines from being required as a matter of state law, although the interim final rule requires employees of Medicare-participating health care facilities to receive the COVID-19 vaccination. Compliance with the relevant federal and state vaccine mandates or laws is challenging, due to both legal challenges, differing requirements, and changes to those requirements, including their expiration or termination.</w:t>
      </w:r>
    </w:p>
    <w:p>
      <w:pPr>
        <w:spacing w:after="0" w:line="221"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As of September 30, 2022, our independent operating subsidiaries are substantially in compliance with these mandates. While the mandates have contributed to industry-wide staffing shortages and increased competition for qualified employees, increasing our employee costs, those impacts have been felt across the health care industry and are not unique to our operations. The various federal and state mandates have also created ongoing testing, tracking and other administrative obligations and expenses, which may persist as long as the mandates are in place.</w:t>
      </w:r>
    </w:p>
    <w:p>
      <w:pPr>
        <w:spacing w:after="0" w:line="198"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On July 27, 2022, CMS issued the 2023 Hospice Payment Rate Update final rule (“Hospice Payment Final Rule”). The Final Rule provides that a hospice’s wage index (one component of its payment rate) will not be reduced more than 5.0% year-over-year. In other words, a hospice’s wage index each fiscal year will be no less than 95.0% of its prior fiscal year wage index. This will help protect hospices against large annual wage-based reimbursement decreases. This change is permanent and will not automatically expire or require renewal. Subject to this wage index change, the Hospice Payment Final Rule adopts a 3.8% increase in payments made for hospice services, including the cap amount, which the rule increases from $31,297.61 to $32,486.92. The Hospice Payment Final Rule also outlines reductions in payment ranging from two percent (2.0%) to four percent (4.0%), beginning in 2024, for hospices that fail to meet quality reporting requirements.</w:t>
      </w:r>
    </w:p>
    <w:p>
      <w:pPr>
        <w:spacing w:after="0" w:line="204"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7"/>
          <w:szCs w:val="17"/>
          <w:color w:val="auto"/>
        </w:rPr>
        <w:t>On June 17, 2022, the CMS issued the 2023 Home Health Prospective Payment System Rate Update proposed rule. The proposed rule would apply a permanent decrease of nearly 7.7% to the home health 30-day period standard payment rate for assumed behavior changes resulting from implementation of the Patient Driven Grouping Model (“PDGM”), except for low utilization payment adjustments (“LUPAs”). Additionally, CMS proposes a temporary adjustment of payments to recover as soon as 2024 $2.0 billion in overpayments made in the PDGM program. Aside from these adjustments, CMS has proposed a 2.9% basket increase for the home health payment update in calendar year 2023. Under the proposed rule, CMS would also recalibrate case-mix weights and low utilization payment adjustment thresholds using 2021 data. Additionally, the proposed rule would apply a permanent 5.0% cap on decreases in the wage index, meaning a facility’s wage index for any future year would not be less than 95.0% of the final wage index for the preceding year. For home health agencies that do not report required quality reporting data to CMS, their increase in payment would only be 0.9%, rather than the full 2.9% contemplated in the proposed rule. Overall, the proposed rule estimates that Medicare payments to all home health agencies would decrease in the aggregate by 4.2%, or $810 million, based on its contents. Home health organizations have submitted comments in response to this proposed rule and expressed their concerns to CMS regarding the methodologies used in the proposed rule resulting in potential adjustments to their reimbursement. The final rule for the 2023 Home Health Prospective Payment System Rate Update is expected in the fourth quarter of 2022 and would be effective beginning January 1, 2023.</w:t>
      </w:r>
    </w:p>
    <w:p>
      <w:pPr>
        <w:spacing w:after="0" w:line="200" w:lineRule="exact"/>
        <w:rPr>
          <w:sz w:val="20"/>
          <w:szCs w:val="20"/>
          <w:color w:val="auto"/>
        </w:rPr>
      </w:pPr>
    </w:p>
    <w:p>
      <w:pPr>
        <w:jc w:val="both"/>
        <w:ind w:firstLine="648"/>
        <w:spacing w:after="0" w:line="248" w:lineRule="auto"/>
        <w:rPr>
          <w:sz w:val="20"/>
          <w:szCs w:val="20"/>
          <w:color w:val="auto"/>
        </w:rPr>
      </w:pPr>
      <w:r>
        <w:rPr>
          <w:rFonts w:ascii="Arial" w:cs="Arial" w:eastAsia="Arial" w:hAnsi="Arial"/>
          <w:sz w:val="18"/>
          <w:szCs w:val="18"/>
          <w:color w:val="auto"/>
        </w:rPr>
        <w:t>On August 16, 2022, the Inflation Reduction Act (“IRA”) was enacted. The IRA introduced changes to U.S. corporate income tax law, including a 15% corporate minimum tax, a 1% excise tax on stock buybacks, and various energy-related deduction and credit provisions. The Company does not anticipate the IRA will have a significant impact on the Company’s income taxes.</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Segments</w:t>
      </w:r>
    </w:p>
    <w:p>
      <w:pPr>
        <w:spacing w:after="0" w:line="256" w:lineRule="exact"/>
        <w:rPr>
          <w:sz w:val="20"/>
          <w:szCs w:val="20"/>
          <w:color w:val="auto"/>
        </w:rPr>
      </w:pPr>
    </w:p>
    <w:p>
      <w:pPr>
        <w:ind w:left="660"/>
        <w:spacing w:after="0"/>
        <w:rPr>
          <w:sz w:val="20"/>
          <w:szCs w:val="20"/>
          <w:color w:val="auto"/>
        </w:rPr>
      </w:pPr>
      <w:r>
        <w:rPr>
          <w:rFonts w:ascii="Arial" w:cs="Arial" w:eastAsia="Arial" w:hAnsi="Arial"/>
          <w:sz w:val="16"/>
          <w:szCs w:val="16"/>
          <w:color w:val="auto"/>
        </w:rPr>
        <w:t>We have two reportable segments: (1) home health and hospice services, which includes our home health, home care and hospice businesses; and</w:t>
      </w:r>
    </w:p>
    <w:p>
      <w:pPr>
        <w:spacing w:after="0" w:line="46" w:lineRule="exact"/>
        <w:rPr>
          <w:sz w:val="20"/>
          <w:szCs w:val="20"/>
          <w:color w:val="auto"/>
        </w:rPr>
      </w:pPr>
    </w:p>
    <w:p>
      <w:pPr>
        <w:jc w:val="both"/>
        <w:ind w:firstLine="8"/>
        <w:spacing w:after="0" w:line="255" w:lineRule="auto"/>
        <w:tabs>
          <w:tab w:leader="none" w:pos="262" w:val="left"/>
        </w:tabs>
        <w:numPr>
          <w:ilvl w:val="0"/>
          <w:numId w:val="18"/>
        </w:numPr>
        <w:rPr>
          <w:rFonts w:ascii="Arial" w:cs="Arial" w:eastAsia="Arial" w:hAnsi="Arial"/>
          <w:sz w:val="18"/>
          <w:szCs w:val="18"/>
          <w:color w:val="auto"/>
        </w:rPr>
      </w:pPr>
      <w:r>
        <w:rPr>
          <w:rFonts w:ascii="Arial" w:cs="Arial" w:eastAsia="Arial" w:hAnsi="Arial"/>
          <w:sz w:val="18"/>
          <w:szCs w:val="18"/>
          <w:color w:val="auto"/>
        </w:rPr>
        <w:t>senior living services, which includes the operation of assisted living, independent living and memory care communities. Our Chief Executive Officer, who is our Chief Operating Decision Maker (“CODM”), reviews financial information at the operating segment level. We also report an “all other” category that includes general and administrative expense from our Service Center.</w:t>
      </w: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0" w:name="page31"/>
    <w:bookmarkEnd w:id="30"/>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Key Performance Indicators</w:t>
      </w:r>
    </w:p>
    <w:p>
      <w:pPr>
        <w:spacing w:after="0" w:line="256"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We manage the fiscal aspects of our business by monitoring key performance indicators that affect our financial performance. These indicators and their definitions include the following:</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Home Health and Hospice Services</w:t>
      </w:r>
    </w:p>
    <w:p>
      <w:pPr>
        <w:spacing w:after="0" w:line="252" w:lineRule="exact"/>
        <w:rPr>
          <w:sz w:val="20"/>
          <w:szCs w:val="20"/>
          <w:color w:val="auto"/>
        </w:rPr>
      </w:pPr>
    </w:p>
    <w:p>
      <w:pPr>
        <w:ind w:left="660" w:hanging="328"/>
        <w:spacing w:after="0"/>
        <w:tabs>
          <w:tab w:leader="none" w:pos="660" w:val="left"/>
        </w:tabs>
        <w:numPr>
          <w:ilvl w:val="0"/>
          <w:numId w:val="19"/>
        </w:numPr>
        <w:rPr>
          <w:rFonts w:ascii="Arial" w:cs="Arial" w:eastAsia="Arial" w:hAnsi="Arial"/>
          <w:sz w:val="16"/>
          <w:szCs w:val="16"/>
          <w:i w:val="1"/>
          <w:iCs w:val="1"/>
          <w:color w:val="auto"/>
        </w:rPr>
      </w:pPr>
      <w:r>
        <w:rPr>
          <w:rFonts w:ascii="Arial" w:cs="Arial" w:eastAsia="Arial" w:hAnsi="Arial"/>
          <w:sz w:val="16"/>
          <w:szCs w:val="16"/>
          <w:b w:val="1"/>
          <w:bCs w:val="1"/>
          <w:i w:val="1"/>
          <w:iCs w:val="1"/>
          <w:color w:val="auto"/>
        </w:rPr>
        <w:t>Total home health admissions</w:t>
      </w:r>
      <w:r>
        <w:rPr>
          <w:rFonts w:ascii="Arial" w:cs="Arial" w:eastAsia="Arial" w:hAnsi="Arial"/>
          <w:sz w:val="16"/>
          <w:szCs w:val="16"/>
          <w:color w:val="auto"/>
        </w:rPr>
        <w:t>. The total admissions of home health patients, including new acquisitions, new admissions and readmissions.</w:t>
      </w:r>
    </w:p>
    <w:p>
      <w:pPr>
        <w:spacing w:after="0" w:line="140" w:lineRule="exact"/>
        <w:rPr>
          <w:rFonts w:ascii="Arial" w:cs="Arial" w:eastAsia="Arial" w:hAnsi="Arial"/>
          <w:sz w:val="16"/>
          <w:szCs w:val="16"/>
          <w:i w:val="1"/>
          <w:iCs w:val="1"/>
          <w:color w:val="auto"/>
        </w:rPr>
      </w:pPr>
    </w:p>
    <w:p>
      <w:pPr>
        <w:ind w:left="660" w:right="20" w:hanging="328"/>
        <w:spacing w:after="0" w:line="277" w:lineRule="auto"/>
        <w:tabs>
          <w:tab w:leader="none" w:pos="655" w:val="left"/>
        </w:tabs>
        <w:numPr>
          <w:ilvl w:val="0"/>
          <w:numId w:val="19"/>
        </w:numPr>
        <w:rPr>
          <w:rFonts w:ascii="Arial" w:cs="Arial" w:eastAsia="Arial" w:hAnsi="Arial"/>
          <w:sz w:val="18"/>
          <w:szCs w:val="18"/>
          <w:i w:val="1"/>
          <w:iCs w:val="1"/>
          <w:color w:val="auto"/>
        </w:rPr>
      </w:pPr>
      <w:r>
        <w:rPr>
          <w:rFonts w:ascii="Arial" w:cs="Arial" w:eastAsia="Arial" w:hAnsi="Arial"/>
          <w:sz w:val="18"/>
          <w:szCs w:val="18"/>
          <w:b w:val="1"/>
          <w:bCs w:val="1"/>
          <w:i w:val="1"/>
          <w:iCs w:val="1"/>
          <w:color w:val="auto"/>
        </w:rPr>
        <w:t>Total Medicare home health admissions</w:t>
      </w:r>
      <w:r>
        <w:rPr>
          <w:rFonts w:ascii="Arial" w:cs="Arial" w:eastAsia="Arial" w:hAnsi="Arial"/>
          <w:sz w:val="18"/>
          <w:szCs w:val="18"/>
          <w:i w:val="1"/>
          <w:i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Total admissions of home health patients, who are receiving care under Medicare reimbursement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programs, including new acquisitions, new admissions and readmissions.</w:t>
      </w:r>
    </w:p>
    <w:p>
      <w:pPr>
        <w:spacing w:after="0" w:line="62" w:lineRule="exact"/>
        <w:rPr>
          <w:rFonts w:ascii="Arial" w:cs="Arial" w:eastAsia="Arial" w:hAnsi="Arial"/>
          <w:sz w:val="18"/>
          <w:szCs w:val="18"/>
          <w:i w:val="1"/>
          <w:iCs w:val="1"/>
          <w:color w:val="auto"/>
        </w:rPr>
      </w:pPr>
    </w:p>
    <w:p>
      <w:pPr>
        <w:ind w:left="660" w:right="20" w:hanging="328"/>
        <w:spacing w:after="0" w:line="277" w:lineRule="auto"/>
        <w:tabs>
          <w:tab w:leader="none" w:pos="655" w:val="left"/>
        </w:tabs>
        <w:numPr>
          <w:ilvl w:val="0"/>
          <w:numId w:val="19"/>
        </w:numPr>
        <w:rPr>
          <w:rFonts w:ascii="Arial" w:cs="Arial" w:eastAsia="Arial" w:hAnsi="Arial"/>
          <w:sz w:val="18"/>
          <w:szCs w:val="18"/>
          <w:i w:val="1"/>
          <w:iCs w:val="1"/>
          <w:color w:val="auto"/>
        </w:rPr>
      </w:pPr>
      <w:r>
        <w:rPr>
          <w:rFonts w:ascii="Arial" w:cs="Arial" w:eastAsia="Arial" w:hAnsi="Arial"/>
          <w:sz w:val="18"/>
          <w:szCs w:val="18"/>
          <w:b w:val="1"/>
          <w:bCs w:val="1"/>
          <w:i w:val="1"/>
          <w:iCs w:val="1"/>
          <w:color w:val="auto"/>
        </w:rPr>
        <w:t>Average Medicare revenue per completed 60-day home health episode</w:t>
      </w:r>
      <w:r>
        <w:rPr>
          <w:rFonts w:ascii="Arial" w:cs="Arial" w:eastAsia="Arial" w:hAnsi="Arial"/>
          <w:sz w:val="18"/>
          <w:szCs w:val="18"/>
          <w:i w:val="1"/>
          <w:i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average amount of revenue for each completed 60-day home health</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episode generated from patients who are receiving care under Medicare reimbursement programs.</w:t>
      </w:r>
    </w:p>
    <w:p>
      <w:pPr>
        <w:spacing w:after="0" w:line="62" w:lineRule="exact"/>
        <w:rPr>
          <w:rFonts w:ascii="Arial" w:cs="Arial" w:eastAsia="Arial" w:hAnsi="Arial"/>
          <w:sz w:val="18"/>
          <w:szCs w:val="18"/>
          <w:i w:val="1"/>
          <w:iCs w:val="1"/>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b w:val="1"/>
          <w:bCs w:val="1"/>
          <w:i w:val="1"/>
          <w:iCs w:val="1"/>
          <w:color w:val="auto"/>
        </w:rPr>
        <w:t>Total hospice admissions</w:t>
      </w:r>
      <w:r>
        <w:rPr>
          <w:rFonts w:ascii="Arial" w:cs="Arial" w:eastAsia="Arial" w:hAnsi="Arial"/>
          <w:sz w:val="18"/>
          <w:szCs w:val="18"/>
          <w:color w:val="auto"/>
        </w:rPr>
        <w:t>. Total admissions of hospice patients, including new acquisitions, new admissions and recertifications.</w:t>
      </w:r>
    </w:p>
    <w:p>
      <w:pPr>
        <w:spacing w:after="0" w:line="117" w:lineRule="exact"/>
        <w:rPr>
          <w:rFonts w:ascii="Arial" w:cs="Arial" w:eastAsia="Arial" w:hAnsi="Arial"/>
          <w:sz w:val="18"/>
          <w:szCs w:val="18"/>
          <w:color w:val="auto"/>
        </w:rPr>
      </w:pPr>
    </w:p>
    <w:p>
      <w:pPr>
        <w:ind w:left="660" w:hanging="328"/>
        <w:spacing w:after="0" w:line="277" w:lineRule="auto"/>
        <w:tabs>
          <w:tab w:leader="none" w:pos="655" w:val="left"/>
        </w:tabs>
        <w:numPr>
          <w:ilvl w:val="0"/>
          <w:numId w:val="19"/>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Average hospice daily census</w:t>
      </w:r>
      <w:r>
        <w:rPr>
          <w:rFonts w:ascii="Arial" w:cs="Arial" w:eastAsia="Arial" w:hAnsi="Arial"/>
          <w:sz w:val="18"/>
          <w:szCs w:val="18"/>
          <w:i w:val="1"/>
          <w:i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average number of patients who are receiving hospice care during any measurement period divided by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number of days during such measurement period.</w:t>
      </w:r>
    </w:p>
    <w:p>
      <w:pPr>
        <w:spacing w:after="0" w:line="62" w:lineRule="exact"/>
        <w:rPr>
          <w:rFonts w:ascii="Arial" w:cs="Arial" w:eastAsia="Arial" w:hAnsi="Arial"/>
          <w:sz w:val="18"/>
          <w:szCs w:val="18"/>
          <w:b w:val="1"/>
          <w:bCs w:val="1"/>
          <w:i w:val="1"/>
          <w:iCs w:val="1"/>
          <w:color w:val="auto"/>
        </w:rPr>
      </w:pPr>
    </w:p>
    <w:p>
      <w:pPr>
        <w:ind w:left="660" w:right="20" w:hanging="328"/>
        <w:spacing w:after="0" w:line="277" w:lineRule="auto"/>
        <w:tabs>
          <w:tab w:leader="none" w:pos="655" w:val="left"/>
        </w:tabs>
        <w:numPr>
          <w:ilvl w:val="0"/>
          <w:numId w:val="19"/>
        </w:numPr>
        <w:rPr>
          <w:rFonts w:ascii="Arial" w:cs="Arial" w:eastAsia="Arial" w:hAnsi="Arial"/>
          <w:sz w:val="18"/>
          <w:szCs w:val="18"/>
          <w:color w:val="auto"/>
        </w:rPr>
      </w:pPr>
      <w:r>
        <w:rPr>
          <w:rFonts w:ascii="Arial" w:cs="Arial" w:eastAsia="Arial" w:hAnsi="Arial"/>
          <w:sz w:val="18"/>
          <w:szCs w:val="18"/>
          <w:b w:val="1"/>
          <w:bCs w:val="1"/>
          <w:i w:val="1"/>
          <w:iCs w:val="1"/>
          <w:color w:val="auto"/>
        </w:rPr>
        <w:t>Hospice Medicare revenue per day</w:t>
      </w:r>
      <w:r>
        <w:rPr>
          <w:rFonts w:ascii="Arial" w:cs="Arial" w:eastAsia="Arial" w:hAnsi="Arial"/>
          <w:sz w:val="18"/>
          <w:szCs w:val="18"/>
          <w:color w:val="auto"/>
        </w:rPr>
        <w:t>. The average daily Medicare revenue recorded during any measurement period for services provided to</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hospice patients.</w:t>
      </w:r>
    </w:p>
    <w:p>
      <w:pPr>
        <w:spacing w:after="0" w:line="62" w:lineRule="exact"/>
        <w:rPr>
          <w:rFonts w:ascii="Arial" w:cs="Arial" w:eastAsia="Arial" w:hAnsi="Arial"/>
          <w:sz w:val="18"/>
          <w:szCs w:val="18"/>
          <w:color w:val="auto"/>
        </w:rPr>
      </w:pPr>
    </w:p>
    <w:p>
      <w:pPr>
        <w:ind w:left="660"/>
        <w:spacing w:after="0"/>
        <w:rPr>
          <w:rFonts w:ascii="Arial" w:cs="Arial" w:eastAsia="Arial" w:hAnsi="Arial"/>
          <w:sz w:val="18"/>
          <w:szCs w:val="18"/>
          <w:color w:val="auto"/>
        </w:rPr>
      </w:pPr>
      <w:r>
        <w:rPr>
          <w:rFonts w:ascii="Arial" w:cs="Arial" w:eastAsia="Arial" w:hAnsi="Arial"/>
          <w:sz w:val="18"/>
          <w:szCs w:val="18"/>
          <w:color w:val="auto"/>
        </w:rPr>
        <w:t>The following table summarizes our overall home health and hospice statistics for the periods indicated:</w:t>
      </w:r>
    </w:p>
    <w:p>
      <w:pPr>
        <w:spacing w:after="0" w:line="26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340" w:type="dxa"/>
            <w:vAlign w:val="bottom"/>
            <w:gridSpan w:val="5"/>
          </w:tcPr>
          <w:p>
            <w:pPr>
              <w:jc w:val="center"/>
              <w:ind w:right="380"/>
              <w:spacing w:after="0"/>
              <w:rPr>
                <w:sz w:val="20"/>
                <w:szCs w:val="20"/>
                <w:color w:val="auto"/>
              </w:rPr>
            </w:pPr>
            <w:r>
              <w:rPr>
                <w:rFonts w:ascii="Arial" w:cs="Arial" w:eastAsia="Arial" w:hAnsi="Arial"/>
                <w:sz w:val="18"/>
                <w:szCs w:val="18"/>
                <w:b w:val="1"/>
                <w:bCs w:val="1"/>
                <w:color w:val="auto"/>
                <w:w w:val="92"/>
              </w:rPr>
              <w:t>Three Months Ended</w:t>
            </w:r>
          </w:p>
        </w:tc>
        <w:tc>
          <w:tcPr>
            <w:tcW w:w="2520" w:type="dxa"/>
            <w:vAlign w:val="bottom"/>
            <w:gridSpan w:val="6"/>
          </w:tcPr>
          <w:p>
            <w:pPr>
              <w:jc w:val="right"/>
              <w:spacing w:after="0"/>
              <w:rPr>
                <w:sz w:val="20"/>
                <w:szCs w:val="20"/>
                <w:color w:val="auto"/>
              </w:rPr>
            </w:pPr>
            <w:r>
              <w:rPr>
                <w:rFonts w:ascii="Arial" w:cs="Arial" w:eastAsia="Arial" w:hAnsi="Arial"/>
                <w:sz w:val="18"/>
                <w:szCs w:val="18"/>
                <w:b w:val="1"/>
                <w:bCs w:val="1"/>
                <w:color w:val="auto"/>
                <w:w w:val="92"/>
              </w:rPr>
              <w:t>Nine Months Ended September</w:t>
            </w:r>
          </w:p>
        </w:tc>
      </w:tr>
      <w:tr>
        <w:trPr>
          <w:trHeight w:val="239"/>
        </w:trPr>
        <w:tc>
          <w:tcPr>
            <w:tcW w:w="6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340" w:type="dxa"/>
            <w:vAlign w:val="bottom"/>
            <w:gridSpan w:val="5"/>
          </w:tcPr>
          <w:p>
            <w:pPr>
              <w:jc w:val="center"/>
              <w:ind w:right="360"/>
              <w:spacing w:after="0"/>
              <w:rPr>
                <w:sz w:val="20"/>
                <w:szCs w:val="20"/>
                <w:color w:val="auto"/>
              </w:rPr>
            </w:pPr>
            <w:r>
              <w:rPr>
                <w:rFonts w:ascii="Arial" w:cs="Arial" w:eastAsia="Arial" w:hAnsi="Arial"/>
                <w:sz w:val="18"/>
                <w:szCs w:val="18"/>
                <w:b w:val="1"/>
                <w:bCs w:val="1"/>
                <w:color w:val="auto"/>
                <w:w w:val="89"/>
              </w:rPr>
              <w:t>September 30,</w:t>
            </w:r>
          </w:p>
        </w:tc>
        <w:tc>
          <w:tcPr>
            <w:tcW w:w="28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440" w:type="dxa"/>
            <w:vAlign w:val="bottom"/>
            <w:gridSpan w:val="3"/>
          </w:tcPr>
          <w:p>
            <w:pPr>
              <w:jc w:val="right"/>
              <w:ind w:right="200"/>
              <w:spacing w:after="0"/>
              <w:rPr>
                <w:sz w:val="20"/>
                <w:szCs w:val="20"/>
                <w:color w:val="auto"/>
              </w:rPr>
            </w:pPr>
            <w:r>
              <w:rPr>
                <w:rFonts w:ascii="Arial" w:cs="Arial" w:eastAsia="Arial" w:hAnsi="Arial"/>
                <w:sz w:val="18"/>
                <w:szCs w:val="18"/>
                <w:b w:val="1"/>
                <w:bCs w:val="1"/>
                <w:color w:val="auto"/>
                <w:w w:val="87"/>
              </w:rPr>
              <w:t>30,</w:t>
            </w:r>
          </w:p>
        </w:tc>
        <w:tc>
          <w:tcPr>
            <w:tcW w:w="940" w:type="dxa"/>
            <w:vAlign w:val="bottom"/>
          </w:tcPr>
          <w:p>
            <w:pPr>
              <w:spacing w:after="0"/>
              <w:rPr>
                <w:sz w:val="20"/>
                <w:szCs w:val="20"/>
                <w:color w:val="auto"/>
              </w:rPr>
            </w:pPr>
          </w:p>
        </w:tc>
      </w:tr>
      <w:tr>
        <w:trPr>
          <w:trHeight w:val="227"/>
        </w:trPr>
        <w:tc>
          <w:tcPr>
            <w:tcW w:w="6100" w:type="dxa"/>
            <w:vAlign w:val="bottom"/>
            <w:tcBorders>
              <w:bottom w:val="single" w:sz="8" w:color="CCEEFF"/>
            </w:tcBorders>
          </w:tcPr>
          <w:p>
            <w:pPr>
              <w:spacing w:after="0"/>
              <w:rPr>
                <w:sz w:val="19"/>
                <w:szCs w:val="19"/>
                <w:color w:val="auto"/>
              </w:rPr>
            </w:pPr>
          </w:p>
        </w:tc>
        <w:tc>
          <w:tcPr>
            <w:tcW w:w="280" w:type="dxa"/>
            <w:vAlign w:val="bottom"/>
            <w:tcBorders>
              <w:top w:val="single" w:sz="8" w:color="auto"/>
              <w:bottom w:val="single" w:sz="8" w:color="auto"/>
            </w:tcBorders>
          </w:tcPr>
          <w:p>
            <w:pPr>
              <w:spacing w:after="0"/>
              <w:rPr>
                <w:sz w:val="19"/>
                <w:szCs w:val="19"/>
                <w:color w:val="auto"/>
              </w:rPr>
            </w:pPr>
          </w:p>
        </w:tc>
        <w:tc>
          <w:tcPr>
            <w:tcW w:w="940" w:type="dxa"/>
            <w:vAlign w:val="bottom"/>
            <w:tcBorders>
              <w:top w:val="single" w:sz="8" w:color="auto"/>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2022</w:t>
            </w:r>
          </w:p>
        </w:tc>
        <w:tc>
          <w:tcPr>
            <w:tcW w:w="100" w:type="dxa"/>
            <w:vAlign w:val="bottom"/>
            <w:tcBorders>
              <w:top w:val="single" w:sz="8" w:color="auto"/>
              <w:bottom w:val="single" w:sz="8" w:color="CCEEFF"/>
            </w:tcBorders>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940" w:type="dxa"/>
            <w:vAlign w:val="bottom"/>
            <w:tcBorders>
              <w:top w:val="single" w:sz="8" w:color="auto"/>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2021</w:t>
            </w:r>
          </w:p>
        </w:tc>
        <w:tc>
          <w:tcPr>
            <w:tcW w:w="100" w:type="dxa"/>
            <w:vAlign w:val="bottom"/>
            <w:tcBorders>
              <w:bottom w:val="single" w:sz="8" w:color="CCEEFF"/>
            </w:tcBorders>
          </w:tcPr>
          <w:p>
            <w:pPr>
              <w:spacing w:after="0"/>
              <w:rPr>
                <w:sz w:val="19"/>
                <w:szCs w:val="19"/>
                <w:color w:val="auto"/>
              </w:rPr>
            </w:pPr>
          </w:p>
        </w:tc>
        <w:tc>
          <w:tcPr>
            <w:tcW w:w="280" w:type="dxa"/>
            <w:vAlign w:val="bottom"/>
            <w:tcBorders>
              <w:top w:val="single" w:sz="8" w:color="auto"/>
              <w:bottom w:val="single" w:sz="8" w:color="auto"/>
            </w:tcBorders>
          </w:tcPr>
          <w:p>
            <w:pPr>
              <w:spacing w:after="0"/>
              <w:rPr>
                <w:sz w:val="19"/>
                <w:szCs w:val="19"/>
                <w:color w:val="auto"/>
              </w:rPr>
            </w:pPr>
          </w:p>
        </w:tc>
        <w:tc>
          <w:tcPr>
            <w:tcW w:w="860" w:type="dxa"/>
            <w:vAlign w:val="bottom"/>
            <w:tcBorders>
              <w:top w:val="single" w:sz="8" w:color="auto"/>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2022</w:t>
            </w:r>
          </w:p>
        </w:tc>
        <w:tc>
          <w:tcPr>
            <w:tcW w:w="80" w:type="dxa"/>
            <w:vAlign w:val="bottom"/>
            <w:tcBorders>
              <w:top w:val="single" w:sz="8" w:color="auto"/>
              <w:bottom w:val="single" w:sz="8" w:color="auto"/>
            </w:tcBorders>
          </w:tcPr>
          <w:p>
            <w:pPr>
              <w:spacing w:after="0"/>
              <w:rPr>
                <w:sz w:val="19"/>
                <w:szCs w:val="19"/>
                <w:color w:val="auto"/>
              </w:rPr>
            </w:pPr>
          </w:p>
        </w:tc>
        <w:tc>
          <w:tcPr>
            <w:tcW w:w="100" w:type="dxa"/>
            <w:vAlign w:val="bottom"/>
            <w:tcBorders>
              <w:top w:val="single" w:sz="8" w:color="auto"/>
              <w:bottom w:val="single" w:sz="8" w:color="CCEEFF"/>
            </w:tcBorders>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940" w:type="dxa"/>
            <w:vAlign w:val="bottom"/>
            <w:tcBorders>
              <w:top w:val="single" w:sz="8" w:color="auto"/>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2021</w:t>
            </w:r>
          </w:p>
        </w:tc>
      </w:tr>
      <w:tr>
        <w:trPr>
          <w:trHeight w:val="210"/>
        </w:trPr>
        <w:tc>
          <w:tcPr>
            <w:tcW w:w="6100" w:type="dxa"/>
            <w:vAlign w:val="bottom"/>
            <w:shd w:val="clear" w:color="auto" w:fill="CCEEFF"/>
          </w:tcPr>
          <w:p>
            <w:pPr>
              <w:ind w:left="20"/>
              <w:spacing w:after="0"/>
              <w:rPr>
                <w:sz w:val="20"/>
                <w:szCs w:val="20"/>
                <w:color w:val="auto"/>
              </w:rPr>
            </w:pPr>
            <w:r>
              <w:rPr>
                <w:rFonts w:ascii="Arial" w:cs="Arial" w:eastAsia="Arial" w:hAnsi="Arial"/>
                <w:sz w:val="18"/>
                <w:szCs w:val="18"/>
                <w:color w:val="auto"/>
              </w:rPr>
              <w:t>Home health services:</w:t>
            </w:r>
          </w:p>
        </w:tc>
        <w:tc>
          <w:tcPr>
            <w:tcW w:w="2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r>
      <w:tr>
        <w:trPr>
          <w:trHeight w:val="230"/>
        </w:trPr>
        <w:tc>
          <w:tcPr>
            <w:tcW w:w="6100" w:type="dxa"/>
            <w:vAlign w:val="bottom"/>
          </w:tcPr>
          <w:p>
            <w:pPr>
              <w:ind w:left="220"/>
              <w:spacing w:after="0"/>
              <w:rPr>
                <w:sz w:val="20"/>
                <w:szCs w:val="20"/>
                <w:color w:val="auto"/>
              </w:rPr>
            </w:pPr>
            <w:r>
              <w:rPr>
                <w:rFonts w:ascii="Arial" w:cs="Arial" w:eastAsia="Arial" w:hAnsi="Arial"/>
                <w:sz w:val="18"/>
                <w:szCs w:val="18"/>
                <w:color w:val="auto"/>
              </w:rPr>
              <w:t>Total home health admissions</w:t>
            </w:r>
          </w:p>
        </w:tc>
        <w:tc>
          <w:tcPr>
            <w:tcW w:w="2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10,152</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9,213</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30,389</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28,079</w:t>
            </w:r>
          </w:p>
        </w:tc>
      </w:tr>
      <w:tr>
        <w:trPr>
          <w:trHeight w:val="229"/>
        </w:trPr>
        <w:tc>
          <w:tcPr>
            <w:tcW w:w="6100" w:type="dxa"/>
            <w:vAlign w:val="bottom"/>
            <w:shd w:val="clear" w:color="auto" w:fill="CCEEFF"/>
          </w:tcPr>
          <w:p>
            <w:pPr>
              <w:ind w:left="240"/>
              <w:spacing w:after="0"/>
              <w:rPr>
                <w:sz w:val="20"/>
                <w:szCs w:val="20"/>
                <w:color w:val="auto"/>
              </w:rPr>
            </w:pPr>
            <w:r>
              <w:rPr>
                <w:rFonts w:ascii="Arial" w:cs="Arial" w:eastAsia="Arial" w:hAnsi="Arial"/>
                <w:sz w:val="18"/>
                <w:szCs w:val="18"/>
                <w:color w:val="auto"/>
              </w:rPr>
              <w:t>Total Medicare home health admissions</w:t>
            </w:r>
          </w:p>
        </w:tc>
        <w:tc>
          <w:tcPr>
            <w:tcW w:w="2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4,637</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4,211</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13,952</w:t>
            </w: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13,115</w:t>
            </w:r>
          </w:p>
        </w:tc>
      </w:tr>
      <w:tr>
        <w:trPr>
          <w:trHeight w:val="230"/>
        </w:trPr>
        <w:tc>
          <w:tcPr>
            <w:tcW w:w="6100" w:type="dxa"/>
            <w:vAlign w:val="bottom"/>
          </w:tcPr>
          <w:p>
            <w:pPr>
              <w:ind w:left="220"/>
              <w:spacing w:after="0" w:line="230" w:lineRule="exact"/>
              <w:rPr>
                <w:sz w:val="20"/>
                <w:szCs w:val="20"/>
                <w:color w:val="auto"/>
              </w:rPr>
            </w:pPr>
            <w:r>
              <w:rPr>
                <w:rFonts w:ascii="Arial" w:cs="Arial" w:eastAsia="Arial" w:hAnsi="Arial"/>
                <w:sz w:val="18"/>
                <w:szCs w:val="18"/>
                <w:color w:val="auto"/>
              </w:rPr>
              <w:t>Average Medicare revenue per 60-day completed episode</w:t>
            </w:r>
            <w:r>
              <w:rPr>
                <w:rFonts w:ascii="Arial" w:cs="Arial" w:eastAsia="Arial" w:hAnsi="Arial"/>
                <w:sz w:val="23"/>
                <w:szCs w:val="23"/>
                <w:color w:val="auto"/>
                <w:vertAlign w:val="superscript"/>
              </w:rPr>
              <w:t>(a)</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3,589</w:t>
            </w:r>
          </w:p>
        </w:tc>
        <w:tc>
          <w:tcPr>
            <w:tcW w:w="100" w:type="dxa"/>
            <w:vAlign w:val="bottom"/>
          </w:tcPr>
          <w:p>
            <w:pPr>
              <w:spacing w:after="0"/>
              <w:rPr>
                <w:sz w:val="19"/>
                <w:szCs w:val="19"/>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3,388</w:t>
            </w:r>
          </w:p>
        </w:tc>
        <w:tc>
          <w:tcPr>
            <w:tcW w:w="100" w:type="dxa"/>
            <w:vAlign w:val="bottom"/>
          </w:tcPr>
          <w:p>
            <w:pPr>
              <w:spacing w:after="0"/>
              <w:rPr>
                <w:sz w:val="19"/>
                <w:szCs w:val="19"/>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3,548</w:t>
            </w:r>
          </w:p>
        </w:tc>
        <w:tc>
          <w:tcPr>
            <w:tcW w:w="440" w:type="dxa"/>
            <w:vAlign w:val="bottom"/>
            <w:gridSpan w:val="3"/>
          </w:tcPr>
          <w:p>
            <w:pPr>
              <w:jc w:val="right"/>
              <w:ind w:right="160"/>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3,383</w:t>
            </w:r>
          </w:p>
        </w:tc>
      </w:tr>
      <w:tr>
        <w:trPr>
          <w:trHeight w:val="230"/>
        </w:trPr>
        <w:tc>
          <w:tcPr>
            <w:tcW w:w="6100" w:type="dxa"/>
            <w:vAlign w:val="bottom"/>
            <w:shd w:val="clear" w:color="auto" w:fill="CCEEFF"/>
          </w:tcPr>
          <w:p>
            <w:pPr>
              <w:ind w:left="20"/>
              <w:spacing w:after="0"/>
              <w:rPr>
                <w:sz w:val="20"/>
                <w:szCs w:val="20"/>
                <w:color w:val="auto"/>
              </w:rPr>
            </w:pPr>
            <w:r>
              <w:rPr>
                <w:rFonts w:ascii="Arial" w:cs="Arial" w:eastAsia="Arial" w:hAnsi="Arial"/>
                <w:sz w:val="18"/>
                <w:szCs w:val="18"/>
                <w:color w:val="auto"/>
              </w:rPr>
              <w:t>Hospice services:</w:t>
            </w:r>
          </w:p>
        </w:tc>
        <w:tc>
          <w:tcPr>
            <w:tcW w:w="28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r>
      <w:tr>
        <w:trPr>
          <w:trHeight w:val="230"/>
        </w:trPr>
        <w:tc>
          <w:tcPr>
            <w:tcW w:w="6100" w:type="dxa"/>
            <w:vAlign w:val="bottom"/>
          </w:tcPr>
          <w:p>
            <w:pPr>
              <w:ind w:left="220"/>
              <w:spacing w:after="0"/>
              <w:rPr>
                <w:sz w:val="20"/>
                <w:szCs w:val="20"/>
                <w:color w:val="auto"/>
              </w:rPr>
            </w:pPr>
            <w:r>
              <w:rPr>
                <w:rFonts w:ascii="Arial" w:cs="Arial" w:eastAsia="Arial" w:hAnsi="Arial"/>
                <w:sz w:val="18"/>
                <w:szCs w:val="18"/>
                <w:color w:val="auto"/>
              </w:rPr>
              <w:t>Total hospice admissions</w:t>
            </w:r>
          </w:p>
        </w:tc>
        <w:tc>
          <w:tcPr>
            <w:tcW w:w="2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2,392</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2,219</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6,920</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6,420</w:t>
            </w:r>
          </w:p>
        </w:tc>
      </w:tr>
      <w:tr>
        <w:trPr>
          <w:trHeight w:val="229"/>
        </w:trPr>
        <w:tc>
          <w:tcPr>
            <w:tcW w:w="61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Average hospice daily census</w:t>
            </w:r>
          </w:p>
        </w:tc>
        <w:tc>
          <w:tcPr>
            <w:tcW w:w="2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2,293</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2,337</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2,270</w:t>
            </w: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2,313</w:t>
            </w:r>
          </w:p>
        </w:tc>
      </w:tr>
      <w:tr>
        <w:trPr>
          <w:trHeight w:val="230"/>
        </w:trPr>
        <w:tc>
          <w:tcPr>
            <w:tcW w:w="6100" w:type="dxa"/>
            <w:vAlign w:val="bottom"/>
          </w:tcPr>
          <w:p>
            <w:pPr>
              <w:ind w:left="220"/>
              <w:spacing w:after="0"/>
              <w:rPr>
                <w:sz w:val="20"/>
                <w:szCs w:val="20"/>
                <w:color w:val="auto"/>
              </w:rPr>
            </w:pPr>
            <w:r>
              <w:rPr>
                <w:rFonts w:ascii="Arial" w:cs="Arial" w:eastAsia="Arial" w:hAnsi="Arial"/>
                <w:sz w:val="18"/>
                <w:szCs w:val="18"/>
                <w:color w:val="auto"/>
              </w:rPr>
              <w:t>Hospice Medicare revenue per day</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176</w:t>
            </w:r>
          </w:p>
        </w:tc>
        <w:tc>
          <w:tcPr>
            <w:tcW w:w="100" w:type="dxa"/>
            <w:vAlign w:val="bottom"/>
          </w:tcPr>
          <w:p>
            <w:pPr>
              <w:spacing w:after="0"/>
              <w:rPr>
                <w:sz w:val="20"/>
                <w:szCs w:val="20"/>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174</w:t>
            </w:r>
          </w:p>
        </w:tc>
        <w:tc>
          <w:tcPr>
            <w:tcW w:w="100" w:type="dxa"/>
            <w:vAlign w:val="bottom"/>
          </w:tcPr>
          <w:p>
            <w:pPr>
              <w:spacing w:after="0"/>
              <w:rPr>
                <w:sz w:val="20"/>
                <w:szCs w:val="20"/>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177</w:t>
            </w:r>
          </w:p>
        </w:tc>
        <w:tc>
          <w:tcPr>
            <w:tcW w:w="440" w:type="dxa"/>
            <w:vAlign w:val="bottom"/>
            <w:gridSpan w:val="3"/>
          </w:tcPr>
          <w:p>
            <w:pPr>
              <w:jc w:val="right"/>
              <w:ind w:right="160"/>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173</w:t>
            </w:r>
          </w:p>
        </w:tc>
      </w:tr>
    </w:tbl>
    <w:p>
      <w:pPr>
        <w:spacing w:after="0" w:line="129" w:lineRule="exact"/>
        <w:rPr>
          <w:sz w:val="20"/>
          <w:szCs w:val="20"/>
          <w:color w:val="auto"/>
        </w:rPr>
      </w:pPr>
    </w:p>
    <w:p>
      <w:pPr>
        <w:ind w:left="480" w:hanging="454"/>
        <w:spacing w:after="0"/>
        <w:tabs>
          <w:tab w:leader="none" w:pos="480" w:val="left"/>
        </w:tabs>
        <w:numPr>
          <w:ilvl w:val="0"/>
          <w:numId w:val="20"/>
        </w:numPr>
        <w:rPr>
          <w:rFonts w:ascii="Arial" w:cs="Arial" w:eastAsia="Arial" w:hAnsi="Arial"/>
          <w:sz w:val="14"/>
          <w:szCs w:val="14"/>
          <w:color w:val="auto"/>
        </w:rPr>
      </w:pPr>
      <w:r>
        <w:rPr>
          <w:rFonts w:ascii="Arial" w:cs="Arial" w:eastAsia="Arial" w:hAnsi="Arial"/>
          <w:sz w:val="14"/>
          <w:szCs w:val="14"/>
          <w:color w:val="auto"/>
        </w:rPr>
        <w:t>The year to date average Medicare revenue per 60-day completed episode includes post period claim adjustments for prior quarters.</w:t>
      </w:r>
    </w:p>
    <w:p>
      <w:pPr>
        <w:spacing w:after="0" w:line="3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Senior Living Services</w:t>
      </w:r>
    </w:p>
    <w:p>
      <w:pPr>
        <w:spacing w:after="0" w:line="252" w:lineRule="exact"/>
        <w:rPr>
          <w:sz w:val="20"/>
          <w:szCs w:val="20"/>
          <w:color w:val="auto"/>
        </w:rPr>
      </w:pPr>
    </w:p>
    <w:p>
      <w:pPr>
        <w:ind w:left="660" w:hanging="328"/>
        <w:spacing w:after="0" w:line="277" w:lineRule="auto"/>
        <w:tabs>
          <w:tab w:leader="none" w:pos="655" w:val="left"/>
        </w:tabs>
        <w:numPr>
          <w:ilvl w:val="0"/>
          <w:numId w:val="21"/>
        </w:numPr>
        <w:rPr>
          <w:rFonts w:ascii="Arial" w:cs="Arial" w:eastAsia="Arial" w:hAnsi="Arial"/>
          <w:sz w:val="18"/>
          <w:szCs w:val="18"/>
          <w:color w:val="auto"/>
        </w:rPr>
      </w:pPr>
      <w:r>
        <w:rPr>
          <w:rFonts w:ascii="Arial" w:cs="Arial" w:eastAsia="Arial" w:hAnsi="Arial"/>
          <w:sz w:val="18"/>
          <w:szCs w:val="18"/>
          <w:b w:val="1"/>
          <w:bCs w:val="1"/>
          <w:i w:val="1"/>
          <w:iCs w:val="1"/>
          <w:color w:val="auto"/>
        </w:rPr>
        <w:t>Occupancy</w:t>
      </w:r>
      <w:r>
        <w:rPr>
          <w:rFonts w:ascii="Arial" w:cs="Arial" w:eastAsia="Arial" w:hAnsi="Arial"/>
          <w:sz w:val="18"/>
          <w:szCs w:val="18"/>
          <w:i w:val="1"/>
          <w:i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ratio of actual number of days our units are occupied during any measurement period to the number of days units are available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for occupancy during such measurement period.</w:t>
      </w:r>
    </w:p>
    <w:p>
      <w:pPr>
        <w:spacing w:after="0" w:line="62" w:lineRule="exact"/>
        <w:rPr>
          <w:rFonts w:ascii="Arial" w:cs="Arial" w:eastAsia="Arial" w:hAnsi="Arial"/>
          <w:sz w:val="18"/>
          <w:szCs w:val="18"/>
          <w:color w:val="auto"/>
        </w:rPr>
      </w:pPr>
    </w:p>
    <w:p>
      <w:pPr>
        <w:ind w:left="660" w:hanging="328"/>
        <w:spacing w:after="0" w:line="308" w:lineRule="auto"/>
        <w:tabs>
          <w:tab w:leader="none" w:pos="655" w:val="left"/>
        </w:tabs>
        <w:numPr>
          <w:ilvl w:val="0"/>
          <w:numId w:val="21"/>
        </w:numPr>
        <w:rPr>
          <w:rFonts w:ascii="Arial" w:cs="Arial" w:eastAsia="Arial" w:hAnsi="Arial"/>
          <w:sz w:val="17"/>
          <w:szCs w:val="17"/>
          <w:color w:val="auto"/>
        </w:rPr>
      </w:pPr>
      <w:r>
        <w:rPr>
          <w:rFonts w:ascii="Arial" w:cs="Arial" w:eastAsia="Arial" w:hAnsi="Arial"/>
          <w:sz w:val="17"/>
          <w:szCs w:val="17"/>
          <w:b w:val="1"/>
          <w:bCs w:val="1"/>
          <w:i w:val="1"/>
          <w:iCs w:val="1"/>
          <w:color w:val="auto"/>
        </w:rPr>
        <w:t>Average monthly revenue per occupied unit</w:t>
      </w:r>
      <w:r>
        <w:rPr>
          <w:rFonts w:ascii="Arial" w:cs="Arial" w:eastAsia="Arial" w:hAnsi="Arial"/>
          <w:sz w:val="17"/>
          <w:szCs w:val="17"/>
          <w:color w:val="auto"/>
        </w:rPr>
        <w:t>. The room and board revenue for senior living services during any measurement period divided by</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actual occupied senior living units for such measurement period divided by the number of months for such measurement period.</w:t>
      </w:r>
    </w:p>
    <w:p>
      <w:pPr>
        <w:spacing w:after="0" w:line="38" w:lineRule="exact"/>
        <w:rPr>
          <w:rFonts w:ascii="Arial" w:cs="Arial" w:eastAsia="Arial" w:hAnsi="Arial"/>
          <w:sz w:val="17"/>
          <w:szCs w:val="17"/>
          <w:color w:val="auto"/>
        </w:rPr>
      </w:pPr>
    </w:p>
    <w:p>
      <w:pPr>
        <w:ind w:left="660"/>
        <w:spacing w:after="0"/>
        <w:rPr>
          <w:rFonts w:ascii="Arial" w:cs="Arial" w:eastAsia="Arial" w:hAnsi="Arial"/>
          <w:sz w:val="17"/>
          <w:szCs w:val="17"/>
          <w:color w:val="auto"/>
        </w:rPr>
      </w:pPr>
      <w:r>
        <w:rPr>
          <w:rFonts w:ascii="Arial" w:cs="Arial" w:eastAsia="Arial" w:hAnsi="Arial"/>
          <w:sz w:val="18"/>
          <w:szCs w:val="18"/>
          <w:color w:val="auto"/>
        </w:rPr>
        <w:t>The following table summarizes our senior living statistics for the periods indicated:</w:t>
      </w:r>
    </w:p>
    <w:p>
      <w:pPr>
        <w:spacing w:after="0" w:line="27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720" w:type="dxa"/>
            <w:vAlign w:val="bottom"/>
          </w:tcPr>
          <w:p>
            <w:pPr>
              <w:spacing w:after="0"/>
              <w:rPr>
                <w:sz w:val="18"/>
                <w:szCs w:val="18"/>
                <w:color w:val="auto"/>
              </w:rPr>
            </w:pPr>
          </w:p>
        </w:tc>
        <w:tc>
          <w:tcPr>
            <w:tcW w:w="2800" w:type="dxa"/>
            <w:vAlign w:val="bottom"/>
            <w:gridSpan w:val="7"/>
          </w:tcPr>
          <w:p>
            <w:pPr>
              <w:jc w:val="center"/>
              <w:ind w:right="100"/>
              <w:spacing w:after="0"/>
              <w:rPr>
                <w:sz w:val="20"/>
                <w:szCs w:val="20"/>
                <w:color w:val="auto"/>
              </w:rPr>
            </w:pPr>
            <w:r>
              <w:rPr>
                <w:rFonts w:ascii="Arial" w:cs="Arial" w:eastAsia="Arial" w:hAnsi="Arial"/>
                <w:sz w:val="18"/>
                <w:szCs w:val="18"/>
                <w:b w:val="1"/>
                <w:bCs w:val="1"/>
                <w:color w:val="auto"/>
                <w:w w:val="90"/>
              </w:rPr>
              <w:t>Three Months Ended September</w:t>
            </w:r>
          </w:p>
        </w:tc>
        <w:tc>
          <w:tcPr>
            <w:tcW w:w="140" w:type="dxa"/>
            <w:vAlign w:val="bottom"/>
          </w:tcPr>
          <w:p>
            <w:pPr>
              <w:spacing w:after="0"/>
              <w:rPr>
                <w:sz w:val="18"/>
                <w:szCs w:val="18"/>
                <w:color w:val="auto"/>
              </w:rPr>
            </w:pPr>
          </w:p>
        </w:tc>
        <w:tc>
          <w:tcPr>
            <w:tcW w:w="2580" w:type="dxa"/>
            <w:vAlign w:val="bottom"/>
            <w:gridSpan w:val="5"/>
          </w:tcPr>
          <w:p>
            <w:pPr>
              <w:jc w:val="center"/>
              <w:ind w:right="30"/>
              <w:spacing w:after="0"/>
              <w:rPr>
                <w:sz w:val="20"/>
                <w:szCs w:val="20"/>
                <w:color w:val="auto"/>
              </w:rPr>
            </w:pPr>
            <w:r>
              <w:rPr>
                <w:rFonts w:ascii="Arial" w:cs="Arial" w:eastAsia="Arial" w:hAnsi="Arial"/>
                <w:sz w:val="18"/>
                <w:szCs w:val="18"/>
                <w:b w:val="1"/>
                <w:bCs w:val="1"/>
                <w:color w:val="auto"/>
                <w:w w:val="90"/>
              </w:rPr>
              <w:t>Nine Months Ended September</w:t>
            </w:r>
          </w:p>
        </w:tc>
      </w:tr>
      <w:tr>
        <w:trPr>
          <w:trHeight w:val="234"/>
        </w:trPr>
        <w:tc>
          <w:tcPr>
            <w:tcW w:w="572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spacing w:after="0"/>
              <w:rPr>
                <w:sz w:val="20"/>
                <w:szCs w:val="20"/>
                <w:color w:val="auto"/>
              </w:rPr>
            </w:pPr>
          </w:p>
        </w:tc>
        <w:tc>
          <w:tcPr>
            <w:tcW w:w="540" w:type="dxa"/>
            <w:vAlign w:val="bottom"/>
            <w:tcBorders>
              <w:bottom w:val="single" w:sz="8" w:color="auto"/>
            </w:tcBorders>
            <w:gridSpan w:val="3"/>
          </w:tcPr>
          <w:p>
            <w:pPr>
              <w:jc w:val="right"/>
              <w:ind w:right="240"/>
              <w:spacing w:after="0"/>
              <w:rPr>
                <w:sz w:val="20"/>
                <w:szCs w:val="20"/>
                <w:color w:val="auto"/>
              </w:rPr>
            </w:pPr>
            <w:r>
              <w:rPr>
                <w:rFonts w:ascii="Arial" w:cs="Arial" w:eastAsia="Arial" w:hAnsi="Arial"/>
                <w:sz w:val="18"/>
                <w:szCs w:val="18"/>
                <w:b w:val="1"/>
                <w:bCs w:val="1"/>
                <w:color w:val="auto"/>
              </w:rPr>
              <w:t>30,</w:t>
            </w:r>
          </w:p>
        </w:tc>
        <w:tc>
          <w:tcPr>
            <w:tcW w:w="10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spacing w:after="0"/>
              <w:rPr>
                <w:sz w:val="20"/>
                <w:szCs w:val="20"/>
                <w:color w:val="auto"/>
              </w:rPr>
            </w:pPr>
          </w:p>
        </w:tc>
        <w:tc>
          <w:tcPr>
            <w:tcW w:w="540" w:type="dxa"/>
            <w:vAlign w:val="bottom"/>
            <w:tcBorders>
              <w:bottom w:val="single" w:sz="8" w:color="auto"/>
            </w:tcBorders>
            <w:gridSpan w:val="3"/>
          </w:tcPr>
          <w:p>
            <w:pPr>
              <w:jc w:val="right"/>
              <w:ind w:right="220"/>
              <w:spacing w:after="0"/>
              <w:rPr>
                <w:sz w:val="20"/>
                <w:szCs w:val="20"/>
                <w:color w:val="auto"/>
              </w:rPr>
            </w:pPr>
            <w:r>
              <w:rPr>
                <w:rFonts w:ascii="Arial" w:cs="Arial" w:eastAsia="Arial" w:hAnsi="Arial"/>
                <w:sz w:val="18"/>
                <w:szCs w:val="18"/>
                <w:b w:val="1"/>
                <w:bCs w:val="1"/>
                <w:color w:val="auto"/>
              </w:rPr>
              <w:t>30,</w:t>
            </w:r>
          </w:p>
        </w:tc>
        <w:tc>
          <w:tcPr>
            <w:tcW w:w="1020" w:type="dxa"/>
            <w:vAlign w:val="bottom"/>
            <w:tcBorders>
              <w:bottom w:val="single" w:sz="8" w:color="auto"/>
            </w:tcBorders>
          </w:tcPr>
          <w:p>
            <w:pPr>
              <w:spacing w:after="0"/>
              <w:rPr>
                <w:sz w:val="20"/>
                <w:szCs w:val="20"/>
                <w:color w:val="auto"/>
              </w:rPr>
            </w:pPr>
          </w:p>
        </w:tc>
      </w:tr>
      <w:tr>
        <w:trPr>
          <w:trHeight w:val="223"/>
        </w:trPr>
        <w:tc>
          <w:tcPr>
            <w:tcW w:w="57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2022</w:t>
            </w:r>
          </w:p>
        </w:tc>
        <w:tc>
          <w:tcPr>
            <w:tcW w:w="14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2021</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2022</w:t>
            </w:r>
          </w:p>
        </w:tc>
        <w:tc>
          <w:tcPr>
            <w:tcW w:w="140" w:type="dxa"/>
            <w:vAlign w:val="bottom"/>
            <w:tcBorders>
              <w:bottom w:val="single" w:sz="8" w:color="auto"/>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2021</w:t>
            </w:r>
          </w:p>
        </w:tc>
      </w:tr>
      <w:tr>
        <w:trPr>
          <w:trHeight w:val="223"/>
        </w:trPr>
        <w:tc>
          <w:tcPr>
            <w:tcW w:w="5720" w:type="dxa"/>
            <w:vAlign w:val="bottom"/>
            <w:shd w:val="clear" w:color="auto" w:fill="CCEEFF"/>
          </w:tcPr>
          <w:p>
            <w:pPr>
              <w:ind w:left="20"/>
              <w:spacing w:after="0"/>
              <w:rPr>
                <w:sz w:val="20"/>
                <w:szCs w:val="20"/>
                <w:color w:val="auto"/>
              </w:rPr>
            </w:pPr>
            <w:r>
              <w:rPr>
                <w:rFonts w:ascii="Arial" w:cs="Arial" w:eastAsia="Arial" w:hAnsi="Arial"/>
                <w:sz w:val="18"/>
                <w:szCs w:val="18"/>
                <w:color w:val="auto"/>
              </w:rPr>
              <w:t>Occupancy</w:t>
            </w:r>
          </w:p>
        </w:tc>
        <w:tc>
          <w:tcPr>
            <w:tcW w:w="28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76.5 %</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73.7 %</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75.1 %</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72.8 %</w:t>
            </w:r>
          </w:p>
        </w:tc>
      </w:tr>
      <w:tr>
        <w:trPr>
          <w:trHeight w:val="230"/>
        </w:trPr>
        <w:tc>
          <w:tcPr>
            <w:tcW w:w="5720" w:type="dxa"/>
            <w:vAlign w:val="bottom"/>
          </w:tcPr>
          <w:p>
            <w:pPr>
              <w:ind w:left="20"/>
              <w:spacing w:after="0"/>
              <w:rPr>
                <w:sz w:val="20"/>
                <w:szCs w:val="20"/>
                <w:color w:val="auto"/>
              </w:rPr>
            </w:pPr>
            <w:r>
              <w:rPr>
                <w:rFonts w:ascii="Arial" w:cs="Arial" w:eastAsia="Arial" w:hAnsi="Arial"/>
                <w:sz w:val="18"/>
                <w:szCs w:val="18"/>
                <w:color w:val="auto"/>
              </w:rPr>
              <w:t>Average monthly revenue per occupied unit</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3,560</w:t>
            </w:r>
          </w:p>
        </w:tc>
        <w:tc>
          <w:tcPr>
            <w:tcW w:w="540" w:type="dxa"/>
            <w:vAlign w:val="bottom"/>
            <w:gridSpan w:val="3"/>
          </w:tcPr>
          <w:p>
            <w:pPr>
              <w:jc w:val="right"/>
              <w:ind w:right="180"/>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130"/>
              <w:spacing w:after="0"/>
              <w:rPr>
                <w:sz w:val="20"/>
                <w:szCs w:val="20"/>
                <w:color w:val="auto"/>
              </w:rPr>
            </w:pPr>
            <w:r>
              <w:rPr>
                <w:rFonts w:ascii="Arial" w:cs="Arial" w:eastAsia="Arial" w:hAnsi="Arial"/>
                <w:sz w:val="18"/>
                <w:szCs w:val="18"/>
                <w:color w:val="auto"/>
              </w:rPr>
              <w:t>3,174</w:t>
            </w:r>
          </w:p>
        </w:tc>
        <w:tc>
          <w:tcPr>
            <w:tcW w:w="10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3,465</w:t>
            </w:r>
          </w:p>
        </w:tc>
        <w:tc>
          <w:tcPr>
            <w:tcW w:w="540" w:type="dxa"/>
            <w:vAlign w:val="bottom"/>
            <w:gridSpan w:val="3"/>
          </w:tcPr>
          <w:p>
            <w:pPr>
              <w:jc w:val="right"/>
              <w:ind w:right="180"/>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130"/>
              <w:spacing w:after="0"/>
              <w:rPr>
                <w:sz w:val="20"/>
                <w:szCs w:val="20"/>
                <w:color w:val="auto"/>
              </w:rPr>
            </w:pPr>
            <w:r>
              <w:rPr>
                <w:rFonts w:ascii="Arial" w:cs="Arial" w:eastAsia="Arial" w:hAnsi="Arial"/>
                <w:sz w:val="18"/>
                <w:szCs w:val="18"/>
                <w:color w:val="auto"/>
              </w:rPr>
              <w:t>3,179</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1" w:name="page32"/>
    <w:bookmarkEnd w:id="31"/>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Revenue Sources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Home Health and Hospice Services</w:t>
      </w:r>
    </w:p>
    <w:p>
      <w:pPr>
        <w:spacing w:after="0" w:line="252"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6"/>
          <w:szCs w:val="16"/>
          <w:b w:val="1"/>
          <w:bCs w:val="1"/>
          <w:i w:val="1"/>
          <w:iCs w:val="1"/>
          <w:color w:val="auto"/>
        </w:rPr>
        <w:t xml:space="preserve">Home Health. </w:t>
      </w:r>
      <w:r>
        <w:rPr>
          <w:rFonts w:ascii="Arial" w:cs="Arial" w:eastAsia="Arial" w:hAnsi="Arial"/>
          <w:sz w:val="16"/>
          <w:szCs w:val="16"/>
          <w:color w:val="auto"/>
        </w:rPr>
        <w:t>We derive the majority of our home health revenue from Medicare and managed care. The Medicare payment is adjusted for</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 xml:space="preserve">differences between estimated and actual payment amounts, an inability to obtain appropriate billing documentation or authorizations acceptable to the payor and other reasons unrelated to credit risk. Net service revenue is recognized in accordance with the under the PDGM methodology. Under PDGM, Medicare provides agencies with payments for each 30-day period of care provided to beneficiaries. If a beneficiary is still eligible for care after the end of the first 30-day payment period, a second 30-day payment period can begin. There are no limits to the number of periods of care a beneficiary who remains eligible for the home health benefit can receive. While payment for each 30-day period of care is adjusted to reflect the beneficiary’s health condition and needs, a special outlier provision exists to ensure appropriate payment for those beneficiaries that have the most expensive care needs. The payment under the Medicare program is also adjusted for certain variables including, but not limited to: (a) a low utilization payment adjustment if the number of visits is below an established threshold that varies based on the diagnosis of a beneficiary; (b) a partial payment if the patient transferred to another provider or the Company received a patient from another provider before completing the period of care; (c) adjustment to the admission source of claim if it is determined that the patient had a qualifying stay in a post-acute care setting within 14 days prior to the start of a 30-day payment period; (d) the timing of the 30-day payment period provided to a patient in relation to the admission date, regardless of whether the same home health provider provided care for the entire series of episodes; (e) changes to the acuity of the patient during the previous 30-day period of care; (f) changes in the base payments established by the Medicare program; (g) adjustments to the base payments for case mix and geographic wages; and (h) recoveries of overpayments. For further detail regarding PDGM see the </w:t>
      </w:r>
      <w:r>
        <w:rPr>
          <w:rFonts w:ascii="Arial" w:cs="Arial" w:eastAsia="Arial" w:hAnsi="Arial"/>
          <w:sz w:val="16"/>
          <w:szCs w:val="16"/>
          <w:i w:val="1"/>
          <w:iCs w:val="1"/>
          <w:color w:val="auto"/>
        </w:rPr>
        <w:t>Government Regulation</w:t>
      </w:r>
      <w:r>
        <w:rPr>
          <w:rFonts w:ascii="Arial" w:cs="Arial" w:eastAsia="Arial" w:hAnsi="Arial"/>
          <w:sz w:val="16"/>
          <w:szCs w:val="16"/>
          <w:color w:val="auto"/>
        </w:rPr>
        <w:t xml:space="preserve"> section of our 2021 Annual Report.</w:t>
      </w:r>
    </w:p>
    <w:p>
      <w:pPr>
        <w:spacing w:after="0" w:line="194"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b w:val="1"/>
          <w:bCs w:val="1"/>
          <w:i w:val="1"/>
          <w:iCs w:val="1"/>
          <w:color w:val="auto"/>
        </w:rPr>
        <w:t xml:space="preserve">Hospice. </w:t>
      </w:r>
      <w:r>
        <w:rPr>
          <w:rFonts w:ascii="Arial" w:cs="Arial" w:eastAsia="Arial" w:hAnsi="Arial"/>
          <w:sz w:val="18"/>
          <w:szCs w:val="18"/>
          <w:color w:val="auto"/>
        </w:rPr>
        <w:t>We derive the majority of our hospice business revenue from Medicare reimbursement. The estimated payment rates are calculated as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daily rates for each of the levels of care we deliver. Rates are set based on specific levels of care, are adjusted by a wage index to reflect healthcare labor costs across the country and are established annually through federal legislation. The following are the four levels of care provided under the hospice benefit:</w:t>
      </w:r>
    </w:p>
    <w:p>
      <w:pPr>
        <w:spacing w:after="0" w:line="214" w:lineRule="exact"/>
        <w:rPr>
          <w:sz w:val="20"/>
          <w:szCs w:val="20"/>
          <w:color w:val="auto"/>
        </w:rPr>
      </w:pPr>
    </w:p>
    <w:p>
      <w:pPr>
        <w:ind w:left="660" w:hanging="328"/>
        <w:spacing w:after="0" w:line="277" w:lineRule="auto"/>
        <w:tabs>
          <w:tab w:leader="none" w:pos="655" w:val="left"/>
        </w:tabs>
        <w:numPr>
          <w:ilvl w:val="0"/>
          <w:numId w:val="22"/>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Routine Home Care (“RHC”). </w:t>
      </w:r>
      <w:r>
        <w:rPr>
          <w:rFonts w:ascii="Arial" w:cs="Arial" w:eastAsia="Arial" w:hAnsi="Arial"/>
          <w:sz w:val="18"/>
          <w:szCs w:val="18"/>
          <w:color w:val="auto"/>
        </w:rPr>
        <w:t>Care that is not classified under any of the other levels of care, such as the work of nurses, social workers or home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health aides.</w:t>
      </w:r>
    </w:p>
    <w:p>
      <w:pPr>
        <w:spacing w:after="0" w:line="62" w:lineRule="exact"/>
        <w:rPr>
          <w:rFonts w:ascii="Arial" w:cs="Arial" w:eastAsia="Arial" w:hAnsi="Arial"/>
          <w:sz w:val="18"/>
          <w:szCs w:val="18"/>
          <w:color w:val="auto"/>
        </w:rPr>
      </w:pPr>
    </w:p>
    <w:p>
      <w:pPr>
        <w:ind w:left="660" w:hanging="328"/>
        <w:spacing w:after="0" w:line="277" w:lineRule="auto"/>
        <w:tabs>
          <w:tab w:leader="none" w:pos="655" w:val="left"/>
        </w:tabs>
        <w:numPr>
          <w:ilvl w:val="0"/>
          <w:numId w:val="22"/>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General Inpatient Care. </w:t>
      </w:r>
      <w:r>
        <w:rPr>
          <w:rFonts w:ascii="Arial" w:cs="Arial" w:eastAsia="Arial" w:hAnsi="Arial"/>
          <w:sz w:val="18"/>
          <w:szCs w:val="18"/>
          <w:color w:val="auto"/>
        </w:rPr>
        <w:t>Pain control or acute or chronic symptom management that cannot be managed in a setting other than an inpatient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Medicare-certified facility, such as a hospital, skilled nursing facility or hospice inpatient facility.</w:t>
      </w:r>
    </w:p>
    <w:p>
      <w:pPr>
        <w:spacing w:after="0" w:line="62" w:lineRule="exact"/>
        <w:rPr>
          <w:rFonts w:ascii="Arial" w:cs="Arial" w:eastAsia="Arial" w:hAnsi="Arial"/>
          <w:sz w:val="18"/>
          <w:szCs w:val="18"/>
          <w:color w:val="auto"/>
        </w:rPr>
      </w:pPr>
    </w:p>
    <w:p>
      <w:pPr>
        <w:ind w:left="660" w:right="20" w:hanging="328"/>
        <w:spacing w:after="0" w:line="277" w:lineRule="auto"/>
        <w:tabs>
          <w:tab w:leader="none" w:pos="655" w:val="left"/>
        </w:tabs>
        <w:numPr>
          <w:ilvl w:val="0"/>
          <w:numId w:val="22"/>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Continuous Home Care. </w:t>
      </w:r>
      <w:r>
        <w:rPr>
          <w:rFonts w:ascii="Arial" w:cs="Arial" w:eastAsia="Arial" w:hAnsi="Arial"/>
          <w:sz w:val="18"/>
          <w:szCs w:val="18"/>
          <w:color w:val="auto"/>
        </w:rPr>
        <w:t>Care for patients experiencing a medical crisis that requires nursing services to achieve palliation and symptom control,</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if the agency provides a minimum of eight hours of care within a 24-hour period.</w:t>
      </w:r>
    </w:p>
    <w:p>
      <w:pPr>
        <w:spacing w:after="0" w:line="62" w:lineRule="exact"/>
        <w:rPr>
          <w:rFonts w:ascii="Arial" w:cs="Arial" w:eastAsia="Arial" w:hAnsi="Arial"/>
          <w:sz w:val="18"/>
          <w:szCs w:val="18"/>
          <w:color w:val="auto"/>
        </w:rPr>
      </w:pPr>
    </w:p>
    <w:p>
      <w:pPr>
        <w:ind w:left="660" w:hanging="328"/>
        <w:spacing w:after="0"/>
        <w:tabs>
          <w:tab w:leader="none" w:pos="660" w:val="left"/>
        </w:tabs>
        <w:numPr>
          <w:ilvl w:val="0"/>
          <w:numId w:val="22"/>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Inpatient Respite Care. </w:t>
      </w:r>
      <w:r>
        <w:rPr>
          <w:rFonts w:ascii="Arial" w:cs="Arial" w:eastAsia="Arial" w:hAnsi="Arial"/>
          <w:sz w:val="17"/>
          <w:szCs w:val="17"/>
          <w:color w:val="auto"/>
        </w:rPr>
        <w:t>Short-term, inpatient care to give temporary relief to the caregiver who regularly provides care to the patient.</w:t>
      </w:r>
    </w:p>
    <w:p>
      <w:pPr>
        <w:spacing w:after="0" w:line="264"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CMS has established a two-tiered payment system for RHC. Hospices are reimbursed at a higher rate for RHC services provided from days of service one through 60 and a lower rate for all subsequent days of service. CMS also provides for a Service Intensity Add-On, which increases payments for certain RHC services provided by registered nurses and social workers to hospice patients during the final seven days of life.</w:t>
      </w:r>
    </w:p>
    <w:p>
      <w:pPr>
        <w:spacing w:after="0" w:line="192"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Medicare reimbursement is adjusted for an inability to obtain appropriate billing documentation or authorizations acceptable to the payor and other reasons unrelated to credit risk. Additionally, as Medicare hospice revenue is subject to an inpatient cap limit and an overall payment cap, we monitor our provider numbers and estimate amounts due back to Medicare to the extent that the cap has been exceeded.</w:t>
      </w:r>
    </w:p>
    <w:p>
      <w:pPr>
        <w:spacing w:after="0" w:line="211"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b w:val="1"/>
          <w:bCs w:val="1"/>
          <w:i w:val="1"/>
          <w:iCs w:val="1"/>
          <w:color w:val="auto"/>
        </w:rPr>
        <w:t>Senior Living Services</w:t>
      </w:r>
      <w:r>
        <w:rPr>
          <w:rFonts w:ascii="Arial" w:cs="Arial" w:eastAsia="Arial" w:hAnsi="Arial"/>
          <w:sz w:val="18"/>
          <w:szCs w:val="18"/>
          <w:i w:val="1"/>
          <w:i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As of September 30, 2022, we provided assisted living, independent living and memory care services in 49 communities.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Within our senior living operations, we generate revenue primarily from private pay sources, with a portion earned from Medicaid or other state-specific programs.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Primary Components of Expense</w:t>
      </w:r>
    </w:p>
    <w:p>
      <w:pPr>
        <w:spacing w:after="0" w:line="256"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b w:val="1"/>
          <w:bCs w:val="1"/>
          <w:i w:val="1"/>
          <w:iCs w:val="1"/>
          <w:color w:val="auto"/>
        </w:rPr>
        <w:t>Cost of Services (excluding rent, general and administrative expense and depreciation and amortization)</w:t>
      </w:r>
      <w:r>
        <w:rPr>
          <w:rFonts w:ascii="Arial" w:cs="Arial" w:eastAsia="Arial" w:hAnsi="Arial"/>
          <w:sz w:val="18"/>
          <w:szCs w:val="18"/>
          <w:color w:val="auto"/>
        </w:rPr>
        <w:t>. Our cost of services represents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costs of operating our independent operating subsidiaries, which primarily consists of payroll and related benefits, supplies, purchased services, and ancillary expenses such as the cost of pharmacy and therapy services</w:t>
      </w: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2" w:name="page33"/>
    <w:bookmarkEnd w:id="32"/>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6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provided to patients. Cost of services also includes the cost of general and professional liability insurance and other general cost of services specifically attributable to our operations.</w:t>
      </w:r>
    </w:p>
    <w:p>
      <w:pPr>
        <w:spacing w:after="0" w:line="170"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b w:val="1"/>
          <w:bCs w:val="1"/>
          <w:i w:val="1"/>
          <w:iCs w:val="1"/>
          <w:color w:val="auto"/>
        </w:rPr>
        <w:t>Rent—Cost of Services</w:t>
      </w:r>
      <w:r>
        <w:rPr>
          <w:rFonts w:ascii="Arial" w:cs="Arial" w:eastAsia="Arial" w:hAnsi="Arial"/>
          <w:sz w:val="18"/>
          <w:szCs w:val="18"/>
          <w:color w:val="auto"/>
        </w:rPr>
        <w:t>. Rent—cost of services consists solely of base minimum rent amounts payable under lease agreements to our landlords.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Our subsidiaries lease and operate but do not own the underlying real estate at our operations, and these amounts do not include taxes, insurance, impounds, capital reserves or other charges payable under the applicable lease agreements.</w:t>
      </w:r>
    </w:p>
    <w:p>
      <w:pPr>
        <w:spacing w:after="0" w:line="211" w:lineRule="exact"/>
        <w:rPr>
          <w:sz w:val="20"/>
          <w:szCs w:val="20"/>
          <w:color w:val="auto"/>
        </w:rPr>
      </w:pPr>
    </w:p>
    <w:p>
      <w:pPr>
        <w:jc w:val="both"/>
        <w:ind w:firstLine="648"/>
        <w:spacing w:after="0" w:line="311" w:lineRule="auto"/>
        <w:rPr>
          <w:sz w:val="20"/>
          <w:szCs w:val="20"/>
          <w:color w:val="auto"/>
        </w:rPr>
      </w:pPr>
      <w:r>
        <w:rPr>
          <w:rFonts w:ascii="Arial" w:cs="Arial" w:eastAsia="Arial" w:hAnsi="Arial"/>
          <w:sz w:val="16"/>
          <w:szCs w:val="16"/>
          <w:b w:val="1"/>
          <w:bCs w:val="1"/>
          <w:i w:val="1"/>
          <w:iCs w:val="1"/>
          <w:color w:val="auto"/>
        </w:rPr>
        <w:t>General and Administrative Expense</w:t>
      </w:r>
      <w:r>
        <w:rPr>
          <w:rFonts w:ascii="Arial" w:cs="Arial" w:eastAsia="Arial" w:hAnsi="Arial"/>
          <w:sz w:val="16"/>
          <w:szCs w:val="16"/>
          <w:color w:val="auto"/>
        </w:rPr>
        <w:t>. General and administrative expense consists primarily of payroll and related benefits and travel expenses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for our Service Center personnel, including training and other operational support. General and administrative expense also includes professional fees (including accounting and legal fees), costs relating to information systems, stock-based compensation and rent for our Service Center offices.</w:t>
      </w:r>
    </w:p>
    <w:p>
      <w:pPr>
        <w:spacing w:after="0" w:line="149"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b w:val="1"/>
          <w:bCs w:val="1"/>
          <w:i w:val="1"/>
          <w:iCs w:val="1"/>
          <w:color w:val="auto"/>
        </w:rPr>
        <w:t>Depreciation and Amortization</w:t>
      </w:r>
      <w:r>
        <w:rPr>
          <w:rFonts w:ascii="Arial" w:cs="Arial" w:eastAsia="Arial" w:hAnsi="Arial"/>
          <w:sz w:val="18"/>
          <w:szCs w:val="18"/>
          <w:color w:val="auto"/>
        </w:rPr>
        <w:t>. Property and equipment are recorded at their original historical cost. Depreciation is computed using the straight-line method over the estimated useful lives of the depreciable assets (ranging from three to 15 years). Leasehold improvements are amortized on a straight-line basis over the shorter of their estimated useful lives or the remaining lease term.</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256"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 xml:space="preserve">Our discussion and analysis of our financial condition and results of operations are based on Interim Financial Statements, which have been prepared in accordance with U.S. generally accepted accounting principles (“GAAP”). The preparation of the Interim Financial Statements and related disclosures requires us to make judgments, estimates and assumptions that affect the reported amounts of assets and liabilities and disclosure of contingent assets and liabilities at the date of the financial statements and the reported amounts of revenue and expenses during the reporting period. On an ongoing basis we review our judgments and estimates, including but not limited to those related to revenue, leases, intangible assets, goodwill, and income taxes. We base our estimates and judgments upon our historical experience, knowledge of current conditions and our belief of what could occur in the future considering available information, including assumptions that we believe to be reasonable under the circumstances. By their nature, these estimates and judgments are subject to an inherent degree of uncertainty, and actual results could differ materially from the amounts reported. While we believe that our estimates, assumptions, and judgments are reasonable, they are based on information available when the estimate was made. Refer to Note 2, </w:t>
      </w:r>
      <w:r>
        <w:rPr>
          <w:rFonts w:ascii="Arial" w:cs="Arial" w:eastAsia="Arial" w:hAnsi="Arial"/>
          <w:sz w:val="17"/>
          <w:szCs w:val="17"/>
          <w:i w:val="1"/>
          <w:iCs w:val="1"/>
          <w:color w:val="auto"/>
        </w:rPr>
        <w:t>Basis of</w:t>
      </w:r>
      <w:r>
        <w:rPr>
          <w:rFonts w:ascii="Arial" w:cs="Arial" w:eastAsia="Arial" w:hAnsi="Arial"/>
          <w:sz w:val="17"/>
          <w:szCs w:val="17"/>
          <w:color w:val="auto"/>
        </w:rPr>
        <w:t xml:space="preserve"> </w:t>
      </w:r>
      <w:r>
        <w:rPr>
          <w:rFonts w:ascii="Arial" w:cs="Arial" w:eastAsia="Arial" w:hAnsi="Arial"/>
          <w:sz w:val="17"/>
          <w:szCs w:val="17"/>
          <w:i w:val="1"/>
          <w:iCs w:val="1"/>
          <w:color w:val="auto"/>
        </w:rPr>
        <w:t>Presentation and Summary of Significant Accounting Policies</w:t>
      </w:r>
      <w:r>
        <w:rPr>
          <w:rFonts w:ascii="Arial" w:cs="Arial" w:eastAsia="Arial" w:hAnsi="Arial"/>
          <w:sz w:val="17"/>
          <w:szCs w:val="17"/>
          <w:color w:val="auto"/>
        </w:rPr>
        <w:t>, within the 2021 Annual Report for further information on our critical accounting estimates</w:t>
      </w:r>
      <w:r>
        <w:rPr>
          <w:rFonts w:ascii="Arial" w:cs="Arial" w:eastAsia="Arial" w:hAnsi="Arial"/>
          <w:sz w:val="17"/>
          <w:szCs w:val="17"/>
          <w:i w:val="1"/>
          <w:iCs w:val="1"/>
          <w:color w:val="auto"/>
        </w:rPr>
        <w:t xml:space="preserve"> </w:t>
      </w:r>
      <w:r>
        <w:rPr>
          <w:rFonts w:ascii="Arial" w:cs="Arial" w:eastAsia="Arial" w:hAnsi="Arial"/>
          <w:sz w:val="17"/>
          <w:szCs w:val="17"/>
          <w:color w:val="auto"/>
        </w:rPr>
        <w:t>and policies, which are as follows:</w:t>
      </w:r>
    </w:p>
    <w:p>
      <w:pPr>
        <w:spacing w:after="0" w:line="209" w:lineRule="exact"/>
        <w:rPr>
          <w:sz w:val="20"/>
          <w:szCs w:val="20"/>
          <w:color w:val="auto"/>
        </w:rPr>
      </w:pPr>
    </w:p>
    <w:p>
      <w:pPr>
        <w:ind w:left="660" w:right="600" w:hanging="328"/>
        <w:spacing w:after="0" w:line="308" w:lineRule="auto"/>
        <w:tabs>
          <w:tab w:leader="none" w:pos="655" w:val="left"/>
        </w:tabs>
        <w:numPr>
          <w:ilvl w:val="0"/>
          <w:numId w:val="23"/>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Self-insurance reserves </w:t>
      </w:r>
      <w:r>
        <w:rPr>
          <w:rFonts w:ascii="Arial" w:cs="Arial" w:eastAsia="Arial" w:hAnsi="Arial"/>
          <w:sz w:val="17"/>
          <w:szCs w:val="17"/>
          <w:color w:val="auto"/>
        </w:rPr>
        <w:t>- The valuation methods and assumptions used in estimating costs up to retention amounts to settle open claims of</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insureds and an estimate of the cost of insured claims up to retention amounts that have been incurred but not reported;</w:t>
      </w:r>
    </w:p>
    <w:p>
      <w:pPr>
        <w:spacing w:after="0" w:line="38" w:lineRule="exact"/>
        <w:rPr>
          <w:rFonts w:ascii="Arial" w:cs="Arial" w:eastAsia="Arial" w:hAnsi="Arial"/>
          <w:sz w:val="17"/>
          <w:szCs w:val="17"/>
          <w:color w:val="auto"/>
        </w:rPr>
      </w:pPr>
    </w:p>
    <w:p>
      <w:pPr>
        <w:ind w:left="660" w:right="520" w:hanging="328"/>
        <w:spacing w:after="0" w:line="308" w:lineRule="auto"/>
        <w:tabs>
          <w:tab w:leader="none" w:pos="655" w:val="left"/>
        </w:tabs>
        <w:numPr>
          <w:ilvl w:val="0"/>
          <w:numId w:val="23"/>
        </w:numPr>
        <w:rPr>
          <w:rFonts w:ascii="Arial" w:cs="Arial" w:eastAsia="Arial" w:hAnsi="Arial"/>
          <w:sz w:val="17"/>
          <w:szCs w:val="17"/>
          <w:b w:val="1"/>
          <w:bCs w:val="1"/>
          <w:i w:val="1"/>
          <w:iCs w:val="1"/>
          <w:color w:val="auto"/>
        </w:rPr>
      </w:pPr>
      <w:r>
        <w:rPr>
          <w:rFonts w:ascii="Arial" w:cs="Arial" w:eastAsia="Arial" w:hAnsi="Arial"/>
          <w:sz w:val="17"/>
          <w:szCs w:val="17"/>
          <w:b w:val="1"/>
          <w:bCs w:val="1"/>
          <w:i w:val="1"/>
          <w:iCs w:val="1"/>
          <w:color w:val="auto"/>
        </w:rPr>
        <w:t xml:space="preserve">Revenue recognition </w:t>
      </w:r>
      <w:r>
        <w:rPr>
          <w:rFonts w:ascii="Arial" w:cs="Arial" w:eastAsia="Arial" w:hAnsi="Arial"/>
          <w:sz w:val="17"/>
          <w:szCs w:val="17"/>
          <w:color w:val="auto"/>
        </w:rPr>
        <w:t>- The estimate of variable considerations to arrive at the transaction price, including methods and assumptions used to</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determine settlements with Medicare and Medicaid payors or retroactive adjustments due to audits and reviews;</w:t>
      </w:r>
    </w:p>
    <w:p>
      <w:pPr>
        <w:spacing w:after="0" w:line="38" w:lineRule="exact"/>
        <w:rPr>
          <w:rFonts w:ascii="Arial" w:cs="Arial" w:eastAsia="Arial" w:hAnsi="Arial"/>
          <w:sz w:val="17"/>
          <w:szCs w:val="17"/>
          <w:b w:val="1"/>
          <w:bCs w:val="1"/>
          <w:i w:val="1"/>
          <w:iCs w:val="1"/>
          <w:color w:val="auto"/>
        </w:rPr>
      </w:pPr>
    </w:p>
    <w:p>
      <w:pPr>
        <w:ind w:left="660" w:right="400" w:hanging="328"/>
        <w:spacing w:after="0" w:line="277" w:lineRule="auto"/>
        <w:tabs>
          <w:tab w:leader="none" w:pos="655" w:val="left"/>
        </w:tabs>
        <w:numPr>
          <w:ilvl w:val="0"/>
          <w:numId w:val="23"/>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Leases </w:t>
      </w:r>
      <w:r>
        <w:rPr>
          <w:rFonts w:ascii="Arial" w:cs="Arial" w:eastAsia="Arial" w:hAnsi="Arial"/>
          <w:sz w:val="18"/>
          <w:szCs w:val="18"/>
          <w:color w:val="auto"/>
        </w:rPr>
        <w:t>- We use our estimated incremental borrowing rate based on the information available at lease commencement date in determining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present value of future lease payments;</w:t>
      </w:r>
    </w:p>
    <w:p>
      <w:pPr>
        <w:spacing w:after="0" w:line="58" w:lineRule="exact"/>
        <w:rPr>
          <w:rFonts w:ascii="Arial" w:cs="Arial" w:eastAsia="Arial" w:hAnsi="Arial"/>
          <w:sz w:val="18"/>
          <w:szCs w:val="18"/>
          <w:color w:val="auto"/>
        </w:rPr>
      </w:pPr>
    </w:p>
    <w:p>
      <w:pPr>
        <w:ind w:left="660" w:right="180" w:hanging="328"/>
        <w:spacing w:after="0" w:line="282" w:lineRule="auto"/>
        <w:tabs>
          <w:tab w:leader="none" w:pos="655" w:val="left"/>
        </w:tabs>
        <w:numPr>
          <w:ilvl w:val="0"/>
          <w:numId w:val="23"/>
        </w:numPr>
        <w:rPr>
          <w:rFonts w:ascii="Arial" w:cs="Arial" w:eastAsia="Arial" w:hAnsi="Arial"/>
          <w:sz w:val="18"/>
          <w:szCs w:val="18"/>
          <w:color w:val="auto"/>
        </w:rPr>
      </w:pPr>
      <w:r>
        <w:rPr>
          <w:rFonts w:ascii="Arial" w:cs="Arial" w:eastAsia="Arial" w:hAnsi="Arial"/>
          <w:sz w:val="18"/>
          <w:szCs w:val="18"/>
          <w:b w:val="1"/>
          <w:bCs w:val="1"/>
          <w:i w:val="1"/>
          <w:iCs w:val="1"/>
          <w:color w:val="auto"/>
        </w:rPr>
        <w:t>Acquisition accountin</w:t>
      </w:r>
      <w:r>
        <w:rPr>
          <w:rFonts w:ascii="Arial" w:cs="Arial" w:eastAsia="Arial" w:hAnsi="Arial"/>
          <w:sz w:val="18"/>
          <w:szCs w:val="18"/>
          <w:b w:val="1"/>
          <w:bCs w:val="1"/>
          <w:color w:val="auto"/>
        </w:rPr>
        <w:t>g</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 The assumptions used to allocate the purchase price paid for assets acquired and liabilities assumed in connection with</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our acquisitions; and</w:t>
      </w:r>
    </w:p>
    <w:p>
      <w:pPr>
        <w:spacing w:after="0" w:line="57" w:lineRule="exact"/>
        <w:rPr>
          <w:rFonts w:ascii="Arial" w:cs="Arial" w:eastAsia="Arial" w:hAnsi="Arial"/>
          <w:sz w:val="18"/>
          <w:szCs w:val="18"/>
          <w:color w:val="auto"/>
        </w:rPr>
      </w:pPr>
    </w:p>
    <w:p>
      <w:pPr>
        <w:ind w:left="660" w:hanging="328"/>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Income taxes </w:t>
      </w:r>
      <w:r>
        <w:rPr>
          <w:rFonts w:ascii="Arial" w:cs="Arial" w:eastAsia="Arial" w:hAnsi="Arial"/>
          <w:sz w:val="18"/>
          <w:szCs w:val="18"/>
          <w:color w:val="auto"/>
        </w:rPr>
        <w:t>- The estimation of valuation allowance or the need for and magnitude of liabilities for uncertain tax position.</w:t>
      </w:r>
    </w:p>
    <w:p>
      <w:pPr>
        <w:spacing w:after="0" w:line="3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Pronouncements</w:t>
      </w:r>
    </w:p>
    <w:p>
      <w:pPr>
        <w:spacing w:after="0" w:line="202" w:lineRule="exact"/>
        <w:rPr>
          <w:sz w:val="20"/>
          <w:szCs w:val="20"/>
          <w:color w:val="auto"/>
        </w:rPr>
      </w:pPr>
    </w:p>
    <w:p>
      <w:pPr>
        <w:ind w:right="380" w:firstLine="648"/>
        <w:spacing w:after="0" w:line="277" w:lineRule="auto"/>
        <w:rPr>
          <w:sz w:val="20"/>
          <w:szCs w:val="20"/>
          <w:color w:val="auto"/>
        </w:rPr>
      </w:pPr>
      <w:r>
        <w:rPr>
          <w:rFonts w:ascii="Arial" w:cs="Arial" w:eastAsia="Arial" w:hAnsi="Arial"/>
          <w:sz w:val="18"/>
          <w:szCs w:val="18"/>
          <w:color w:val="auto"/>
        </w:rPr>
        <w:t xml:space="preserve">Information concerning recently issued accounting pronouncements are included in Note 2, </w:t>
      </w:r>
      <w:r>
        <w:rPr>
          <w:rFonts w:ascii="Arial" w:cs="Arial" w:eastAsia="Arial" w:hAnsi="Arial"/>
          <w:sz w:val="18"/>
          <w:szCs w:val="18"/>
          <w:i w:val="1"/>
          <w:iCs w:val="1"/>
          <w:color w:val="auto"/>
        </w:rPr>
        <w:t>Basis of Presentation and Summary of Significant</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Accounting Policies </w:t>
      </w:r>
      <w:r>
        <w:rPr>
          <w:rFonts w:ascii="Arial" w:cs="Arial" w:eastAsia="Arial" w:hAnsi="Arial"/>
          <w:sz w:val="18"/>
          <w:szCs w:val="18"/>
          <w:color w:val="auto"/>
        </w:rPr>
        <w:t>in the Interim Financial Statements.</w:t>
      </w: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3" w:name="page34"/>
    <w:bookmarkEnd w:id="33"/>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256" w:lineRule="exact"/>
        <w:rPr>
          <w:sz w:val="20"/>
          <w:szCs w:val="20"/>
          <w:color w:val="auto"/>
        </w:rPr>
      </w:pPr>
    </w:p>
    <w:p>
      <w:pPr>
        <w:ind w:left="660"/>
        <w:spacing w:after="0"/>
        <w:rPr>
          <w:sz w:val="20"/>
          <w:szCs w:val="20"/>
          <w:color w:val="auto"/>
        </w:rPr>
      </w:pPr>
      <w:r>
        <w:rPr>
          <w:rFonts w:ascii="Arial" w:cs="Arial" w:eastAsia="Arial" w:hAnsi="Arial"/>
          <w:sz w:val="17"/>
          <w:szCs w:val="17"/>
          <w:color w:val="auto"/>
        </w:rPr>
        <w:t>The following table sets forth details of our revenue, expenses and earnings as a percentage of total revenue for the periods indicated:</w:t>
      </w:r>
    </w:p>
    <w:p>
      <w:pPr>
        <w:spacing w:after="0" w:line="27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740" w:type="dxa"/>
            <w:vAlign w:val="bottom"/>
          </w:tcPr>
          <w:p>
            <w:pPr>
              <w:spacing w:after="0"/>
              <w:rPr>
                <w:sz w:val="17"/>
                <w:szCs w:val="17"/>
                <w:color w:val="auto"/>
              </w:rPr>
            </w:pPr>
          </w:p>
        </w:tc>
        <w:tc>
          <w:tcPr>
            <w:tcW w:w="2800" w:type="dxa"/>
            <w:vAlign w:val="bottom"/>
            <w:gridSpan w:val="5"/>
          </w:tcPr>
          <w:p>
            <w:pPr>
              <w:jc w:val="center"/>
              <w:ind w:right="120"/>
              <w:spacing w:after="0"/>
              <w:rPr>
                <w:sz w:val="20"/>
                <w:szCs w:val="20"/>
                <w:color w:val="auto"/>
              </w:rPr>
            </w:pPr>
            <w:r>
              <w:rPr>
                <w:rFonts w:ascii="Arial" w:cs="Arial" w:eastAsia="Arial" w:hAnsi="Arial"/>
                <w:sz w:val="18"/>
                <w:szCs w:val="18"/>
                <w:b w:val="1"/>
                <w:bCs w:val="1"/>
                <w:color w:val="auto"/>
                <w:w w:val="91"/>
              </w:rPr>
              <w:t>Three Months Ended September</w:t>
            </w:r>
          </w:p>
        </w:tc>
        <w:tc>
          <w:tcPr>
            <w:tcW w:w="2700" w:type="dxa"/>
            <w:vAlign w:val="bottom"/>
            <w:gridSpan w:val="4"/>
          </w:tcPr>
          <w:p>
            <w:pPr>
              <w:jc w:val="center"/>
              <w:spacing w:after="0"/>
              <w:rPr>
                <w:sz w:val="20"/>
                <w:szCs w:val="20"/>
                <w:color w:val="auto"/>
              </w:rPr>
            </w:pPr>
            <w:r>
              <w:rPr>
                <w:rFonts w:ascii="Arial" w:cs="Arial" w:eastAsia="Arial" w:hAnsi="Arial"/>
                <w:sz w:val="18"/>
                <w:szCs w:val="18"/>
                <w:b w:val="1"/>
                <w:bCs w:val="1"/>
                <w:color w:val="auto"/>
                <w:w w:val="90"/>
              </w:rPr>
              <w:t>Nine Months Ended September</w:t>
            </w:r>
          </w:p>
        </w:tc>
      </w:tr>
      <w:tr>
        <w:trPr>
          <w:trHeight w:val="239"/>
        </w:trPr>
        <w:tc>
          <w:tcPr>
            <w:tcW w:w="5740" w:type="dxa"/>
            <w:vAlign w:val="bottom"/>
          </w:tcPr>
          <w:p>
            <w:pPr>
              <w:spacing w:after="0"/>
              <w:rPr>
                <w:sz w:val="20"/>
                <w:szCs w:val="20"/>
                <w:color w:val="auto"/>
              </w:rPr>
            </w:pPr>
          </w:p>
        </w:tc>
        <w:tc>
          <w:tcPr>
            <w:tcW w:w="1660" w:type="dxa"/>
            <w:vAlign w:val="bottom"/>
            <w:tcBorders>
              <w:bottom w:val="single" w:sz="8" w:color="auto"/>
            </w:tcBorders>
            <w:gridSpan w:val="3"/>
          </w:tcPr>
          <w:p>
            <w:pPr>
              <w:jc w:val="right"/>
              <w:ind w:right="200"/>
              <w:spacing w:after="0"/>
              <w:rPr>
                <w:sz w:val="20"/>
                <w:szCs w:val="20"/>
                <w:color w:val="auto"/>
              </w:rPr>
            </w:pPr>
            <w:r>
              <w:rPr>
                <w:rFonts w:ascii="Arial" w:cs="Arial" w:eastAsia="Arial" w:hAnsi="Arial"/>
                <w:sz w:val="18"/>
                <w:szCs w:val="18"/>
                <w:b w:val="1"/>
                <w:bCs w:val="1"/>
                <w:color w:val="auto"/>
              </w:rPr>
              <w:t>30,</w:t>
            </w:r>
          </w:p>
        </w:tc>
        <w:tc>
          <w:tcPr>
            <w:tcW w:w="10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660" w:type="dxa"/>
            <w:vAlign w:val="bottom"/>
            <w:tcBorders>
              <w:bottom w:val="single" w:sz="8" w:color="auto"/>
            </w:tcBorders>
            <w:gridSpan w:val="3"/>
          </w:tcPr>
          <w:p>
            <w:pPr>
              <w:jc w:val="right"/>
              <w:ind w:right="200"/>
              <w:spacing w:after="0"/>
              <w:rPr>
                <w:sz w:val="20"/>
                <w:szCs w:val="20"/>
                <w:color w:val="auto"/>
              </w:rPr>
            </w:pPr>
            <w:r>
              <w:rPr>
                <w:rFonts w:ascii="Arial" w:cs="Arial" w:eastAsia="Arial" w:hAnsi="Arial"/>
                <w:sz w:val="18"/>
                <w:szCs w:val="18"/>
                <w:b w:val="1"/>
                <w:bCs w:val="1"/>
                <w:color w:val="auto"/>
              </w:rPr>
              <w:t>30,</w:t>
            </w:r>
          </w:p>
        </w:tc>
        <w:tc>
          <w:tcPr>
            <w:tcW w:w="1040" w:type="dxa"/>
            <w:vAlign w:val="bottom"/>
            <w:tcBorders>
              <w:bottom w:val="single" w:sz="8" w:color="auto"/>
            </w:tcBorders>
          </w:tcPr>
          <w:p>
            <w:pPr>
              <w:spacing w:after="0"/>
              <w:rPr>
                <w:sz w:val="20"/>
                <w:szCs w:val="20"/>
                <w:color w:val="auto"/>
              </w:rPr>
            </w:pPr>
          </w:p>
        </w:tc>
      </w:tr>
      <w:tr>
        <w:trPr>
          <w:trHeight w:val="227"/>
        </w:trPr>
        <w:tc>
          <w:tcPr>
            <w:tcW w:w="5740" w:type="dxa"/>
            <w:vAlign w:val="bottom"/>
          </w:tcPr>
          <w:p>
            <w:pPr>
              <w:spacing w:after="0"/>
              <w:rPr>
                <w:sz w:val="19"/>
                <w:szCs w:val="19"/>
                <w:color w:val="auto"/>
              </w:rPr>
            </w:pPr>
          </w:p>
        </w:tc>
        <w:tc>
          <w:tcPr>
            <w:tcW w:w="128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2022</w:t>
            </w:r>
          </w:p>
        </w:tc>
        <w:tc>
          <w:tcPr>
            <w:tcW w:w="12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2021</w:t>
            </w:r>
          </w:p>
        </w:tc>
        <w:tc>
          <w:tcPr>
            <w:tcW w:w="100" w:type="dxa"/>
            <w:vAlign w:val="bottom"/>
          </w:tcPr>
          <w:p>
            <w:pPr>
              <w:spacing w:after="0"/>
              <w:rPr>
                <w:sz w:val="19"/>
                <w:szCs w:val="19"/>
                <w:color w:val="auto"/>
              </w:rPr>
            </w:pPr>
          </w:p>
        </w:tc>
        <w:tc>
          <w:tcPr>
            <w:tcW w:w="130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2022</w:t>
            </w:r>
          </w:p>
        </w:tc>
        <w:tc>
          <w:tcPr>
            <w:tcW w:w="10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2021</w:t>
            </w:r>
          </w:p>
        </w:tc>
      </w:tr>
      <w:tr>
        <w:trPr>
          <w:trHeight w:val="223"/>
        </w:trPr>
        <w:tc>
          <w:tcPr>
            <w:tcW w:w="5740" w:type="dxa"/>
            <w:vAlign w:val="bottom"/>
          </w:tcPr>
          <w:p>
            <w:pPr>
              <w:ind w:left="20"/>
              <w:spacing w:after="0"/>
              <w:rPr>
                <w:sz w:val="20"/>
                <w:szCs w:val="20"/>
                <w:color w:val="auto"/>
              </w:rPr>
            </w:pPr>
            <w:r>
              <w:rPr>
                <w:rFonts w:ascii="Arial" w:cs="Arial" w:eastAsia="Arial" w:hAnsi="Arial"/>
                <w:sz w:val="18"/>
                <w:szCs w:val="18"/>
                <w:color w:val="auto"/>
              </w:rPr>
              <w:t>Total revenue</w:t>
            </w:r>
          </w:p>
        </w:tc>
        <w:tc>
          <w:tcPr>
            <w:tcW w:w="1280" w:type="dxa"/>
            <w:vAlign w:val="bottom"/>
          </w:tcPr>
          <w:p>
            <w:pPr>
              <w:jc w:val="right"/>
              <w:spacing w:after="0"/>
              <w:rPr>
                <w:sz w:val="20"/>
                <w:szCs w:val="20"/>
                <w:color w:val="auto"/>
              </w:rPr>
            </w:pPr>
            <w:r>
              <w:rPr>
                <w:rFonts w:ascii="Arial" w:cs="Arial" w:eastAsia="Arial" w:hAnsi="Arial"/>
                <w:sz w:val="18"/>
                <w:szCs w:val="18"/>
                <w:color w:val="auto"/>
              </w:rPr>
              <w:t>100.0 %</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100.0 %</w:t>
            </w:r>
          </w:p>
        </w:tc>
        <w:tc>
          <w:tcPr>
            <w:tcW w:w="1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100.0 %</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100.0 %</w:t>
            </w:r>
          </w:p>
        </w:tc>
      </w:tr>
      <w:tr>
        <w:trPr>
          <w:trHeight w:val="229"/>
        </w:trPr>
        <w:tc>
          <w:tcPr>
            <w:tcW w:w="5740" w:type="dxa"/>
            <w:vAlign w:val="bottom"/>
            <w:shd w:val="clear" w:color="auto" w:fill="CCEEFF"/>
          </w:tcPr>
          <w:p>
            <w:pPr>
              <w:ind w:left="20"/>
              <w:spacing w:after="0"/>
              <w:rPr>
                <w:sz w:val="20"/>
                <w:szCs w:val="20"/>
                <w:color w:val="auto"/>
              </w:rPr>
            </w:pPr>
            <w:r>
              <w:rPr>
                <w:rFonts w:ascii="Arial" w:cs="Arial" w:eastAsia="Arial" w:hAnsi="Arial"/>
                <w:sz w:val="18"/>
                <w:szCs w:val="18"/>
                <w:color w:val="auto"/>
              </w:rPr>
              <w:t>Expense:</w:t>
            </w:r>
          </w:p>
        </w:tc>
        <w:tc>
          <w:tcPr>
            <w:tcW w:w="12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r>
      <w:tr>
        <w:trPr>
          <w:trHeight w:val="229"/>
        </w:trPr>
        <w:tc>
          <w:tcPr>
            <w:tcW w:w="5740" w:type="dxa"/>
            <w:vAlign w:val="bottom"/>
          </w:tcPr>
          <w:p>
            <w:pPr>
              <w:ind w:left="220"/>
              <w:spacing w:after="0"/>
              <w:rPr>
                <w:sz w:val="20"/>
                <w:szCs w:val="20"/>
                <w:color w:val="auto"/>
              </w:rPr>
            </w:pPr>
            <w:r>
              <w:rPr>
                <w:rFonts w:ascii="Arial" w:cs="Arial" w:eastAsia="Arial" w:hAnsi="Arial"/>
                <w:sz w:val="18"/>
                <w:szCs w:val="18"/>
                <w:color w:val="auto"/>
              </w:rPr>
              <w:t>Cost of services</w:t>
            </w:r>
          </w:p>
        </w:tc>
        <w:tc>
          <w:tcPr>
            <w:tcW w:w="1280" w:type="dxa"/>
            <w:vAlign w:val="bottom"/>
          </w:tcPr>
          <w:p>
            <w:pPr>
              <w:jc w:val="right"/>
              <w:ind w:right="130"/>
              <w:spacing w:after="0"/>
              <w:rPr>
                <w:sz w:val="20"/>
                <w:szCs w:val="20"/>
                <w:color w:val="auto"/>
              </w:rPr>
            </w:pPr>
            <w:r>
              <w:rPr>
                <w:rFonts w:ascii="Arial" w:cs="Arial" w:eastAsia="Arial" w:hAnsi="Arial"/>
                <w:sz w:val="18"/>
                <w:szCs w:val="18"/>
                <w:color w:val="auto"/>
              </w:rPr>
              <w:t>80.0</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40" w:type="dxa"/>
            <w:vAlign w:val="bottom"/>
          </w:tcPr>
          <w:p>
            <w:pPr>
              <w:jc w:val="right"/>
              <w:ind w:right="130"/>
              <w:spacing w:after="0"/>
              <w:rPr>
                <w:sz w:val="20"/>
                <w:szCs w:val="20"/>
                <w:color w:val="auto"/>
              </w:rPr>
            </w:pPr>
            <w:r>
              <w:rPr>
                <w:rFonts w:ascii="Arial" w:cs="Arial" w:eastAsia="Arial" w:hAnsi="Arial"/>
                <w:sz w:val="18"/>
                <w:szCs w:val="18"/>
                <w:color w:val="auto"/>
              </w:rPr>
              <w:t>80.1</w:t>
            </w:r>
          </w:p>
        </w:tc>
        <w:tc>
          <w:tcPr>
            <w:tcW w:w="100" w:type="dxa"/>
            <w:vAlign w:val="bottom"/>
          </w:tcPr>
          <w:p>
            <w:pPr>
              <w:spacing w:after="0"/>
              <w:rPr>
                <w:sz w:val="19"/>
                <w:szCs w:val="19"/>
                <w:color w:val="auto"/>
              </w:rPr>
            </w:pPr>
          </w:p>
        </w:tc>
        <w:tc>
          <w:tcPr>
            <w:tcW w:w="1300" w:type="dxa"/>
            <w:vAlign w:val="bottom"/>
          </w:tcPr>
          <w:p>
            <w:pPr>
              <w:jc w:val="right"/>
              <w:ind w:right="130"/>
              <w:spacing w:after="0"/>
              <w:rPr>
                <w:sz w:val="20"/>
                <w:szCs w:val="20"/>
                <w:color w:val="auto"/>
              </w:rPr>
            </w:pPr>
            <w:r>
              <w:rPr>
                <w:rFonts w:ascii="Arial" w:cs="Arial" w:eastAsia="Arial" w:hAnsi="Arial"/>
                <w:sz w:val="18"/>
                <w:szCs w:val="18"/>
                <w:color w:val="auto"/>
              </w:rPr>
              <w:t>79.7</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40" w:type="dxa"/>
            <w:vAlign w:val="bottom"/>
          </w:tcPr>
          <w:p>
            <w:pPr>
              <w:jc w:val="right"/>
              <w:ind w:right="130"/>
              <w:spacing w:after="0"/>
              <w:rPr>
                <w:sz w:val="20"/>
                <w:szCs w:val="20"/>
                <w:color w:val="auto"/>
              </w:rPr>
            </w:pPr>
            <w:r>
              <w:rPr>
                <w:rFonts w:ascii="Arial" w:cs="Arial" w:eastAsia="Arial" w:hAnsi="Arial"/>
                <w:sz w:val="18"/>
                <w:szCs w:val="18"/>
                <w:color w:val="auto"/>
              </w:rPr>
              <w:t>79.3</w:t>
            </w:r>
          </w:p>
        </w:tc>
      </w:tr>
      <w:tr>
        <w:trPr>
          <w:trHeight w:val="230"/>
        </w:trPr>
        <w:tc>
          <w:tcPr>
            <w:tcW w:w="5740" w:type="dxa"/>
            <w:vAlign w:val="bottom"/>
            <w:shd w:val="clear" w:color="auto" w:fill="CCEEFF"/>
          </w:tcPr>
          <w:p>
            <w:pPr>
              <w:ind w:left="260"/>
              <w:spacing w:after="0"/>
              <w:rPr>
                <w:sz w:val="20"/>
                <w:szCs w:val="20"/>
                <w:color w:val="auto"/>
              </w:rPr>
            </w:pPr>
            <w:r>
              <w:rPr>
                <w:rFonts w:ascii="Arial" w:cs="Arial" w:eastAsia="Arial" w:hAnsi="Arial"/>
                <w:sz w:val="18"/>
                <w:szCs w:val="18"/>
                <w:color w:val="auto"/>
              </w:rPr>
              <w:t>Rent—cost of services</w:t>
            </w:r>
          </w:p>
        </w:tc>
        <w:tc>
          <w:tcPr>
            <w:tcW w:w="128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7.9</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9.2</w:t>
            </w:r>
          </w:p>
        </w:tc>
        <w:tc>
          <w:tcPr>
            <w:tcW w:w="100" w:type="dxa"/>
            <w:vAlign w:val="bottom"/>
            <w:shd w:val="clear" w:color="auto" w:fill="CCEEFF"/>
          </w:tcPr>
          <w:p>
            <w:pPr>
              <w:spacing w:after="0"/>
              <w:rPr>
                <w:sz w:val="19"/>
                <w:szCs w:val="19"/>
                <w:color w:val="auto"/>
              </w:rPr>
            </w:pPr>
          </w:p>
        </w:tc>
        <w:tc>
          <w:tcPr>
            <w:tcW w:w="130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8.2</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9.3</w:t>
            </w:r>
          </w:p>
        </w:tc>
      </w:tr>
      <w:tr>
        <w:trPr>
          <w:trHeight w:val="229"/>
        </w:trPr>
        <w:tc>
          <w:tcPr>
            <w:tcW w:w="5740" w:type="dxa"/>
            <w:vAlign w:val="bottom"/>
          </w:tcPr>
          <w:p>
            <w:pPr>
              <w:ind w:left="220"/>
              <w:spacing w:after="0"/>
              <w:rPr>
                <w:sz w:val="20"/>
                <w:szCs w:val="20"/>
                <w:color w:val="auto"/>
              </w:rPr>
            </w:pPr>
            <w:r>
              <w:rPr>
                <w:rFonts w:ascii="Arial" w:cs="Arial" w:eastAsia="Arial" w:hAnsi="Arial"/>
                <w:sz w:val="18"/>
                <w:szCs w:val="18"/>
                <w:color w:val="auto"/>
              </w:rPr>
              <w:t>General and administrative expense</w:t>
            </w:r>
          </w:p>
        </w:tc>
        <w:tc>
          <w:tcPr>
            <w:tcW w:w="1280" w:type="dxa"/>
            <w:vAlign w:val="bottom"/>
          </w:tcPr>
          <w:p>
            <w:pPr>
              <w:jc w:val="right"/>
              <w:ind w:right="130"/>
              <w:spacing w:after="0"/>
              <w:rPr>
                <w:sz w:val="20"/>
                <w:szCs w:val="20"/>
                <w:color w:val="auto"/>
              </w:rPr>
            </w:pPr>
            <w:r>
              <w:rPr>
                <w:rFonts w:ascii="Arial" w:cs="Arial" w:eastAsia="Arial" w:hAnsi="Arial"/>
                <w:sz w:val="18"/>
                <w:szCs w:val="18"/>
                <w:color w:val="auto"/>
              </w:rPr>
              <w:t>5.0</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40" w:type="dxa"/>
            <w:vAlign w:val="bottom"/>
          </w:tcPr>
          <w:p>
            <w:pPr>
              <w:jc w:val="right"/>
              <w:ind w:right="130"/>
              <w:spacing w:after="0"/>
              <w:rPr>
                <w:sz w:val="20"/>
                <w:szCs w:val="20"/>
                <w:color w:val="auto"/>
              </w:rPr>
            </w:pPr>
            <w:r>
              <w:rPr>
                <w:rFonts w:ascii="Arial" w:cs="Arial" w:eastAsia="Arial" w:hAnsi="Arial"/>
                <w:sz w:val="18"/>
                <w:szCs w:val="18"/>
                <w:color w:val="auto"/>
              </w:rPr>
              <w:t>8.1</w:t>
            </w:r>
          </w:p>
        </w:tc>
        <w:tc>
          <w:tcPr>
            <w:tcW w:w="100" w:type="dxa"/>
            <w:vAlign w:val="bottom"/>
          </w:tcPr>
          <w:p>
            <w:pPr>
              <w:spacing w:after="0"/>
              <w:rPr>
                <w:sz w:val="19"/>
                <w:szCs w:val="19"/>
                <w:color w:val="auto"/>
              </w:rPr>
            </w:pPr>
          </w:p>
        </w:tc>
        <w:tc>
          <w:tcPr>
            <w:tcW w:w="1300" w:type="dxa"/>
            <w:vAlign w:val="bottom"/>
          </w:tcPr>
          <w:p>
            <w:pPr>
              <w:jc w:val="right"/>
              <w:ind w:right="130"/>
              <w:spacing w:after="0"/>
              <w:rPr>
                <w:sz w:val="20"/>
                <w:szCs w:val="20"/>
                <w:color w:val="auto"/>
              </w:rPr>
            </w:pPr>
            <w:r>
              <w:rPr>
                <w:rFonts w:ascii="Arial" w:cs="Arial" w:eastAsia="Arial" w:hAnsi="Arial"/>
                <w:sz w:val="18"/>
                <w:szCs w:val="18"/>
                <w:color w:val="auto"/>
              </w:rPr>
              <w:t>7.4</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40" w:type="dxa"/>
            <w:vAlign w:val="bottom"/>
          </w:tcPr>
          <w:p>
            <w:pPr>
              <w:jc w:val="right"/>
              <w:ind w:right="130"/>
              <w:spacing w:after="0"/>
              <w:rPr>
                <w:sz w:val="20"/>
                <w:szCs w:val="20"/>
                <w:color w:val="auto"/>
              </w:rPr>
            </w:pPr>
            <w:r>
              <w:rPr>
                <w:rFonts w:ascii="Arial" w:cs="Arial" w:eastAsia="Arial" w:hAnsi="Arial"/>
                <w:sz w:val="18"/>
                <w:szCs w:val="18"/>
                <w:color w:val="auto"/>
              </w:rPr>
              <w:t>8.2</w:t>
            </w:r>
          </w:p>
        </w:tc>
      </w:tr>
      <w:tr>
        <w:trPr>
          <w:trHeight w:val="230"/>
        </w:trPr>
        <w:tc>
          <w:tcPr>
            <w:tcW w:w="57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Depreciation and amortization</w:t>
            </w:r>
          </w:p>
        </w:tc>
        <w:tc>
          <w:tcPr>
            <w:tcW w:w="128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1.1</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1.1</w:t>
            </w:r>
          </w:p>
        </w:tc>
        <w:tc>
          <w:tcPr>
            <w:tcW w:w="100" w:type="dxa"/>
            <w:vAlign w:val="bottom"/>
            <w:shd w:val="clear" w:color="auto" w:fill="CCEEFF"/>
          </w:tcPr>
          <w:p>
            <w:pPr>
              <w:spacing w:after="0"/>
              <w:rPr>
                <w:sz w:val="19"/>
                <w:szCs w:val="19"/>
                <w:color w:val="auto"/>
              </w:rPr>
            </w:pPr>
          </w:p>
        </w:tc>
        <w:tc>
          <w:tcPr>
            <w:tcW w:w="130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1.1</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1.1</w:t>
            </w:r>
          </w:p>
        </w:tc>
      </w:tr>
      <w:tr>
        <w:trPr>
          <w:trHeight w:val="229"/>
        </w:trPr>
        <w:tc>
          <w:tcPr>
            <w:tcW w:w="5740" w:type="dxa"/>
            <w:vAlign w:val="bottom"/>
          </w:tcPr>
          <w:p>
            <w:pPr>
              <w:ind w:left="220"/>
              <w:spacing w:after="0"/>
              <w:rPr>
                <w:sz w:val="20"/>
                <w:szCs w:val="20"/>
                <w:color w:val="auto"/>
              </w:rPr>
            </w:pPr>
            <w:r>
              <w:rPr>
                <w:rFonts w:ascii="Arial" w:cs="Arial" w:eastAsia="Arial" w:hAnsi="Arial"/>
                <w:sz w:val="18"/>
                <w:szCs w:val="18"/>
                <w:color w:val="auto"/>
              </w:rPr>
              <w:t>Loss on asset dispositions and impairment, net</w:t>
            </w:r>
          </w:p>
        </w:tc>
        <w:tc>
          <w:tcPr>
            <w:tcW w:w="1660" w:type="dxa"/>
            <w:vAlign w:val="bottom"/>
            <w:gridSpan w:val="3"/>
          </w:tcPr>
          <w:p>
            <w:pPr>
              <w:jc w:val="right"/>
              <w:ind w:right="600"/>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300" w:type="dxa"/>
            <w:vAlign w:val="bottom"/>
          </w:tcPr>
          <w:p>
            <w:pPr>
              <w:jc w:val="right"/>
              <w:ind w:right="130"/>
              <w:spacing w:after="0"/>
              <w:rPr>
                <w:sz w:val="20"/>
                <w:szCs w:val="20"/>
                <w:color w:val="auto"/>
              </w:rPr>
            </w:pPr>
            <w:r>
              <w:rPr>
                <w:rFonts w:ascii="Arial" w:cs="Arial" w:eastAsia="Arial" w:hAnsi="Arial"/>
                <w:sz w:val="18"/>
                <w:szCs w:val="18"/>
                <w:color w:val="auto"/>
              </w:rPr>
              <w:t>1.9</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40" w:type="dxa"/>
            <w:vAlign w:val="bottom"/>
          </w:tcPr>
          <w:p>
            <w:pPr>
              <w:jc w:val="right"/>
              <w:ind w:right="130"/>
              <w:spacing w:after="0"/>
              <w:rPr>
                <w:sz w:val="20"/>
                <w:szCs w:val="20"/>
                <w:color w:val="auto"/>
              </w:rPr>
            </w:pPr>
            <w:r>
              <w:rPr>
                <w:rFonts w:ascii="Arial" w:cs="Arial" w:eastAsia="Arial" w:hAnsi="Arial"/>
                <w:sz w:val="18"/>
                <w:szCs w:val="18"/>
                <w:color w:val="auto"/>
              </w:rPr>
              <w:t>—</w:t>
            </w:r>
          </w:p>
        </w:tc>
      </w:tr>
      <w:tr>
        <w:trPr>
          <w:trHeight w:val="223"/>
        </w:trPr>
        <w:tc>
          <w:tcPr>
            <w:tcW w:w="5740" w:type="dxa"/>
            <w:vAlign w:val="bottom"/>
            <w:tcBorders>
              <w:top w:val="single" w:sz="8" w:color="CCEEFF"/>
            </w:tcBorders>
            <w:shd w:val="clear" w:color="auto" w:fill="CCEEFF"/>
          </w:tcPr>
          <w:p>
            <w:pPr>
              <w:ind w:left="480"/>
              <w:spacing w:after="0"/>
              <w:rPr>
                <w:sz w:val="20"/>
                <w:szCs w:val="20"/>
                <w:color w:val="auto"/>
              </w:rPr>
            </w:pPr>
            <w:r>
              <w:rPr>
                <w:rFonts w:ascii="Arial" w:cs="Arial" w:eastAsia="Arial" w:hAnsi="Arial"/>
                <w:sz w:val="18"/>
                <w:szCs w:val="18"/>
                <w:color w:val="auto"/>
              </w:rPr>
              <w:t>Total expenses</w:t>
            </w:r>
          </w:p>
        </w:tc>
        <w:tc>
          <w:tcPr>
            <w:tcW w:w="1280" w:type="dxa"/>
            <w:vAlign w:val="bottom"/>
            <w:tcBorders>
              <w:top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94.0</w:t>
            </w:r>
          </w:p>
        </w:tc>
        <w:tc>
          <w:tcPr>
            <w:tcW w:w="12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spacing w:after="0"/>
              <w:rPr>
                <w:sz w:val="19"/>
                <w:szCs w:val="19"/>
                <w:color w:val="auto"/>
              </w:rPr>
            </w:pPr>
          </w:p>
        </w:tc>
        <w:tc>
          <w:tcPr>
            <w:tcW w:w="1040" w:type="dxa"/>
            <w:vAlign w:val="bottom"/>
            <w:tcBorders>
              <w:top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98.5</w:t>
            </w:r>
          </w:p>
        </w:tc>
        <w:tc>
          <w:tcPr>
            <w:tcW w:w="100" w:type="dxa"/>
            <w:vAlign w:val="bottom"/>
            <w:tcBorders>
              <w:top w:val="single" w:sz="8" w:color="CCEEFF"/>
            </w:tcBorders>
            <w:shd w:val="clear" w:color="auto" w:fill="CCEEFF"/>
          </w:tcPr>
          <w:p>
            <w:pPr>
              <w:spacing w:after="0"/>
              <w:rPr>
                <w:sz w:val="19"/>
                <w:szCs w:val="19"/>
                <w:color w:val="auto"/>
              </w:rPr>
            </w:pPr>
          </w:p>
        </w:tc>
        <w:tc>
          <w:tcPr>
            <w:tcW w:w="1300" w:type="dxa"/>
            <w:vAlign w:val="bottom"/>
            <w:tcBorders>
              <w:top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98.3</w:t>
            </w:r>
          </w:p>
        </w:tc>
        <w:tc>
          <w:tcPr>
            <w:tcW w:w="10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spacing w:after="0"/>
              <w:rPr>
                <w:sz w:val="19"/>
                <w:szCs w:val="19"/>
                <w:color w:val="auto"/>
              </w:rPr>
            </w:pPr>
          </w:p>
        </w:tc>
        <w:tc>
          <w:tcPr>
            <w:tcW w:w="1040" w:type="dxa"/>
            <w:vAlign w:val="bottom"/>
            <w:tcBorders>
              <w:top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97.9</w:t>
            </w:r>
          </w:p>
        </w:tc>
      </w:tr>
      <w:tr>
        <w:trPr>
          <w:trHeight w:val="229"/>
        </w:trPr>
        <w:tc>
          <w:tcPr>
            <w:tcW w:w="5740" w:type="dxa"/>
            <w:vAlign w:val="bottom"/>
          </w:tcPr>
          <w:p>
            <w:pPr>
              <w:ind w:left="20"/>
              <w:spacing w:after="0"/>
              <w:rPr>
                <w:sz w:val="20"/>
                <w:szCs w:val="20"/>
                <w:color w:val="auto"/>
              </w:rPr>
            </w:pPr>
            <w:r>
              <w:rPr>
                <w:rFonts w:ascii="Arial" w:cs="Arial" w:eastAsia="Arial" w:hAnsi="Arial"/>
                <w:sz w:val="18"/>
                <w:szCs w:val="18"/>
                <w:color w:val="auto"/>
              </w:rPr>
              <w:t>Income from operations</w:t>
            </w:r>
          </w:p>
        </w:tc>
        <w:tc>
          <w:tcPr>
            <w:tcW w:w="1280" w:type="dxa"/>
            <w:vAlign w:val="bottom"/>
          </w:tcPr>
          <w:p>
            <w:pPr>
              <w:jc w:val="right"/>
              <w:ind w:right="130"/>
              <w:spacing w:after="0"/>
              <w:rPr>
                <w:sz w:val="20"/>
                <w:szCs w:val="20"/>
                <w:color w:val="auto"/>
              </w:rPr>
            </w:pPr>
            <w:r>
              <w:rPr>
                <w:rFonts w:ascii="Arial" w:cs="Arial" w:eastAsia="Arial" w:hAnsi="Arial"/>
                <w:sz w:val="18"/>
                <w:szCs w:val="18"/>
                <w:color w:val="auto"/>
              </w:rPr>
              <w:t>6.0</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40" w:type="dxa"/>
            <w:vAlign w:val="bottom"/>
          </w:tcPr>
          <w:p>
            <w:pPr>
              <w:jc w:val="right"/>
              <w:ind w:right="130"/>
              <w:spacing w:after="0"/>
              <w:rPr>
                <w:sz w:val="20"/>
                <w:szCs w:val="20"/>
                <w:color w:val="auto"/>
              </w:rPr>
            </w:pPr>
            <w:r>
              <w:rPr>
                <w:rFonts w:ascii="Arial" w:cs="Arial" w:eastAsia="Arial" w:hAnsi="Arial"/>
                <w:sz w:val="18"/>
                <w:szCs w:val="18"/>
                <w:color w:val="auto"/>
              </w:rPr>
              <w:t>1.5</w:t>
            </w:r>
          </w:p>
        </w:tc>
        <w:tc>
          <w:tcPr>
            <w:tcW w:w="100" w:type="dxa"/>
            <w:vAlign w:val="bottom"/>
          </w:tcPr>
          <w:p>
            <w:pPr>
              <w:spacing w:after="0"/>
              <w:rPr>
                <w:sz w:val="19"/>
                <w:szCs w:val="19"/>
                <w:color w:val="auto"/>
              </w:rPr>
            </w:pPr>
          </w:p>
        </w:tc>
        <w:tc>
          <w:tcPr>
            <w:tcW w:w="1300" w:type="dxa"/>
            <w:vAlign w:val="bottom"/>
          </w:tcPr>
          <w:p>
            <w:pPr>
              <w:jc w:val="right"/>
              <w:ind w:right="130"/>
              <w:spacing w:after="0"/>
              <w:rPr>
                <w:sz w:val="20"/>
                <w:szCs w:val="20"/>
                <w:color w:val="auto"/>
              </w:rPr>
            </w:pPr>
            <w:r>
              <w:rPr>
                <w:rFonts w:ascii="Arial" w:cs="Arial" w:eastAsia="Arial" w:hAnsi="Arial"/>
                <w:sz w:val="18"/>
                <w:szCs w:val="18"/>
                <w:color w:val="auto"/>
              </w:rPr>
              <w:t>1.7</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40" w:type="dxa"/>
            <w:vAlign w:val="bottom"/>
          </w:tcPr>
          <w:p>
            <w:pPr>
              <w:jc w:val="right"/>
              <w:ind w:right="130"/>
              <w:spacing w:after="0"/>
              <w:rPr>
                <w:sz w:val="20"/>
                <w:szCs w:val="20"/>
                <w:color w:val="auto"/>
              </w:rPr>
            </w:pPr>
            <w:r>
              <w:rPr>
                <w:rFonts w:ascii="Arial" w:cs="Arial" w:eastAsia="Arial" w:hAnsi="Arial"/>
                <w:sz w:val="18"/>
                <w:szCs w:val="18"/>
                <w:color w:val="auto"/>
              </w:rPr>
              <w:t>2.1</w:t>
            </w:r>
          </w:p>
        </w:tc>
      </w:tr>
      <w:tr>
        <w:trPr>
          <w:trHeight w:val="229"/>
        </w:trPr>
        <w:tc>
          <w:tcPr>
            <w:tcW w:w="574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(expense):</w:t>
            </w:r>
          </w:p>
        </w:tc>
        <w:tc>
          <w:tcPr>
            <w:tcW w:w="12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r>
      <w:tr>
        <w:trPr>
          <w:trHeight w:val="230"/>
        </w:trPr>
        <w:tc>
          <w:tcPr>
            <w:tcW w:w="5740" w:type="dxa"/>
            <w:vAlign w:val="bottom"/>
            <w:tcBorders>
              <w:bottom w:val="single" w:sz="8" w:color="CCEEFF"/>
            </w:tcBorders>
          </w:tcPr>
          <w:p>
            <w:pPr>
              <w:ind w:left="260"/>
              <w:spacing w:after="0"/>
              <w:rPr>
                <w:sz w:val="20"/>
                <w:szCs w:val="20"/>
                <w:color w:val="auto"/>
              </w:rPr>
            </w:pPr>
            <w:r>
              <w:rPr>
                <w:rFonts w:ascii="Arial" w:cs="Arial" w:eastAsia="Arial" w:hAnsi="Arial"/>
                <w:sz w:val="18"/>
                <w:szCs w:val="18"/>
                <w:color w:val="auto"/>
              </w:rPr>
              <w:t>Interest expense, net</w:t>
            </w:r>
          </w:p>
        </w:tc>
        <w:tc>
          <w:tcPr>
            <w:tcW w:w="1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(0.9)</w:t>
            </w:r>
          </w:p>
        </w:tc>
        <w:tc>
          <w:tcPr>
            <w:tcW w:w="12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(0.4)</w:t>
            </w:r>
          </w:p>
        </w:tc>
        <w:tc>
          <w:tcPr>
            <w:tcW w:w="100" w:type="dxa"/>
            <w:vAlign w:val="bottom"/>
            <w:tcBorders>
              <w:bottom w:val="single" w:sz="8" w:color="CCEEFF"/>
            </w:tcBorders>
          </w:tcPr>
          <w:p>
            <w:pPr>
              <w:spacing w:after="0"/>
              <w:rPr>
                <w:sz w:val="19"/>
                <w:szCs w:val="19"/>
                <w:color w:val="auto"/>
              </w:rPr>
            </w:pPr>
          </w:p>
        </w:tc>
        <w:tc>
          <w:tcPr>
            <w:tcW w:w="1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(0.7)</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(0.4)</w:t>
            </w:r>
          </w:p>
        </w:tc>
      </w:tr>
      <w:tr>
        <w:trPr>
          <w:trHeight w:val="223"/>
        </w:trPr>
        <w:tc>
          <w:tcPr>
            <w:tcW w:w="5740" w:type="dxa"/>
            <w:vAlign w:val="bottom"/>
            <w:shd w:val="clear" w:color="auto" w:fill="CCEEFF"/>
          </w:tcPr>
          <w:p>
            <w:pPr>
              <w:ind w:left="480"/>
              <w:spacing w:after="0"/>
              <w:rPr>
                <w:sz w:val="20"/>
                <w:szCs w:val="20"/>
                <w:color w:val="auto"/>
              </w:rPr>
            </w:pPr>
            <w:r>
              <w:rPr>
                <w:rFonts w:ascii="Arial" w:cs="Arial" w:eastAsia="Arial" w:hAnsi="Arial"/>
                <w:sz w:val="18"/>
                <w:szCs w:val="18"/>
                <w:color w:val="auto"/>
              </w:rPr>
              <w:t>Other expense, net</w:t>
            </w:r>
          </w:p>
        </w:tc>
        <w:tc>
          <w:tcPr>
            <w:tcW w:w="1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(0.9)</w:t>
            </w:r>
          </w:p>
        </w:tc>
        <w:tc>
          <w:tcPr>
            <w:tcW w:w="12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rPr>
              <w:t>(0.4)</w:t>
            </w:r>
          </w:p>
        </w:tc>
        <w:tc>
          <w:tcPr>
            <w:tcW w:w="100" w:type="dxa"/>
            <w:vAlign w:val="bottom"/>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rPr>
              <w:t>(0.7)</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rPr>
              <w:t>(0.4)</w:t>
            </w:r>
          </w:p>
        </w:tc>
      </w:tr>
      <w:tr>
        <w:trPr>
          <w:trHeight w:val="223"/>
        </w:trPr>
        <w:tc>
          <w:tcPr>
            <w:tcW w:w="5740" w:type="dxa"/>
            <w:vAlign w:val="bottom"/>
          </w:tcPr>
          <w:p>
            <w:pPr>
              <w:ind w:left="20"/>
              <w:spacing w:after="0"/>
              <w:rPr>
                <w:sz w:val="20"/>
                <w:szCs w:val="20"/>
                <w:color w:val="auto"/>
              </w:rPr>
            </w:pPr>
            <w:r>
              <w:rPr>
                <w:rFonts w:ascii="Arial" w:cs="Arial" w:eastAsia="Arial" w:hAnsi="Arial"/>
                <w:sz w:val="18"/>
                <w:szCs w:val="18"/>
                <w:color w:val="auto"/>
              </w:rPr>
              <w:t>Income before provision for income taxes</w:t>
            </w:r>
          </w:p>
        </w:tc>
        <w:tc>
          <w:tcPr>
            <w:tcW w:w="1280" w:type="dxa"/>
            <w:vAlign w:val="bottom"/>
          </w:tcPr>
          <w:p>
            <w:pPr>
              <w:jc w:val="right"/>
              <w:ind w:right="130"/>
              <w:spacing w:after="0"/>
              <w:rPr>
                <w:sz w:val="20"/>
                <w:szCs w:val="20"/>
                <w:color w:val="auto"/>
              </w:rPr>
            </w:pPr>
            <w:r>
              <w:rPr>
                <w:rFonts w:ascii="Arial" w:cs="Arial" w:eastAsia="Arial" w:hAnsi="Arial"/>
                <w:sz w:val="18"/>
                <w:szCs w:val="18"/>
                <w:color w:val="auto"/>
              </w:rPr>
              <w:t>5.1</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40" w:type="dxa"/>
            <w:vAlign w:val="bottom"/>
          </w:tcPr>
          <w:p>
            <w:pPr>
              <w:jc w:val="right"/>
              <w:ind w:right="130"/>
              <w:spacing w:after="0"/>
              <w:rPr>
                <w:sz w:val="20"/>
                <w:szCs w:val="20"/>
                <w:color w:val="auto"/>
              </w:rPr>
            </w:pPr>
            <w:r>
              <w:rPr>
                <w:rFonts w:ascii="Arial" w:cs="Arial" w:eastAsia="Arial" w:hAnsi="Arial"/>
                <w:sz w:val="18"/>
                <w:szCs w:val="18"/>
                <w:color w:val="auto"/>
              </w:rPr>
              <w:t>1.1</w:t>
            </w:r>
          </w:p>
        </w:tc>
        <w:tc>
          <w:tcPr>
            <w:tcW w:w="100" w:type="dxa"/>
            <w:vAlign w:val="bottom"/>
          </w:tcPr>
          <w:p>
            <w:pPr>
              <w:spacing w:after="0"/>
              <w:rPr>
                <w:sz w:val="19"/>
                <w:szCs w:val="19"/>
                <w:color w:val="auto"/>
              </w:rPr>
            </w:pPr>
          </w:p>
        </w:tc>
        <w:tc>
          <w:tcPr>
            <w:tcW w:w="1300" w:type="dxa"/>
            <w:vAlign w:val="bottom"/>
          </w:tcPr>
          <w:p>
            <w:pPr>
              <w:jc w:val="right"/>
              <w:ind w:right="130"/>
              <w:spacing w:after="0"/>
              <w:rPr>
                <w:sz w:val="20"/>
                <w:szCs w:val="20"/>
                <w:color w:val="auto"/>
              </w:rPr>
            </w:pPr>
            <w:r>
              <w:rPr>
                <w:rFonts w:ascii="Arial" w:cs="Arial" w:eastAsia="Arial" w:hAnsi="Arial"/>
                <w:sz w:val="18"/>
                <w:szCs w:val="18"/>
                <w:color w:val="auto"/>
              </w:rPr>
              <w:t>1.0</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40" w:type="dxa"/>
            <w:vAlign w:val="bottom"/>
          </w:tcPr>
          <w:p>
            <w:pPr>
              <w:jc w:val="right"/>
              <w:ind w:right="130"/>
              <w:spacing w:after="0"/>
              <w:rPr>
                <w:sz w:val="20"/>
                <w:szCs w:val="20"/>
                <w:color w:val="auto"/>
              </w:rPr>
            </w:pPr>
            <w:r>
              <w:rPr>
                <w:rFonts w:ascii="Arial" w:cs="Arial" w:eastAsia="Arial" w:hAnsi="Arial"/>
                <w:sz w:val="18"/>
                <w:szCs w:val="18"/>
                <w:color w:val="auto"/>
              </w:rPr>
              <w:t>1.7</w:t>
            </w:r>
          </w:p>
        </w:tc>
      </w:tr>
      <w:tr>
        <w:trPr>
          <w:trHeight w:val="229"/>
        </w:trPr>
        <w:tc>
          <w:tcPr>
            <w:tcW w:w="574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Provision for income taxes</w:t>
            </w:r>
          </w:p>
        </w:tc>
        <w:tc>
          <w:tcPr>
            <w:tcW w:w="128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0.9</w:t>
            </w:r>
          </w:p>
        </w:tc>
        <w:tc>
          <w:tcPr>
            <w:tcW w:w="12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0.1</w:t>
            </w:r>
          </w:p>
        </w:tc>
        <w:tc>
          <w:tcPr>
            <w:tcW w:w="100" w:type="dxa"/>
            <w:vAlign w:val="bottom"/>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0.1</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0.3</w:t>
            </w:r>
          </w:p>
        </w:tc>
      </w:tr>
      <w:tr>
        <w:trPr>
          <w:trHeight w:val="223"/>
        </w:trPr>
        <w:tc>
          <w:tcPr>
            <w:tcW w:w="5740" w:type="dxa"/>
            <w:vAlign w:val="bottom"/>
          </w:tcPr>
          <w:p>
            <w:pPr>
              <w:ind w:left="220"/>
              <w:spacing w:after="0"/>
              <w:rPr>
                <w:sz w:val="20"/>
                <w:szCs w:val="20"/>
                <w:color w:val="auto"/>
              </w:rPr>
            </w:pPr>
            <w:r>
              <w:rPr>
                <w:rFonts w:ascii="Arial" w:cs="Arial" w:eastAsia="Arial" w:hAnsi="Arial"/>
                <w:sz w:val="18"/>
                <w:szCs w:val="18"/>
                <w:color w:val="auto"/>
              </w:rPr>
              <w:t>Net income</w:t>
            </w:r>
          </w:p>
        </w:tc>
        <w:tc>
          <w:tcPr>
            <w:tcW w:w="1280" w:type="dxa"/>
            <w:vAlign w:val="bottom"/>
          </w:tcPr>
          <w:p>
            <w:pPr>
              <w:jc w:val="right"/>
              <w:ind w:right="130"/>
              <w:spacing w:after="0"/>
              <w:rPr>
                <w:sz w:val="20"/>
                <w:szCs w:val="20"/>
                <w:color w:val="auto"/>
              </w:rPr>
            </w:pPr>
            <w:r>
              <w:rPr>
                <w:rFonts w:ascii="Arial" w:cs="Arial" w:eastAsia="Arial" w:hAnsi="Arial"/>
                <w:sz w:val="18"/>
                <w:szCs w:val="18"/>
                <w:color w:val="auto"/>
              </w:rPr>
              <w:t>4.2</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40" w:type="dxa"/>
            <w:vAlign w:val="bottom"/>
          </w:tcPr>
          <w:p>
            <w:pPr>
              <w:jc w:val="right"/>
              <w:ind w:right="130"/>
              <w:spacing w:after="0"/>
              <w:rPr>
                <w:sz w:val="20"/>
                <w:szCs w:val="20"/>
                <w:color w:val="auto"/>
              </w:rPr>
            </w:pPr>
            <w:r>
              <w:rPr>
                <w:rFonts w:ascii="Arial" w:cs="Arial" w:eastAsia="Arial" w:hAnsi="Arial"/>
                <w:sz w:val="18"/>
                <w:szCs w:val="18"/>
                <w:color w:val="auto"/>
              </w:rPr>
              <w:t>1.0</w:t>
            </w:r>
          </w:p>
        </w:tc>
        <w:tc>
          <w:tcPr>
            <w:tcW w:w="100" w:type="dxa"/>
            <w:vAlign w:val="bottom"/>
          </w:tcPr>
          <w:p>
            <w:pPr>
              <w:spacing w:after="0"/>
              <w:rPr>
                <w:sz w:val="19"/>
                <w:szCs w:val="19"/>
                <w:color w:val="auto"/>
              </w:rPr>
            </w:pPr>
          </w:p>
        </w:tc>
        <w:tc>
          <w:tcPr>
            <w:tcW w:w="1300" w:type="dxa"/>
            <w:vAlign w:val="bottom"/>
          </w:tcPr>
          <w:p>
            <w:pPr>
              <w:jc w:val="right"/>
              <w:ind w:right="130"/>
              <w:spacing w:after="0"/>
              <w:rPr>
                <w:sz w:val="20"/>
                <w:szCs w:val="20"/>
                <w:color w:val="auto"/>
              </w:rPr>
            </w:pPr>
            <w:r>
              <w:rPr>
                <w:rFonts w:ascii="Arial" w:cs="Arial" w:eastAsia="Arial" w:hAnsi="Arial"/>
                <w:sz w:val="18"/>
                <w:szCs w:val="18"/>
                <w:color w:val="auto"/>
              </w:rPr>
              <w:t>0.9</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40" w:type="dxa"/>
            <w:vAlign w:val="bottom"/>
          </w:tcPr>
          <w:p>
            <w:pPr>
              <w:jc w:val="right"/>
              <w:ind w:right="130"/>
              <w:spacing w:after="0"/>
              <w:rPr>
                <w:sz w:val="20"/>
                <w:szCs w:val="20"/>
                <w:color w:val="auto"/>
              </w:rPr>
            </w:pPr>
            <w:r>
              <w:rPr>
                <w:rFonts w:ascii="Arial" w:cs="Arial" w:eastAsia="Arial" w:hAnsi="Arial"/>
                <w:sz w:val="18"/>
                <w:szCs w:val="18"/>
                <w:color w:val="auto"/>
              </w:rPr>
              <w:t>1.4</w:t>
            </w:r>
          </w:p>
        </w:tc>
      </w:tr>
      <w:tr>
        <w:trPr>
          <w:trHeight w:val="229"/>
        </w:trPr>
        <w:tc>
          <w:tcPr>
            <w:tcW w:w="57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Less: net (loss) income attributable to noncontrolling interest</w:t>
            </w:r>
          </w:p>
        </w:tc>
        <w:tc>
          <w:tcPr>
            <w:tcW w:w="128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0.1</w:t>
            </w:r>
          </w:p>
        </w:tc>
        <w:tc>
          <w:tcPr>
            <w:tcW w:w="12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rPr>
              <w:t>(0.1)</w:t>
            </w:r>
          </w:p>
        </w:tc>
        <w:tc>
          <w:tcPr>
            <w:tcW w:w="100" w:type="dxa"/>
            <w:vAlign w:val="bottom"/>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0.1</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rPr>
              <w:t>(0.1)</w:t>
            </w:r>
          </w:p>
        </w:tc>
      </w:tr>
      <w:tr>
        <w:trPr>
          <w:trHeight w:val="223"/>
        </w:trPr>
        <w:tc>
          <w:tcPr>
            <w:tcW w:w="5740" w:type="dxa"/>
            <w:vAlign w:val="bottom"/>
          </w:tcPr>
          <w:p>
            <w:pPr>
              <w:ind w:left="220"/>
              <w:spacing w:after="0"/>
              <w:rPr>
                <w:sz w:val="20"/>
                <w:szCs w:val="20"/>
                <w:color w:val="auto"/>
              </w:rPr>
            </w:pPr>
            <w:r>
              <w:rPr>
                <w:rFonts w:ascii="Arial" w:cs="Arial" w:eastAsia="Arial" w:hAnsi="Arial"/>
                <w:sz w:val="18"/>
                <w:szCs w:val="18"/>
                <w:color w:val="auto"/>
              </w:rPr>
              <w:t>Net income attributable to Pennant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4.1 %</w:t>
            </w:r>
          </w:p>
        </w:tc>
        <w:tc>
          <w:tcPr>
            <w:tcW w:w="12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1.1 %</w:t>
            </w:r>
          </w:p>
        </w:tc>
        <w:tc>
          <w:tcPr>
            <w:tcW w:w="100" w:type="dxa"/>
            <w:vAlign w:val="bottom"/>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0.8 %</w:t>
            </w:r>
          </w:p>
        </w:tc>
        <w:tc>
          <w:tcPr>
            <w:tcW w:w="10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1.5 %</w:t>
            </w:r>
          </w:p>
        </w:tc>
      </w:tr>
      <w:tr>
        <w:trPr>
          <w:trHeight w:val="20"/>
        </w:trPr>
        <w:tc>
          <w:tcPr>
            <w:tcW w:w="5740" w:type="dxa"/>
            <w:vAlign w:val="bottom"/>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66"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following table presents our consolidated GAAP Financial measures for the three and nine months ended September 30, 2022 and 2021:</w:t>
      </w:r>
    </w:p>
    <w:p>
      <w:pPr>
        <w:spacing w:after="0" w:line="4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340" w:type="dxa"/>
            <w:vAlign w:val="bottom"/>
            <w:gridSpan w:val="5"/>
          </w:tcPr>
          <w:p>
            <w:pPr>
              <w:jc w:val="center"/>
              <w:ind w:right="380"/>
              <w:spacing w:after="0"/>
              <w:rPr>
                <w:sz w:val="20"/>
                <w:szCs w:val="20"/>
                <w:color w:val="auto"/>
              </w:rPr>
            </w:pPr>
            <w:r>
              <w:rPr>
                <w:rFonts w:ascii="Arial" w:cs="Arial" w:eastAsia="Arial" w:hAnsi="Arial"/>
                <w:sz w:val="18"/>
                <w:szCs w:val="18"/>
                <w:b w:val="1"/>
                <w:bCs w:val="1"/>
                <w:color w:val="auto"/>
                <w:w w:val="92"/>
              </w:rPr>
              <w:t>Three Months Ended</w:t>
            </w:r>
          </w:p>
        </w:tc>
        <w:tc>
          <w:tcPr>
            <w:tcW w:w="2520" w:type="dxa"/>
            <w:vAlign w:val="bottom"/>
            <w:gridSpan w:val="6"/>
          </w:tcPr>
          <w:p>
            <w:pPr>
              <w:jc w:val="right"/>
              <w:spacing w:after="0"/>
              <w:rPr>
                <w:sz w:val="20"/>
                <w:szCs w:val="20"/>
                <w:color w:val="auto"/>
              </w:rPr>
            </w:pPr>
            <w:r>
              <w:rPr>
                <w:rFonts w:ascii="Arial" w:cs="Arial" w:eastAsia="Arial" w:hAnsi="Arial"/>
                <w:sz w:val="18"/>
                <w:szCs w:val="18"/>
                <w:b w:val="1"/>
                <w:bCs w:val="1"/>
                <w:color w:val="auto"/>
                <w:w w:val="92"/>
              </w:rPr>
              <w:t>Nine Months Ended September</w:t>
            </w:r>
          </w:p>
        </w:tc>
      </w:tr>
      <w:tr>
        <w:trPr>
          <w:trHeight w:val="239"/>
        </w:trPr>
        <w:tc>
          <w:tcPr>
            <w:tcW w:w="6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340" w:type="dxa"/>
            <w:vAlign w:val="bottom"/>
            <w:gridSpan w:val="5"/>
          </w:tcPr>
          <w:p>
            <w:pPr>
              <w:jc w:val="center"/>
              <w:ind w:right="360"/>
              <w:spacing w:after="0"/>
              <w:rPr>
                <w:sz w:val="20"/>
                <w:szCs w:val="20"/>
                <w:color w:val="auto"/>
              </w:rPr>
            </w:pPr>
            <w:r>
              <w:rPr>
                <w:rFonts w:ascii="Arial" w:cs="Arial" w:eastAsia="Arial" w:hAnsi="Arial"/>
                <w:sz w:val="18"/>
                <w:szCs w:val="18"/>
                <w:b w:val="1"/>
                <w:bCs w:val="1"/>
                <w:color w:val="auto"/>
                <w:w w:val="89"/>
              </w:rPr>
              <w:t>September 30,</w:t>
            </w:r>
          </w:p>
        </w:tc>
        <w:tc>
          <w:tcPr>
            <w:tcW w:w="28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440" w:type="dxa"/>
            <w:vAlign w:val="bottom"/>
            <w:gridSpan w:val="3"/>
          </w:tcPr>
          <w:p>
            <w:pPr>
              <w:jc w:val="right"/>
              <w:ind w:right="110"/>
              <w:spacing w:after="0"/>
              <w:rPr>
                <w:sz w:val="20"/>
                <w:szCs w:val="20"/>
                <w:color w:val="auto"/>
              </w:rPr>
            </w:pPr>
            <w:r>
              <w:rPr>
                <w:rFonts w:ascii="Arial" w:cs="Arial" w:eastAsia="Arial" w:hAnsi="Arial"/>
                <w:sz w:val="18"/>
                <w:szCs w:val="18"/>
                <w:b w:val="1"/>
                <w:bCs w:val="1"/>
                <w:color w:val="auto"/>
                <w:w w:val="87"/>
              </w:rPr>
              <w:t>30,</w:t>
            </w:r>
          </w:p>
        </w:tc>
        <w:tc>
          <w:tcPr>
            <w:tcW w:w="940" w:type="dxa"/>
            <w:vAlign w:val="bottom"/>
          </w:tcPr>
          <w:p>
            <w:pPr>
              <w:spacing w:after="0"/>
              <w:rPr>
                <w:sz w:val="20"/>
                <w:szCs w:val="20"/>
                <w:color w:val="auto"/>
              </w:rPr>
            </w:pPr>
          </w:p>
        </w:tc>
      </w:tr>
      <w:tr>
        <w:trPr>
          <w:trHeight w:val="227"/>
        </w:trPr>
        <w:tc>
          <w:tcPr>
            <w:tcW w:w="6100" w:type="dxa"/>
            <w:vAlign w:val="bottom"/>
          </w:tcPr>
          <w:p>
            <w:pPr>
              <w:spacing w:after="0"/>
              <w:rPr>
                <w:sz w:val="19"/>
                <w:szCs w:val="19"/>
                <w:color w:val="auto"/>
              </w:rPr>
            </w:pPr>
          </w:p>
        </w:tc>
        <w:tc>
          <w:tcPr>
            <w:tcW w:w="280" w:type="dxa"/>
            <w:vAlign w:val="bottom"/>
            <w:tcBorders>
              <w:top w:val="single" w:sz="8" w:color="auto"/>
              <w:bottom w:val="single" w:sz="8" w:color="auto"/>
            </w:tcBorders>
          </w:tcPr>
          <w:p>
            <w:pPr>
              <w:spacing w:after="0"/>
              <w:rPr>
                <w:sz w:val="19"/>
                <w:szCs w:val="19"/>
                <w:color w:val="auto"/>
              </w:rPr>
            </w:pPr>
          </w:p>
        </w:tc>
        <w:tc>
          <w:tcPr>
            <w:tcW w:w="940" w:type="dxa"/>
            <w:vAlign w:val="bottom"/>
            <w:tcBorders>
              <w:top w:val="single" w:sz="8" w:color="auto"/>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2022</w:t>
            </w:r>
          </w:p>
        </w:tc>
        <w:tc>
          <w:tcPr>
            <w:tcW w:w="100" w:type="dxa"/>
            <w:vAlign w:val="bottom"/>
            <w:tcBorders>
              <w:top w:val="single" w:sz="8" w:color="auto"/>
              <w:bottom w:val="single" w:sz="8" w:color="auto"/>
            </w:tcBorders>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940" w:type="dxa"/>
            <w:vAlign w:val="bottom"/>
            <w:tcBorders>
              <w:top w:val="single" w:sz="8" w:color="auto"/>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2021</w:t>
            </w:r>
          </w:p>
        </w:tc>
        <w:tc>
          <w:tcPr>
            <w:tcW w:w="100" w:type="dxa"/>
            <w:vAlign w:val="bottom"/>
            <w:tcBorders>
              <w:bottom w:val="single" w:sz="8" w:color="auto"/>
            </w:tcBorders>
          </w:tcPr>
          <w:p>
            <w:pPr>
              <w:spacing w:after="0"/>
              <w:rPr>
                <w:sz w:val="19"/>
                <w:szCs w:val="19"/>
                <w:color w:val="auto"/>
              </w:rPr>
            </w:pPr>
          </w:p>
        </w:tc>
        <w:tc>
          <w:tcPr>
            <w:tcW w:w="280" w:type="dxa"/>
            <w:vAlign w:val="bottom"/>
            <w:tcBorders>
              <w:top w:val="single" w:sz="8" w:color="auto"/>
              <w:bottom w:val="single" w:sz="8" w:color="auto"/>
            </w:tcBorders>
          </w:tcPr>
          <w:p>
            <w:pPr>
              <w:spacing w:after="0"/>
              <w:rPr>
                <w:sz w:val="19"/>
                <w:szCs w:val="19"/>
                <w:color w:val="auto"/>
              </w:rPr>
            </w:pPr>
          </w:p>
        </w:tc>
        <w:tc>
          <w:tcPr>
            <w:tcW w:w="860" w:type="dxa"/>
            <w:vAlign w:val="bottom"/>
            <w:tcBorders>
              <w:top w:val="single" w:sz="8" w:color="auto"/>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2022</w:t>
            </w:r>
          </w:p>
        </w:tc>
        <w:tc>
          <w:tcPr>
            <w:tcW w:w="80" w:type="dxa"/>
            <w:vAlign w:val="bottom"/>
            <w:tcBorders>
              <w:top w:val="single" w:sz="8" w:color="auto"/>
              <w:bottom w:val="single" w:sz="8" w:color="auto"/>
            </w:tcBorders>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940" w:type="dxa"/>
            <w:vAlign w:val="bottom"/>
            <w:tcBorders>
              <w:top w:val="single" w:sz="8" w:color="auto"/>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2021</w:t>
            </w:r>
          </w:p>
        </w:tc>
      </w:tr>
      <w:tr>
        <w:trPr>
          <w:trHeight w:val="223"/>
        </w:trPr>
        <w:tc>
          <w:tcPr>
            <w:tcW w:w="6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180" w:type="dxa"/>
            <w:vAlign w:val="bottom"/>
            <w:gridSpan w:val="4"/>
          </w:tcPr>
          <w:p>
            <w:pPr>
              <w:jc w:val="right"/>
              <w:ind w:right="530"/>
              <w:spacing w:after="0"/>
              <w:rPr>
                <w:sz w:val="20"/>
                <w:szCs w:val="20"/>
                <w:color w:val="auto"/>
              </w:rPr>
            </w:pPr>
            <w:r>
              <w:rPr>
                <w:rFonts w:ascii="Arial" w:cs="Arial" w:eastAsia="Arial" w:hAnsi="Arial"/>
                <w:sz w:val="18"/>
                <w:szCs w:val="18"/>
                <w:b w:val="1"/>
                <w:bCs w:val="1"/>
                <w:color w:val="auto"/>
              </w:rPr>
              <w:t>(In thousands)</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spacing w:after="0"/>
              <w:rPr>
                <w:sz w:val="19"/>
                <w:szCs w:val="19"/>
                <w:color w:val="auto"/>
              </w:rPr>
            </w:pPr>
          </w:p>
        </w:tc>
      </w:tr>
      <w:tr>
        <w:trPr>
          <w:trHeight w:val="230"/>
        </w:trPr>
        <w:tc>
          <w:tcPr>
            <w:tcW w:w="610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Consolidated GAAP Financial Measures:</w:t>
            </w:r>
          </w:p>
        </w:tc>
        <w:tc>
          <w:tcPr>
            <w:tcW w:w="28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r>
      <w:tr>
        <w:trPr>
          <w:trHeight w:val="230"/>
        </w:trPr>
        <w:tc>
          <w:tcPr>
            <w:tcW w:w="6100" w:type="dxa"/>
            <w:vAlign w:val="bottom"/>
          </w:tcPr>
          <w:p>
            <w:pPr>
              <w:ind w:left="20"/>
              <w:spacing w:after="0"/>
              <w:rPr>
                <w:sz w:val="20"/>
                <w:szCs w:val="20"/>
                <w:color w:val="auto"/>
              </w:rPr>
            </w:pPr>
            <w:r>
              <w:rPr>
                <w:rFonts w:ascii="Arial" w:cs="Arial" w:eastAsia="Arial" w:hAnsi="Arial"/>
                <w:sz w:val="18"/>
                <w:szCs w:val="18"/>
                <w:color w:val="auto"/>
              </w:rPr>
              <w:t>Total revenue</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118,350</w:t>
            </w:r>
          </w:p>
        </w:tc>
        <w:tc>
          <w:tcPr>
            <w:tcW w:w="100" w:type="dxa"/>
            <w:vAlign w:val="bottom"/>
          </w:tcPr>
          <w:p>
            <w:pPr>
              <w:spacing w:after="0"/>
              <w:rPr>
                <w:sz w:val="19"/>
                <w:szCs w:val="19"/>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111,921</w:t>
            </w:r>
          </w:p>
        </w:tc>
        <w:tc>
          <w:tcPr>
            <w:tcW w:w="100" w:type="dxa"/>
            <w:vAlign w:val="bottom"/>
          </w:tcPr>
          <w:p>
            <w:pPr>
              <w:spacing w:after="0"/>
              <w:rPr>
                <w:sz w:val="19"/>
                <w:szCs w:val="19"/>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348,576</w:t>
            </w:r>
          </w:p>
        </w:tc>
        <w:tc>
          <w:tcPr>
            <w:tcW w:w="440" w:type="dxa"/>
            <w:vAlign w:val="bottom"/>
            <w:gridSpan w:val="3"/>
          </w:tcPr>
          <w:p>
            <w:pPr>
              <w:jc w:val="right"/>
              <w:ind w:right="70"/>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327,929</w:t>
            </w:r>
          </w:p>
        </w:tc>
      </w:tr>
      <w:tr>
        <w:trPr>
          <w:trHeight w:val="229"/>
        </w:trPr>
        <w:tc>
          <w:tcPr>
            <w:tcW w:w="610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expenses</w:t>
            </w: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111,206</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110,219</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342,221</w:t>
            </w:r>
          </w:p>
        </w:tc>
        <w:tc>
          <w:tcPr>
            <w:tcW w:w="440" w:type="dxa"/>
            <w:vAlign w:val="bottom"/>
            <w:gridSpan w:val="3"/>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321,045</w:t>
            </w:r>
          </w:p>
        </w:tc>
      </w:tr>
      <w:tr>
        <w:trPr>
          <w:trHeight w:val="224"/>
        </w:trPr>
        <w:tc>
          <w:tcPr>
            <w:tcW w:w="6100" w:type="dxa"/>
            <w:vAlign w:val="bottom"/>
          </w:tcPr>
          <w:p>
            <w:pPr>
              <w:ind w:left="20"/>
              <w:spacing w:after="0"/>
              <w:rPr>
                <w:sz w:val="20"/>
                <w:szCs w:val="20"/>
                <w:color w:val="auto"/>
              </w:rPr>
            </w:pPr>
            <w:r>
              <w:rPr>
                <w:rFonts w:ascii="Arial" w:cs="Arial" w:eastAsia="Arial" w:hAnsi="Arial"/>
                <w:sz w:val="18"/>
                <w:szCs w:val="18"/>
                <w:color w:val="auto"/>
              </w:rPr>
              <w:t>Income from operations</w:t>
            </w:r>
          </w:p>
        </w:tc>
        <w:tc>
          <w:tcPr>
            <w:tcW w:w="28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7,144</w:t>
            </w:r>
          </w:p>
        </w:tc>
        <w:tc>
          <w:tcPr>
            <w:tcW w:w="100" w:type="dxa"/>
            <w:vAlign w:val="bottom"/>
          </w:tcPr>
          <w:p>
            <w:pPr>
              <w:spacing w:after="0"/>
              <w:rPr>
                <w:sz w:val="19"/>
                <w:szCs w:val="19"/>
                <w:color w:val="auto"/>
              </w:rPr>
            </w:pPr>
          </w:p>
        </w:tc>
        <w:tc>
          <w:tcPr>
            <w:tcW w:w="26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1,702</w:t>
            </w:r>
          </w:p>
        </w:tc>
        <w:tc>
          <w:tcPr>
            <w:tcW w:w="100" w:type="dxa"/>
            <w:vAlign w:val="bottom"/>
          </w:tcPr>
          <w:p>
            <w:pPr>
              <w:spacing w:after="0"/>
              <w:rPr>
                <w:sz w:val="19"/>
                <w:szCs w:val="19"/>
                <w:color w:val="auto"/>
              </w:rPr>
            </w:pPr>
          </w:p>
        </w:tc>
        <w:tc>
          <w:tcPr>
            <w:tcW w:w="28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6,355</w:t>
            </w:r>
          </w:p>
        </w:tc>
        <w:tc>
          <w:tcPr>
            <w:tcW w:w="8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6,884</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4" w:name="page35"/>
    <w:bookmarkEnd w:id="34"/>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63" w:lineRule="exact"/>
        <w:rPr>
          <w:sz w:val="20"/>
          <w:szCs w:val="20"/>
          <w:color w:val="auto"/>
        </w:rPr>
      </w:pPr>
    </w:p>
    <w:p>
      <w:pPr>
        <w:ind w:right="20" w:firstLine="648"/>
        <w:spacing w:after="0" w:line="277" w:lineRule="auto"/>
        <w:rPr>
          <w:sz w:val="20"/>
          <w:szCs w:val="20"/>
          <w:color w:val="auto"/>
        </w:rPr>
      </w:pPr>
      <w:r>
        <w:rPr>
          <w:rFonts w:ascii="Arial" w:cs="Arial" w:eastAsia="Arial" w:hAnsi="Arial"/>
          <w:sz w:val="18"/>
          <w:szCs w:val="18"/>
          <w:color w:val="auto"/>
        </w:rPr>
        <w:t>The following tables present certain financial information regarding our reportable segments. General and administrative expenses are not allocated to the reportable segments and are included in “All Other”:</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840" w:type="dxa"/>
            <w:vAlign w:val="bottom"/>
          </w:tcPr>
          <w:p>
            <w:pPr>
              <w:spacing w:after="0"/>
              <w:rPr>
                <w:sz w:val="17"/>
                <w:szCs w:val="17"/>
                <w:color w:val="auto"/>
              </w:rPr>
            </w:pPr>
          </w:p>
        </w:tc>
        <w:tc>
          <w:tcPr>
            <w:tcW w:w="1540" w:type="dxa"/>
            <w:vAlign w:val="bottom"/>
            <w:gridSpan w:val="2"/>
          </w:tcPr>
          <w:p>
            <w:pPr>
              <w:jc w:val="right"/>
              <w:ind w:right="10"/>
              <w:spacing w:after="0"/>
              <w:rPr>
                <w:sz w:val="20"/>
                <w:szCs w:val="20"/>
                <w:color w:val="auto"/>
              </w:rPr>
            </w:pPr>
            <w:r>
              <w:rPr>
                <w:rFonts w:ascii="Arial" w:cs="Arial" w:eastAsia="Arial" w:hAnsi="Arial"/>
                <w:sz w:val="18"/>
                <w:szCs w:val="18"/>
                <w:b w:val="1"/>
                <w:bCs w:val="1"/>
                <w:color w:val="auto"/>
                <w:w w:val="96"/>
              </w:rPr>
              <w:t>Home Health and</w:t>
            </w:r>
          </w:p>
        </w:tc>
        <w:tc>
          <w:tcPr>
            <w:tcW w:w="260" w:type="dxa"/>
            <w:vAlign w:val="bottom"/>
          </w:tcPr>
          <w:p>
            <w:pPr>
              <w:spacing w:after="0"/>
              <w:rPr>
                <w:sz w:val="17"/>
                <w:szCs w:val="17"/>
                <w:color w:val="auto"/>
              </w:rPr>
            </w:pPr>
          </w:p>
        </w:tc>
        <w:tc>
          <w:tcPr>
            <w:tcW w:w="1360" w:type="dxa"/>
            <w:vAlign w:val="bottom"/>
          </w:tcPr>
          <w:p>
            <w:pPr>
              <w:jc w:val="right"/>
              <w:ind w:right="170"/>
              <w:spacing w:after="0"/>
              <w:rPr>
                <w:sz w:val="20"/>
                <w:szCs w:val="20"/>
                <w:color w:val="auto"/>
              </w:rPr>
            </w:pPr>
            <w:r>
              <w:rPr>
                <w:rFonts w:ascii="Arial" w:cs="Arial" w:eastAsia="Arial" w:hAnsi="Arial"/>
                <w:sz w:val="18"/>
                <w:szCs w:val="18"/>
                <w:b w:val="1"/>
                <w:bCs w:val="1"/>
                <w:color w:val="auto"/>
                <w:w w:val="94"/>
              </w:rPr>
              <w:t>Senior Living</w:t>
            </w:r>
          </w:p>
        </w:tc>
        <w:tc>
          <w:tcPr>
            <w:tcW w:w="32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200" w:type="dxa"/>
            <w:vAlign w:val="bottom"/>
          </w:tcPr>
          <w:p>
            <w:pPr>
              <w:spacing w:after="0"/>
              <w:rPr>
                <w:sz w:val="17"/>
                <w:szCs w:val="17"/>
                <w:color w:val="auto"/>
              </w:rPr>
            </w:pPr>
          </w:p>
        </w:tc>
      </w:tr>
      <w:tr>
        <w:trPr>
          <w:trHeight w:val="243"/>
        </w:trPr>
        <w:tc>
          <w:tcPr>
            <w:tcW w:w="484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42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w w:val="84"/>
              </w:rPr>
              <w:t>Hospice Services</w:t>
            </w:r>
          </w:p>
        </w:tc>
        <w:tc>
          <w:tcPr>
            <w:tcW w:w="260" w:type="dxa"/>
            <w:vAlign w:val="bottom"/>
            <w:tcBorders>
              <w:bottom w:val="single" w:sz="8" w:color="auto"/>
            </w:tcBorders>
          </w:tcPr>
          <w:p>
            <w:pPr>
              <w:spacing w:after="0"/>
              <w:rPr>
                <w:sz w:val="21"/>
                <w:szCs w:val="21"/>
                <w:color w:val="auto"/>
              </w:rPr>
            </w:pPr>
          </w:p>
        </w:tc>
        <w:tc>
          <w:tcPr>
            <w:tcW w:w="136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Services</w:t>
            </w:r>
          </w:p>
        </w:tc>
        <w:tc>
          <w:tcPr>
            <w:tcW w:w="320" w:type="dxa"/>
            <w:vAlign w:val="bottom"/>
            <w:tcBorders>
              <w:bottom w:val="single" w:sz="8" w:color="auto"/>
            </w:tcBorders>
          </w:tcPr>
          <w:p>
            <w:pPr>
              <w:spacing w:after="0"/>
              <w:rPr>
                <w:sz w:val="21"/>
                <w:szCs w:val="21"/>
                <w:color w:val="auto"/>
              </w:rPr>
            </w:pPr>
          </w:p>
        </w:tc>
        <w:tc>
          <w:tcPr>
            <w:tcW w:w="132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All Other</w:t>
            </w:r>
          </w:p>
        </w:tc>
        <w:tc>
          <w:tcPr>
            <w:tcW w:w="40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Total</w:t>
            </w:r>
          </w:p>
        </w:tc>
      </w:tr>
      <w:tr>
        <w:trPr>
          <w:trHeight w:val="223"/>
        </w:trPr>
        <w:tc>
          <w:tcPr>
            <w:tcW w:w="48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3000" w:type="dxa"/>
            <w:vAlign w:val="bottom"/>
            <w:gridSpan w:val="3"/>
          </w:tcPr>
          <w:p>
            <w:pPr>
              <w:jc w:val="right"/>
              <w:ind w:right="950"/>
              <w:spacing w:after="0"/>
              <w:rPr>
                <w:sz w:val="20"/>
                <w:szCs w:val="20"/>
                <w:color w:val="auto"/>
              </w:rPr>
            </w:pPr>
            <w:r>
              <w:rPr>
                <w:rFonts w:ascii="Arial" w:cs="Arial" w:eastAsia="Arial" w:hAnsi="Arial"/>
                <w:sz w:val="18"/>
                <w:szCs w:val="18"/>
                <w:b w:val="1"/>
                <w:bCs w:val="1"/>
                <w:color w:val="auto"/>
              </w:rPr>
              <w:t>(In thousands)</w:t>
            </w:r>
          </w:p>
        </w:tc>
        <w:tc>
          <w:tcPr>
            <w:tcW w:w="400" w:type="dxa"/>
            <w:vAlign w:val="bottom"/>
          </w:tcPr>
          <w:p>
            <w:pPr>
              <w:spacing w:after="0"/>
              <w:rPr>
                <w:sz w:val="19"/>
                <w:szCs w:val="19"/>
                <w:color w:val="auto"/>
              </w:rPr>
            </w:pPr>
          </w:p>
        </w:tc>
        <w:tc>
          <w:tcPr>
            <w:tcW w:w="1200" w:type="dxa"/>
            <w:vAlign w:val="bottom"/>
          </w:tcPr>
          <w:p>
            <w:pPr>
              <w:spacing w:after="0"/>
              <w:rPr>
                <w:sz w:val="19"/>
                <w:szCs w:val="19"/>
                <w:color w:val="auto"/>
              </w:rPr>
            </w:pPr>
          </w:p>
        </w:tc>
      </w:tr>
      <w:tr>
        <w:trPr>
          <w:trHeight w:val="229"/>
        </w:trPr>
        <w:tc>
          <w:tcPr>
            <w:tcW w:w="48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Segment GAAP Financial Measures:</w:t>
            </w:r>
          </w:p>
        </w:tc>
        <w:tc>
          <w:tcPr>
            <w:tcW w:w="12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r>
      <w:tr>
        <w:trPr>
          <w:trHeight w:val="229"/>
        </w:trPr>
        <w:tc>
          <w:tcPr>
            <w:tcW w:w="4840" w:type="dxa"/>
            <w:vAlign w:val="bottom"/>
          </w:tcPr>
          <w:p>
            <w:pPr>
              <w:ind w:left="20"/>
              <w:spacing w:after="0"/>
              <w:rPr>
                <w:sz w:val="20"/>
                <w:szCs w:val="20"/>
                <w:color w:val="auto"/>
              </w:rPr>
            </w:pPr>
            <w:r>
              <w:rPr>
                <w:rFonts w:ascii="Arial" w:cs="Arial" w:eastAsia="Arial" w:hAnsi="Arial"/>
                <w:sz w:val="18"/>
                <w:szCs w:val="18"/>
                <w:b w:val="1"/>
                <w:bCs w:val="1"/>
                <w:color w:val="auto"/>
              </w:rPr>
              <w:t>Three Months Ended September 30, 2022</w:t>
            </w:r>
          </w:p>
        </w:tc>
        <w:tc>
          <w:tcPr>
            <w:tcW w:w="12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00" w:type="dxa"/>
            <w:vAlign w:val="bottom"/>
          </w:tcPr>
          <w:p>
            <w:pPr>
              <w:spacing w:after="0"/>
              <w:rPr>
                <w:sz w:val="19"/>
                <w:szCs w:val="19"/>
                <w:color w:val="auto"/>
              </w:rPr>
            </w:pPr>
          </w:p>
        </w:tc>
      </w:tr>
      <w:tr>
        <w:trPr>
          <w:trHeight w:val="230"/>
        </w:trPr>
        <w:tc>
          <w:tcPr>
            <w:tcW w:w="484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Revenue</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85,779</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32,571</w:t>
            </w:r>
          </w:p>
        </w:tc>
        <w:tc>
          <w:tcPr>
            <w:tcW w:w="32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3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118,350</w:t>
            </w:r>
          </w:p>
        </w:tc>
      </w:tr>
      <w:tr>
        <w:trPr>
          <w:trHeight w:val="229"/>
        </w:trPr>
        <w:tc>
          <w:tcPr>
            <w:tcW w:w="4840" w:type="dxa"/>
            <w:vAlign w:val="bottom"/>
          </w:tcPr>
          <w:p>
            <w:pPr>
              <w:ind w:left="20"/>
              <w:spacing w:after="0"/>
              <w:rPr>
                <w:sz w:val="20"/>
                <w:szCs w:val="20"/>
                <w:color w:val="auto"/>
              </w:rPr>
            </w:pPr>
            <w:r>
              <w:rPr>
                <w:rFonts w:ascii="Arial" w:cs="Arial" w:eastAsia="Arial" w:hAnsi="Arial"/>
                <w:sz w:val="18"/>
                <w:szCs w:val="18"/>
                <w:color w:val="auto"/>
              </w:rPr>
              <w:t>Segment Adjusted EBITDAR from Operations</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tcPr>
          <w:p>
            <w:pPr>
              <w:jc w:val="right"/>
              <w:ind w:right="10"/>
              <w:spacing w:after="0"/>
              <w:rPr>
                <w:sz w:val="20"/>
                <w:szCs w:val="20"/>
                <w:color w:val="auto"/>
              </w:rPr>
            </w:pPr>
            <w:r>
              <w:rPr>
                <w:rFonts w:ascii="Arial" w:cs="Arial" w:eastAsia="Arial" w:hAnsi="Arial"/>
                <w:sz w:val="18"/>
                <w:szCs w:val="18"/>
                <w:color w:val="auto"/>
              </w:rPr>
              <w:t>15,380</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1360" w:type="dxa"/>
            <w:vAlign w:val="bottom"/>
          </w:tcPr>
          <w:p>
            <w:pPr>
              <w:jc w:val="right"/>
              <w:ind w:right="10"/>
              <w:spacing w:after="0"/>
              <w:rPr>
                <w:sz w:val="20"/>
                <w:szCs w:val="20"/>
                <w:color w:val="auto"/>
              </w:rPr>
            </w:pPr>
            <w:r>
              <w:rPr>
                <w:rFonts w:ascii="Arial" w:cs="Arial" w:eastAsia="Arial" w:hAnsi="Arial"/>
                <w:sz w:val="18"/>
                <w:szCs w:val="18"/>
                <w:color w:val="auto"/>
              </w:rPr>
              <w:t>9,370</w:t>
            </w:r>
          </w:p>
        </w:tc>
        <w:tc>
          <w:tcPr>
            <w:tcW w:w="32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(7,779)</w:t>
            </w:r>
          </w:p>
        </w:tc>
        <w:tc>
          <w:tcPr>
            <w:tcW w:w="40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16,971</w:t>
            </w:r>
          </w:p>
        </w:tc>
      </w:tr>
      <w:tr>
        <w:trPr>
          <w:trHeight w:val="229"/>
        </w:trPr>
        <w:tc>
          <w:tcPr>
            <w:tcW w:w="48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Three Months Ended September 30, 2021</w:t>
            </w:r>
          </w:p>
        </w:tc>
        <w:tc>
          <w:tcPr>
            <w:tcW w:w="12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r>
      <w:tr>
        <w:trPr>
          <w:trHeight w:val="230"/>
        </w:trPr>
        <w:tc>
          <w:tcPr>
            <w:tcW w:w="4840" w:type="dxa"/>
            <w:vAlign w:val="bottom"/>
          </w:tcPr>
          <w:p>
            <w:pPr>
              <w:ind w:left="20"/>
              <w:spacing w:after="0"/>
              <w:rPr>
                <w:sz w:val="20"/>
                <w:szCs w:val="20"/>
                <w:color w:val="auto"/>
              </w:rPr>
            </w:pPr>
            <w:r>
              <w:rPr>
                <w:rFonts w:ascii="Arial" w:cs="Arial" w:eastAsia="Arial" w:hAnsi="Arial"/>
                <w:sz w:val="18"/>
                <w:szCs w:val="18"/>
                <w:color w:val="auto"/>
              </w:rPr>
              <w:t>Revenue</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tcPr>
          <w:p>
            <w:pPr>
              <w:jc w:val="right"/>
              <w:ind w:right="10"/>
              <w:spacing w:after="0"/>
              <w:rPr>
                <w:sz w:val="20"/>
                <w:szCs w:val="20"/>
                <w:color w:val="auto"/>
              </w:rPr>
            </w:pPr>
            <w:r>
              <w:rPr>
                <w:rFonts w:ascii="Arial" w:cs="Arial" w:eastAsia="Arial" w:hAnsi="Arial"/>
                <w:sz w:val="18"/>
                <w:szCs w:val="18"/>
                <w:color w:val="auto"/>
              </w:rPr>
              <w:t>79,003</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1360" w:type="dxa"/>
            <w:vAlign w:val="bottom"/>
          </w:tcPr>
          <w:p>
            <w:pPr>
              <w:jc w:val="right"/>
              <w:ind w:right="10"/>
              <w:spacing w:after="0"/>
              <w:rPr>
                <w:sz w:val="20"/>
                <w:szCs w:val="20"/>
                <w:color w:val="auto"/>
              </w:rPr>
            </w:pPr>
            <w:r>
              <w:rPr>
                <w:rFonts w:ascii="Arial" w:cs="Arial" w:eastAsia="Arial" w:hAnsi="Arial"/>
                <w:sz w:val="18"/>
                <w:szCs w:val="18"/>
                <w:color w:val="auto"/>
              </w:rPr>
              <w:t>32,918</w:t>
            </w:r>
          </w:p>
        </w:tc>
        <w:tc>
          <w:tcPr>
            <w:tcW w:w="32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32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40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111,921</w:t>
            </w:r>
          </w:p>
        </w:tc>
      </w:tr>
      <w:tr>
        <w:trPr>
          <w:trHeight w:val="229"/>
        </w:trPr>
        <w:tc>
          <w:tcPr>
            <w:tcW w:w="484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Segment Adjusted EBITDAR from Operations</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14,409</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9,106</w:t>
            </w:r>
          </w:p>
        </w:tc>
        <w:tc>
          <w:tcPr>
            <w:tcW w:w="32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(6,783)</w:t>
            </w:r>
          </w:p>
        </w:tc>
        <w:tc>
          <w:tcPr>
            <w:tcW w:w="40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16,732</w:t>
            </w:r>
          </w:p>
        </w:tc>
      </w:tr>
    </w:tbl>
    <w:p>
      <w:pPr>
        <w:spacing w:after="0" w:line="323"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The following tables present certain financial information regarding our reportable segments. General and administrative expenses are not allocated to the reportable segments and are included in “All Other”:</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840" w:type="dxa"/>
            <w:vAlign w:val="bottom"/>
          </w:tcPr>
          <w:p>
            <w:pPr>
              <w:spacing w:after="0"/>
              <w:rPr>
                <w:sz w:val="17"/>
                <w:szCs w:val="17"/>
                <w:color w:val="auto"/>
              </w:rPr>
            </w:pPr>
          </w:p>
        </w:tc>
        <w:tc>
          <w:tcPr>
            <w:tcW w:w="1520" w:type="dxa"/>
            <w:vAlign w:val="bottom"/>
            <w:gridSpan w:val="3"/>
          </w:tcPr>
          <w:p>
            <w:pPr>
              <w:jc w:val="right"/>
              <w:spacing w:after="0"/>
              <w:rPr>
                <w:sz w:val="20"/>
                <w:szCs w:val="20"/>
                <w:color w:val="auto"/>
              </w:rPr>
            </w:pPr>
            <w:r>
              <w:rPr>
                <w:rFonts w:ascii="Arial" w:cs="Arial" w:eastAsia="Arial" w:hAnsi="Arial"/>
                <w:sz w:val="18"/>
                <w:szCs w:val="18"/>
                <w:b w:val="1"/>
                <w:bCs w:val="1"/>
                <w:color w:val="auto"/>
                <w:w w:val="96"/>
              </w:rPr>
              <w:t>Home Health and</w:t>
            </w:r>
          </w:p>
        </w:tc>
        <w:tc>
          <w:tcPr>
            <w:tcW w:w="1620" w:type="dxa"/>
            <w:vAlign w:val="bottom"/>
            <w:gridSpan w:val="3"/>
          </w:tcPr>
          <w:p>
            <w:pPr>
              <w:jc w:val="right"/>
              <w:ind w:right="170"/>
              <w:spacing w:after="0"/>
              <w:rPr>
                <w:sz w:val="20"/>
                <w:szCs w:val="20"/>
                <w:color w:val="auto"/>
              </w:rPr>
            </w:pPr>
            <w:r>
              <w:rPr>
                <w:rFonts w:ascii="Arial" w:cs="Arial" w:eastAsia="Arial" w:hAnsi="Arial"/>
                <w:sz w:val="18"/>
                <w:szCs w:val="18"/>
                <w:b w:val="1"/>
                <w:bCs w:val="1"/>
                <w:color w:val="auto"/>
              </w:rPr>
              <w:t>Senior Living</w:t>
            </w:r>
          </w:p>
        </w:tc>
        <w:tc>
          <w:tcPr>
            <w:tcW w:w="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3"/>
        </w:trPr>
        <w:tc>
          <w:tcPr>
            <w:tcW w:w="4840" w:type="dxa"/>
            <w:vAlign w:val="bottom"/>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420" w:type="dxa"/>
            <w:vAlign w:val="bottom"/>
            <w:tcBorders>
              <w:bottom w:val="single" w:sz="8" w:color="auto"/>
            </w:tcBorders>
            <w:gridSpan w:val="2"/>
          </w:tcPr>
          <w:p>
            <w:pPr>
              <w:jc w:val="right"/>
              <w:ind w:right="30"/>
              <w:spacing w:after="0"/>
              <w:rPr>
                <w:sz w:val="20"/>
                <w:szCs w:val="20"/>
                <w:color w:val="auto"/>
              </w:rPr>
            </w:pPr>
            <w:r>
              <w:rPr>
                <w:rFonts w:ascii="Arial" w:cs="Arial" w:eastAsia="Arial" w:hAnsi="Arial"/>
                <w:sz w:val="18"/>
                <w:szCs w:val="18"/>
                <w:b w:val="1"/>
                <w:bCs w:val="1"/>
                <w:color w:val="auto"/>
                <w:w w:val="85"/>
              </w:rPr>
              <w:t>Hospice Services</w:t>
            </w:r>
          </w:p>
        </w:tc>
        <w:tc>
          <w:tcPr>
            <w:tcW w:w="1620" w:type="dxa"/>
            <w:vAlign w:val="bottom"/>
            <w:tcBorders>
              <w:bottom w:val="single" w:sz="8" w:color="auto"/>
            </w:tcBorders>
            <w:gridSpan w:val="3"/>
          </w:tcPr>
          <w:p>
            <w:pPr>
              <w:jc w:val="right"/>
              <w:ind w:right="370"/>
              <w:spacing w:after="0"/>
              <w:rPr>
                <w:sz w:val="20"/>
                <w:szCs w:val="20"/>
                <w:color w:val="auto"/>
              </w:rPr>
            </w:pPr>
            <w:r>
              <w:rPr>
                <w:rFonts w:ascii="Arial" w:cs="Arial" w:eastAsia="Arial" w:hAnsi="Arial"/>
                <w:sz w:val="18"/>
                <w:szCs w:val="18"/>
                <w:b w:val="1"/>
                <w:bCs w:val="1"/>
                <w:color w:val="auto"/>
              </w:rPr>
              <w:t>Services</w:t>
            </w:r>
          </w:p>
        </w:tc>
        <w:tc>
          <w:tcPr>
            <w:tcW w:w="1600" w:type="dxa"/>
            <w:vAlign w:val="bottom"/>
            <w:tcBorders>
              <w:bottom w:val="single" w:sz="8" w:color="auto"/>
            </w:tcBorders>
            <w:gridSpan w:val="4"/>
          </w:tcPr>
          <w:p>
            <w:pPr>
              <w:jc w:val="right"/>
              <w:ind w:right="290"/>
              <w:spacing w:after="0"/>
              <w:rPr>
                <w:sz w:val="20"/>
                <w:szCs w:val="20"/>
                <w:color w:val="auto"/>
              </w:rPr>
            </w:pPr>
            <w:r>
              <w:rPr>
                <w:rFonts w:ascii="Arial" w:cs="Arial" w:eastAsia="Arial" w:hAnsi="Arial"/>
                <w:sz w:val="18"/>
                <w:szCs w:val="18"/>
                <w:b w:val="1"/>
                <w:bCs w:val="1"/>
                <w:color w:val="auto"/>
              </w:rPr>
              <w:t>All Other</w:t>
            </w:r>
          </w:p>
        </w:tc>
        <w:tc>
          <w:tcPr>
            <w:tcW w:w="280" w:type="dxa"/>
            <w:vAlign w:val="bottom"/>
            <w:tcBorders>
              <w:bottom w:val="single" w:sz="8" w:color="auto"/>
            </w:tcBorders>
          </w:tcPr>
          <w:p>
            <w:pPr>
              <w:spacing w:after="0"/>
              <w:rPr>
                <w:sz w:val="21"/>
                <w:szCs w:val="21"/>
                <w:color w:val="auto"/>
              </w:rPr>
            </w:pPr>
          </w:p>
        </w:tc>
        <w:tc>
          <w:tcPr>
            <w:tcW w:w="8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w w:val="97"/>
              </w:rPr>
              <w:t>Total</w:t>
            </w:r>
          </w:p>
        </w:tc>
        <w:tc>
          <w:tcPr>
            <w:tcW w:w="0" w:type="dxa"/>
            <w:vAlign w:val="bottom"/>
          </w:tcPr>
          <w:p>
            <w:pPr>
              <w:spacing w:after="0"/>
              <w:rPr>
                <w:sz w:val="1"/>
                <w:szCs w:val="1"/>
                <w:color w:val="auto"/>
              </w:rPr>
            </w:pPr>
          </w:p>
        </w:tc>
      </w:tr>
      <w:tr>
        <w:trPr>
          <w:trHeight w:val="223"/>
        </w:trPr>
        <w:tc>
          <w:tcPr>
            <w:tcW w:w="4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00" w:type="dxa"/>
            <w:vAlign w:val="bottom"/>
            <w:gridSpan w:val="3"/>
          </w:tcPr>
          <w:p>
            <w:pPr>
              <w:jc w:val="right"/>
              <w:ind w:right="120"/>
              <w:spacing w:after="0"/>
              <w:rPr>
                <w:sz w:val="20"/>
                <w:szCs w:val="20"/>
                <w:color w:val="auto"/>
              </w:rPr>
            </w:pPr>
            <w:r>
              <w:rPr>
                <w:rFonts w:ascii="Arial" w:cs="Arial" w:eastAsia="Arial" w:hAnsi="Arial"/>
                <w:sz w:val="18"/>
                <w:szCs w:val="18"/>
                <w:b w:val="1"/>
                <w:bCs w:val="1"/>
                <w:color w:val="auto"/>
                <w:w w:val="93"/>
              </w:rPr>
              <w:t>(In thousands)</w:t>
            </w:r>
          </w:p>
        </w:tc>
        <w:tc>
          <w:tcPr>
            <w:tcW w:w="1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8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Segment GAAP Financial Measures:</w:t>
            </w:r>
          </w:p>
        </w:tc>
        <w:tc>
          <w:tcPr>
            <w:tcW w:w="10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840" w:type="dxa"/>
            <w:vAlign w:val="bottom"/>
          </w:tcPr>
          <w:p>
            <w:pPr>
              <w:ind w:left="20"/>
              <w:spacing w:after="0"/>
              <w:rPr>
                <w:sz w:val="20"/>
                <w:szCs w:val="20"/>
                <w:color w:val="auto"/>
              </w:rPr>
            </w:pPr>
            <w:r>
              <w:rPr>
                <w:rFonts w:ascii="Arial" w:cs="Arial" w:eastAsia="Arial" w:hAnsi="Arial"/>
                <w:sz w:val="18"/>
                <w:szCs w:val="18"/>
                <w:b w:val="1"/>
                <w:bCs w:val="1"/>
                <w:color w:val="auto"/>
              </w:rPr>
              <w:t>Nine Months Ended September 30, 2022</w:t>
            </w:r>
          </w:p>
        </w:tc>
        <w:tc>
          <w:tcPr>
            <w:tcW w:w="1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84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Revenue</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251,598</w:t>
            </w:r>
          </w:p>
        </w:tc>
        <w:tc>
          <w:tcPr>
            <w:tcW w:w="960" w:type="dxa"/>
            <w:vAlign w:val="bottom"/>
            <w:shd w:val="clear" w:color="auto" w:fill="CCEEFF"/>
          </w:tcPr>
          <w:p>
            <w:pPr>
              <w:jc w:val="right"/>
              <w:ind w:right="670"/>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w w:val="98"/>
              </w:rPr>
              <w:t>96,978</w:t>
            </w:r>
          </w:p>
        </w:tc>
        <w:tc>
          <w:tcPr>
            <w:tcW w:w="640" w:type="dxa"/>
            <w:vAlign w:val="bottom"/>
            <w:shd w:val="clear" w:color="auto" w:fill="CCEEFF"/>
          </w:tcPr>
          <w:p>
            <w:pPr>
              <w:jc w:val="right"/>
              <w:ind w:right="35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79"/>
              </w:rPr>
              <w:t>$</w:t>
            </w: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348,576</w:t>
            </w:r>
          </w:p>
        </w:tc>
        <w:tc>
          <w:tcPr>
            <w:tcW w:w="0" w:type="dxa"/>
            <w:vAlign w:val="bottom"/>
          </w:tcPr>
          <w:p>
            <w:pPr>
              <w:spacing w:after="0"/>
              <w:rPr>
                <w:sz w:val="1"/>
                <w:szCs w:val="1"/>
                <w:color w:val="auto"/>
              </w:rPr>
            </w:pPr>
          </w:p>
        </w:tc>
      </w:tr>
      <w:tr>
        <w:trPr>
          <w:trHeight w:val="230"/>
        </w:trPr>
        <w:tc>
          <w:tcPr>
            <w:tcW w:w="4840" w:type="dxa"/>
            <w:vAlign w:val="bottom"/>
          </w:tcPr>
          <w:p>
            <w:pPr>
              <w:ind w:left="20"/>
              <w:spacing w:after="0"/>
              <w:rPr>
                <w:sz w:val="20"/>
                <w:szCs w:val="20"/>
                <w:color w:val="auto"/>
              </w:rPr>
            </w:pPr>
            <w:r>
              <w:rPr>
                <w:rFonts w:ascii="Arial" w:cs="Arial" w:eastAsia="Arial" w:hAnsi="Arial"/>
                <w:sz w:val="18"/>
                <w:szCs w:val="18"/>
                <w:color w:val="auto"/>
              </w:rPr>
              <w:t>Segment Adjusted EBITDAR from Operations</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gridSpan w:val="2"/>
          </w:tcPr>
          <w:p>
            <w:pPr>
              <w:jc w:val="right"/>
              <w:ind w:right="10"/>
              <w:spacing w:after="0"/>
              <w:rPr>
                <w:sz w:val="20"/>
                <w:szCs w:val="20"/>
                <w:color w:val="auto"/>
              </w:rPr>
            </w:pPr>
            <w:r>
              <w:rPr>
                <w:rFonts w:ascii="Arial" w:cs="Arial" w:eastAsia="Arial" w:hAnsi="Arial"/>
                <w:sz w:val="18"/>
                <w:szCs w:val="18"/>
                <w:color w:val="auto"/>
              </w:rPr>
              <w:t>45,056</w:t>
            </w:r>
          </w:p>
        </w:tc>
        <w:tc>
          <w:tcPr>
            <w:tcW w:w="960" w:type="dxa"/>
            <w:vAlign w:val="bottom"/>
          </w:tcPr>
          <w:p>
            <w:pPr>
              <w:jc w:val="right"/>
              <w:ind w:right="670"/>
              <w:spacing w:after="0"/>
              <w:rPr>
                <w:sz w:val="20"/>
                <w:szCs w:val="20"/>
                <w:color w:val="auto"/>
              </w:rPr>
            </w:pPr>
            <w:r>
              <w:rPr>
                <w:rFonts w:ascii="Arial" w:cs="Arial" w:eastAsia="Arial" w:hAnsi="Arial"/>
                <w:sz w:val="18"/>
                <w:szCs w:val="18"/>
                <w:color w:val="auto"/>
              </w:rPr>
              <w:t>$</w:t>
            </w:r>
          </w:p>
        </w:tc>
        <w:tc>
          <w:tcPr>
            <w:tcW w:w="660" w:type="dxa"/>
            <w:vAlign w:val="bottom"/>
            <w:gridSpan w:val="2"/>
          </w:tcPr>
          <w:p>
            <w:pPr>
              <w:jc w:val="right"/>
              <w:ind w:right="10"/>
              <w:spacing w:after="0"/>
              <w:rPr>
                <w:sz w:val="20"/>
                <w:szCs w:val="20"/>
                <w:color w:val="auto"/>
              </w:rPr>
            </w:pPr>
            <w:r>
              <w:rPr>
                <w:rFonts w:ascii="Arial" w:cs="Arial" w:eastAsia="Arial" w:hAnsi="Arial"/>
                <w:sz w:val="18"/>
                <w:szCs w:val="18"/>
                <w:color w:val="auto"/>
                <w:w w:val="98"/>
              </w:rPr>
              <w:t>27,573</w:t>
            </w:r>
          </w:p>
        </w:tc>
        <w:tc>
          <w:tcPr>
            <w:tcW w:w="640" w:type="dxa"/>
            <w:vAlign w:val="bottom"/>
          </w:tcPr>
          <w:p>
            <w:pPr>
              <w:jc w:val="right"/>
              <w:ind w:right="35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w w:val="95"/>
              </w:rPr>
              <w:t>(23,795)</w:t>
            </w:r>
          </w:p>
        </w:tc>
        <w:tc>
          <w:tcPr>
            <w:tcW w:w="280" w:type="dxa"/>
            <w:vAlign w:val="bottom"/>
          </w:tcPr>
          <w:p>
            <w:pPr>
              <w:jc w:val="center"/>
              <w:spacing w:after="0"/>
              <w:rPr>
                <w:sz w:val="20"/>
                <w:szCs w:val="20"/>
                <w:color w:val="auto"/>
              </w:rPr>
            </w:pPr>
            <w:r>
              <w:rPr>
                <w:rFonts w:ascii="Arial" w:cs="Arial" w:eastAsia="Arial" w:hAnsi="Arial"/>
                <w:sz w:val="18"/>
                <w:szCs w:val="18"/>
                <w:color w:val="auto"/>
                <w:w w:val="79"/>
              </w:rPr>
              <w:t>$</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48,834</w:t>
            </w:r>
          </w:p>
        </w:tc>
        <w:tc>
          <w:tcPr>
            <w:tcW w:w="0" w:type="dxa"/>
            <w:vAlign w:val="bottom"/>
          </w:tcPr>
          <w:p>
            <w:pPr>
              <w:spacing w:after="0"/>
              <w:rPr>
                <w:sz w:val="1"/>
                <w:szCs w:val="1"/>
                <w:color w:val="auto"/>
              </w:rPr>
            </w:pPr>
          </w:p>
        </w:tc>
      </w:tr>
      <w:tr>
        <w:trPr>
          <w:trHeight w:val="229"/>
        </w:trPr>
        <w:tc>
          <w:tcPr>
            <w:tcW w:w="48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Nine Months Ended September 30, 2021</w:t>
            </w:r>
          </w:p>
        </w:tc>
        <w:tc>
          <w:tcPr>
            <w:tcW w:w="10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840" w:type="dxa"/>
            <w:vAlign w:val="bottom"/>
          </w:tcPr>
          <w:p>
            <w:pPr>
              <w:ind w:left="20"/>
              <w:spacing w:after="0"/>
              <w:rPr>
                <w:sz w:val="20"/>
                <w:szCs w:val="20"/>
                <w:color w:val="auto"/>
              </w:rPr>
            </w:pPr>
            <w:r>
              <w:rPr>
                <w:rFonts w:ascii="Arial" w:cs="Arial" w:eastAsia="Arial" w:hAnsi="Arial"/>
                <w:sz w:val="18"/>
                <w:szCs w:val="18"/>
                <w:color w:val="auto"/>
              </w:rPr>
              <w:t>Revenue</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gridSpan w:val="2"/>
          </w:tcPr>
          <w:p>
            <w:pPr>
              <w:jc w:val="right"/>
              <w:ind w:right="10"/>
              <w:spacing w:after="0"/>
              <w:rPr>
                <w:sz w:val="20"/>
                <w:szCs w:val="20"/>
                <w:color w:val="auto"/>
              </w:rPr>
            </w:pPr>
            <w:r>
              <w:rPr>
                <w:rFonts w:ascii="Arial" w:cs="Arial" w:eastAsia="Arial" w:hAnsi="Arial"/>
                <w:sz w:val="18"/>
                <w:szCs w:val="18"/>
                <w:color w:val="auto"/>
              </w:rPr>
              <w:t>231,715</w:t>
            </w:r>
          </w:p>
        </w:tc>
        <w:tc>
          <w:tcPr>
            <w:tcW w:w="960" w:type="dxa"/>
            <w:vAlign w:val="bottom"/>
          </w:tcPr>
          <w:p>
            <w:pPr>
              <w:jc w:val="right"/>
              <w:ind w:right="670"/>
              <w:spacing w:after="0"/>
              <w:rPr>
                <w:sz w:val="20"/>
                <w:szCs w:val="20"/>
                <w:color w:val="auto"/>
              </w:rPr>
            </w:pPr>
            <w:r>
              <w:rPr>
                <w:rFonts w:ascii="Arial" w:cs="Arial" w:eastAsia="Arial" w:hAnsi="Arial"/>
                <w:sz w:val="18"/>
                <w:szCs w:val="18"/>
                <w:color w:val="auto"/>
              </w:rPr>
              <w:t>$</w:t>
            </w:r>
          </w:p>
        </w:tc>
        <w:tc>
          <w:tcPr>
            <w:tcW w:w="660" w:type="dxa"/>
            <w:vAlign w:val="bottom"/>
            <w:gridSpan w:val="2"/>
          </w:tcPr>
          <w:p>
            <w:pPr>
              <w:jc w:val="right"/>
              <w:ind w:right="10"/>
              <w:spacing w:after="0"/>
              <w:rPr>
                <w:sz w:val="20"/>
                <w:szCs w:val="20"/>
                <w:color w:val="auto"/>
              </w:rPr>
            </w:pPr>
            <w:r>
              <w:rPr>
                <w:rFonts w:ascii="Arial" w:cs="Arial" w:eastAsia="Arial" w:hAnsi="Arial"/>
                <w:sz w:val="18"/>
                <w:szCs w:val="18"/>
                <w:color w:val="auto"/>
                <w:w w:val="98"/>
              </w:rPr>
              <w:t>96,214</w:t>
            </w:r>
          </w:p>
        </w:tc>
        <w:tc>
          <w:tcPr>
            <w:tcW w:w="640" w:type="dxa"/>
            <w:vAlign w:val="bottom"/>
          </w:tcPr>
          <w:p>
            <w:pPr>
              <w:jc w:val="right"/>
              <w:ind w:right="35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jc w:val="center"/>
              <w:spacing w:after="0"/>
              <w:rPr>
                <w:sz w:val="20"/>
                <w:szCs w:val="20"/>
                <w:color w:val="auto"/>
              </w:rPr>
            </w:pPr>
            <w:r>
              <w:rPr>
                <w:rFonts w:ascii="Arial" w:cs="Arial" w:eastAsia="Arial" w:hAnsi="Arial"/>
                <w:sz w:val="18"/>
                <w:szCs w:val="18"/>
                <w:color w:val="auto"/>
                <w:w w:val="79"/>
              </w:rPr>
              <w:t>$</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327,929</w:t>
            </w:r>
          </w:p>
        </w:tc>
        <w:tc>
          <w:tcPr>
            <w:tcW w:w="0" w:type="dxa"/>
            <w:vAlign w:val="bottom"/>
          </w:tcPr>
          <w:p>
            <w:pPr>
              <w:spacing w:after="0"/>
              <w:rPr>
                <w:sz w:val="1"/>
                <w:szCs w:val="1"/>
                <w:color w:val="auto"/>
              </w:rPr>
            </w:pPr>
          </w:p>
        </w:tc>
      </w:tr>
      <w:tr>
        <w:trPr>
          <w:trHeight w:val="230"/>
        </w:trPr>
        <w:tc>
          <w:tcPr>
            <w:tcW w:w="484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Segment Adjusted EBITDAR from Operations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43,131</w:t>
            </w:r>
          </w:p>
        </w:tc>
        <w:tc>
          <w:tcPr>
            <w:tcW w:w="960" w:type="dxa"/>
            <w:vAlign w:val="bottom"/>
            <w:shd w:val="clear" w:color="auto" w:fill="CCEEFF"/>
          </w:tcPr>
          <w:p>
            <w:pPr>
              <w:jc w:val="right"/>
              <w:ind w:right="670"/>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w w:val="98"/>
              </w:rPr>
              <w:t>27,692</w:t>
            </w:r>
          </w:p>
        </w:tc>
        <w:tc>
          <w:tcPr>
            <w:tcW w:w="640" w:type="dxa"/>
            <w:vAlign w:val="bottom"/>
            <w:shd w:val="clear" w:color="auto" w:fill="CCEEFF"/>
          </w:tcPr>
          <w:p>
            <w:pPr>
              <w:jc w:val="right"/>
              <w:ind w:right="35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(19,249)</w:t>
            </w:r>
          </w:p>
        </w:tc>
        <w:tc>
          <w:tcPr>
            <w:tcW w:w="2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79"/>
              </w:rPr>
              <w:t>$</w:t>
            </w: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51,574</w:t>
            </w:r>
          </w:p>
        </w:tc>
        <w:tc>
          <w:tcPr>
            <w:tcW w:w="0" w:type="dxa"/>
            <w:vAlign w:val="bottom"/>
          </w:tcPr>
          <w:p>
            <w:pPr>
              <w:spacing w:after="0"/>
              <w:rPr>
                <w:sz w:val="1"/>
                <w:szCs w:val="1"/>
                <w:color w:val="auto"/>
              </w:rPr>
            </w:pPr>
          </w:p>
        </w:tc>
      </w:tr>
      <w:tr>
        <w:trPr>
          <w:trHeight w:val="540"/>
        </w:trPr>
        <w:tc>
          <w:tcPr>
            <w:tcW w:w="11240" w:type="dxa"/>
            <w:vAlign w:val="bottom"/>
            <w:gridSpan w:val="16"/>
          </w:tcPr>
          <w:p>
            <w:pPr>
              <w:jc w:val="center"/>
              <w:spacing w:after="0"/>
              <w:rPr>
                <w:sz w:val="20"/>
                <w:szCs w:val="20"/>
                <w:color w:val="auto"/>
              </w:rPr>
            </w:pPr>
            <w:r>
              <w:rPr>
                <w:rFonts w:ascii="Arial" w:cs="Arial" w:eastAsia="Arial" w:hAnsi="Arial"/>
                <w:sz w:val="18"/>
                <w:szCs w:val="18"/>
                <w:color w:val="auto"/>
                <w:w w:val="91"/>
              </w:rPr>
              <w:t>The table below provides a reconciliation of Segment Adjusted EBITDAR from Operations to Condensed Consolidated Income from o@J</w:t>
            </w:r>
          </w:p>
        </w:tc>
        <w:tc>
          <w:tcPr>
            <w:tcW w:w="0" w:type="dxa"/>
            <w:vAlign w:val="bottom"/>
          </w:tcPr>
          <w:p>
            <w:pPr>
              <w:spacing w:after="0"/>
              <w:rPr>
                <w:sz w:val="1"/>
                <w:szCs w:val="1"/>
                <w:color w:val="auto"/>
              </w:rPr>
            </w:pPr>
          </w:p>
        </w:tc>
      </w:tr>
      <w:tr>
        <w:trPr>
          <w:trHeight w:val="454"/>
        </w:trPr>
        <w:tc>
          <w:tcPr>
            <w:tcW w:w="4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360" w:type="dxa"/>
            <w:vAlign w:val="bottom"/>
            <w:gridSpan w:val="5"/>
          </w:tcPr>
          <w:p>
            <w:pPr>
              <w:ind w:left="180"/>
              <w:spacing w:after="0"/>
              <w:rPr>
                <w:sz w:val="20"/>
                <w:szCs w:val="20"/>
                <w:color w:val="auto"/>
              </w:rPr>
            </w:pPr>
            <w:r>
              <w:rPr>
                <w:rFonts w:ascii="Arial" w:cs="Arial" w:eastAsia="Arial" w:hAnsi="Arial"/>
                <w:sz w:val="18"/>
                <w:szCs w:val="18"/>
                <w:b w:val="1"/>
                <w:bCs w:val="1"/>
                <w:color w:val="auto"/>
              </w:rPr>
              <w:t>Three Months Ended</w:t>
            </w:r>
          </w:p>
        </w:tc>
        <w:tc>
          <w:tcPr>
            <w:tcW w:w="2520" w:type="dxa"/>
            <w:vAlign w:val="bottom"/>
            <w:gridSpan w:val="7"/>
          </w:tcPr>
          <w:p>
            <w:pPr>
              <w:jc w:val="right"/>
              <w:spacing w:after="0"/>
              <w:rPr>
                <w:sz w:val="20"/>
                <w:szCs w:val="20"/>
                <w:color w:val="auto"/>
              </w:rPr>
            </w:pPr>
            <w:r>
              <w:rPr>
                <w:rFonts w:ascii="Arial" w:cs="Arial" w:eastAsia="Arial" w:hAnsi="Arial"/>
                <w:sz w:val="18"/>
                <w:szCs w:val="18"/>
                <w:b w:val="1"/>
                <w:bCs w:val="1"/>
                <w:color w:val="auto"/>
                <w:w w:val="92"/>
              </w:rPr>
              <w:t>Nine Months Ended September</w:t>
            </w:r>
          </w:p>
        </w:tc>
        <w:tc>
          <w:tcPr>
            <w:tcW w:w="0" w:type="dxa"/>
            <w:vAlign w:val="bottom"/>
          </w:tcPr>
          <w:p>
            <w:pPr>
              <w:spacing w:after="0"/>
              <w:rPr>
                <w:sz w:val="1"/>
                <w:szCs w:val="1"/>
                <w:color w:val="auto"/>
              </w:rPr>
            </w:pPr>
          </w:p>
        </w:tc>
      </w:tr>
      <w:tr>
        <w:trPr>
          <w:trHeight w:val="234"/>
        </w:trPr>
        <w:tc>
          <w:tcPr>
            <w:tcW w:w="4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62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September 30,</w:t>
            </w:r>
          </w:p>
        </w:tc>
        <w:tc>
          <w:tcPr>
            <w:tcW w:w="6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680" w:type="dxa"/>
            <w:vAlign w:val="bottom"/>
            <w:tcBorders>
              <w:bottom w:val="single" w:sz="8" w:color="auto"/>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360" w:type="dxa"/>
            <w:vAlign w:val="bottom"/>
            <w:tcBorders>
              <w:bottom w:val="single" w:sz="8" w:color="auto"/>
            </w:tcBorders>
            <w:gridSpan w:val="3"/>
          </w:tcPr>
          <w:p>
            <w:pPr>
              <w:jc w:val="right"/>
              <w:ind w:right="30"/>
              <w:spacing w:after="0"/>
              <w:rPr>
                <w:sz w:val="20"/>
                <w:szCs w:val="20"/>
                <w:color w:val="auto"/>
              </w:rPr>
            </w:pPr>
            <w:r>
              <w:rPr>
                <w:rFonts w:ascii="Arial" w:cs="Arial" w:eastAsia="Arial" w:hAnsi="Arial"/>
                <w:sz w:val="18"/>
                <w:szCs w:val="18"/>
                <w:b w:val="1"/>
                <w:bCs w:val="1"/>
                <w:color w:val="auto"/>
                <w:w w:val="87"/>
              </w:rPr>
              <w:t>30,</w:t>
            </w:r>
          </w:p>
        </w:tc>
        <w:tc>
          <w:tcPr>
            <w:tcW w:w="102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4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2022</w:t>
            </w:r>
          </w:p>
        </w:tc>
        <w:tc>
          <w:tcPr>
            <w:tcW w:w="1300" w:type="dxa"/>
            <w:vAlign w:val="bottom"/>
            <w:tcBorders>
              <w:bottom w:val="single" w:sz="8" w:color="auto"/>
            </w:tcBorders>
            <w:gridSpan w:val="3"/>
          </w:tcPr>
          <w:p>
            <w:pPr>
              <w:jc w:val="right"/>
              <w:ind w:right="330"/>
              <w:spacing w:after="0"/>
              <w:rPr>
                <w:sz w:val="20"/>
                <w:szCs w:val="20"/>
                <w:color w:val="auto"/>
              </w:rPr>
            </w:pPr>
            <w:r>
              <w:rPr>
                <w:rFonts w:ascii="Arial" w:cs="Arial" w:eastAsia="Arial" w:hAnsi="Arial"/>
                <w:sz w:val="18"/>
                <w:szCs w:val="18"/>
                <w:b w:val="1"/>
                <w:bCs w:val="1"/>
                <w:color w:val="auto"/>
              </w:rPr>
              <w:t>2021</w:t>
            </w:r>
          </w:p>
        </w:tc>
        <w:tc>
          <w:tcPr>
            <w:tcW w:w="10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2022</w:t>
            </w:r>
          </w:p>
        </w:tc>
        <w:tc>
          <w:tcPr>
            <w:tcW w:w="28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2021</w:t>
            </w:r>
          </w:p>
        </w:tc>
        <w:tc>
          <w:tcPr>
            <w:tcW w:w="0" w:type="dxa"/>
            <w:vAlign w:val="bottom"/>
          </w:tcPr>
          <w:p>
            <w:pPr>
              <w:spacing w:after="0"/>
              <w:rPr>
                <w:sz w:val="1"/>
                <w:szCs w:val="1"/>
                <w:color w:val="auto"/>
              </w:rPr>
            </w:pPr>
          </w:p>
        </w:tc>
      </w:tr>
      <w:tr>
        <w:trPr>
          <w:trHeight w:val="223"/>
        </w:trPr>
        <w:tc>
          <w:tcPr>
            <w:tcW w:w="4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600" w:type="dxa"/>
            <w:vAlign w:val="bottom"/>
            <w:gridSpan w:val="4"/>
          </w:tcPr>
          <w:p>
            <w:pPr>
              <w:jc w:val="right"/>
              <w:ind w:right="250"/>
              <w:spacing w:after="0"/>
              <w:rPr>
                <w:sz w:val="20"/>
                <w:szCs w:val="20"/>
                <w:color w:val="auto"/>
              </w:rPr>
            </w:pPr>
            <w:r>
              <w:rPr>
                <w:rFonts w:ascii="Arial" w:cs="Arial" w:eastAsia="Arial" w:hAnsi="Arial"/>
                <w:sz w:val="18"/>
                <w:szCs w:val="18"/>
                <w:b w:val="1"/>
                <w:bCs w:val="1"/>
                <w:color w:val="auto"/>
                <w:w w:val="99"/>
              </w:rPr>
              <w:t>(In thousands)</w:t>
            </w:r>
          </w:p>
        </w:tc>
        <w:tc>
          <w:tcPr>
            <w:tcW w:w="2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840" w:type="dxa"/>
            <w:vAlign w:val="bottom"/>
            <w:shd w:val="clear" w:color="auto" w:fill="CCEEFF"/>
          </w:tcPr>
          <w:p>
            <w:pPr>
              <w:ind w:left="20"/>
              <w:spacing w:after="0" w:line="230" w:lineRule="exact"/>
              <w:rPr>
                <w:sz w:val="20"/>
                <w:szCs w:val="20"/>
                <w:color w:val="auto"/>
              </w:rPr>
            </w:pPr>
            <w:r>
              <w:rPr>
                <w:rFonts w:ascii="Arial" w:cs="Arial" w:eastAsia="Arial" w:hAnsi="Arial"/>
                <w:sz w:val="18"/>
                <w:szCs w:val="18"/>
                <w:color w:val="auto"/>
              </w:rPr>
              <w:t>Segment Adjusted EBITDAR from Operations</w:t>
            </w:r>
            <w:r>
              <w:rPr>
                <w:rFonts w:ascii="Arial" w:cs="Arial" w:eastAsia="Arial" w:hAnsi="Arial"/>
                <w:sz w:val="23"/>
                <w:szCs w:val="23"/>
                <w:color w:val="auto"/>
                <w:vertAlign w:val="superscript"/>
              </w:rPr>
              <w:t>(a)</w:t>
            </w:r>
          </w:p>
        </w:tc>
        <w:tc>
          <w:tcPr>
            <w:tcW w:w="100" w:type="dxa"/>
            <w:vAlign w:val="bottom"/>
            <w:shd w:val="clear" w:color="auto" w:fill="CCEEFF"/>
          </w:tcPr>
          <w:p>
            <w:pPr>
              <w:spacing w:after="0"/>
              <w:rPr>
                <w:sz w:val="19"/>
                <w:szCs w:val="19"/>
                <w:color w:val="auto"/>
              </w:rPr>
            </w:pPr>
          </w:p>
        </w:tc>
        <w:tc>
          <w:tcPr>
            <w:tcW w:w="142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16,971</w:t>
            </w:r>
          </w:p>
        </w:tc>
        <w:tc>
          <w:tcPr>
            <w:tcW w:w="660" w:type="dxa"/>
            <w:vAlign w:val="bottom"/>
            <w:gridSpan w:val="2"/>
            <w:shd w:val="clear" w:color="auto" w:fill="CCEEFF"/>
          </w:tcPr>
          <w:p>
            <w:pPr>
              <w:jc w:val="right"/>
              <w:ind w:right="37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16,732</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48,834</w:t>
            </w:r>
          </w:p>
        </w:tc>
        <w:tc>
          <w:tcPr>
            <w:tcW w:w="3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51,574</w:t>
            </w:r>
          </w:p>
        </w:tc>
        <w:tc>
          <w:tcPr>
            <w:tcW w:w="0" w:type="dxa"/>
            <w:vAlign w:val="bottom"/>
          </w:tcPr>
          <w:p>
            <w:pPr>
              <w:spacing w:after="0"/>
              <w:rPr>
                <w:sz w:val="1"/>
                <w:szCs w:val="1"/>
                <w:color w:val="auto"/>
              </w:rPr>
            </w:pPr>
          </w:p>
        </w:tc>
      </w:tr>
      <w:tr>
        <w:trPr>
          <w:trHeight w:val="230"/>
        </w:trPr>
        <w:tc>
          <w:tcPr>
            <w:tcW w:w="4840" w:type="dxa"/>
            <w:vAlign w:val="bottom"/>
          </w:tcPr>
          <w:p>
            <w:pPr>
              <w:ind w:left="20"/>
              <w:spacing w:after="0"/>
              <w:rPr>
                <w:sz w:val="20"/>
                <w:szCs w:val="20"/>
                <w:color w:val="auto"/>
              </w:rPr>
            </w:pPr>
            <w:r>
              <w:rPr>
                <w:rFonts w:ascii="Arial" w:cs="Arial" w:eastAsia="Arial" w:hAnsi="Arial"/>
                <w:sz w:val="18"/>
                <w:szCs w:val="18"/>
                <w:color w:val="auto"/>
              </w:rPr>
              <w:t>Less: Depreciation and amortization</w:t>
            </w:r>
          </w:p>
        </w:tc>
        <w:tc>
          <w:tcPr>
            <w:tcW w:w="1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1,251</w:t>
            </w: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1,200</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3,677</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3,545</w:t>
            </w:r>
          </w:p>
        </w:tc>
        <w:tc>
          <w:tcPr>
            <w:tcW w:w="0" w:type="dxa"/>
            <w:vAlign w:val="bottom"/>
          </w:tcPr>
          <w:p>
            <w:pPr>
              <w:spacing w:after="0"/>
              <w:rPr>
                <w:sz w:val="1"/>
                <w:szCs w:val="1"/>
                <w:color w:val="auto"/>
              </w:rPr>
            </w:pPr>
          </w:p>
        </w:tc>
      </w:tr>
      <w:tr>
        <w:trPr>
          <w:trHeight w:val="230"/>
        </w:trPr>
        <w:tc>
          <w:tcPr>
            <w:tcW w:w="4840" w:type="dxa"/>
            <w:vAlign w:val="bottom"/>
            <w:shd w:val="clear" w:color="auto" w:fill="CCEEFF"/>
          </w:tcPr>
          <w:p>
            <w:pPr>
              <w:ind w:left="480"/>
              <w:spacing w:after="0"/>
              <w:rPr>
                <w:sz w:val="20"/>
                <w:szCs w:val="20"/>
                <w:color w:val="auto"/>
              </w:rPr>
            </w:pPr>
            <w:r>
              <w:rPr>
                <w:rFonts w:ascii="Arial" w:cs="Arial" w:eastAsia="Arial" w:hAnsi="Arial"/>
                <w:sz w:val="18"/>
                <w:szCs w:val="18"/>
                <w:color w:val="auto"/>
              </w:rPr>
              <w:t>Rent—cost of services</w:t>
            </w:r>
          </w:p>
        </w:tc>
        <w:tc>
          <w:tcPr>
            <w:tcW w:w="10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9,391</w:t>
            </w: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10,334</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28,520</w:t>
            </w: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30,455</w:t>
            </w:r>
          </w:p>
        </w:tc>
        <w:tc>
          <w:tcPr>
            <w:tcW w:w="0" w:type="dxa"/>
            <w:vAlign w:val="bottom"/>
          </w:tcPr>
          <w:p>
            <w:pPr>
              <w:spacing w:after="0"/>
              <w:rPr>
                <w:sz w:val="1"/>
                <w:szCs w:val="1"/>
                <w:color w:val="auto"/>
              </w:rPr>
            </w:pPr>
          </w:p>
        </w:tc>
      </w:tr>
      <w:tr>
        <w:trPr>
          <w:trHeight w:val="229"/>
        </w:trPr>
        <w:tc>
          <w:tcPr>
            <w:tcW w:w="4840" w:type="dxa"/>
            <w:vAlign w:val="bottom"/>
          </w:tcPr>
          <w:p>
            <w:pPr>
              <w:ind w:left="480"/>
              <w:spacing w:after="0"/>
              <w:rPr>
                <w:sz w:val="20"/>
                <w:szCs w:val="20"/>
                <w:color w:val="auto"/>
              </w:rPr>
            </w:pPr>
            <w:r>
              <w:rPr>
                <w:rFonts w:ascii="Arial" w:cs="Arial" w:eastAsia="Arial" w:hAnsi="Arial"/>
                <w:sz w:val="18"/>
                <w:szCs w:val="18"/>
                <w:color w:val="auto"/>
              </w:rPr>
              <w:t>Other Expense</w:t>
            </w:r>
          </w:p>
        </w:tc>
        <w:tc>
          <w:tcPr>
            <w:tcW w:w="1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(18)</w:t>
            </w: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7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360" w:type="dxa"/>
            <w:vAlign w:val="bottom"/>
            <w:gridSpan w:val="2"/>
          </w:tcPr>
          <w:p>
            <w:pPr>
              <w:jc w:val="center"/>
              <w:spacing w:after="0"/>
              <w:rPr>
                <w:sz w:val="20"/>
                <w:szCs w:val="20"/>
                <w:color w:val="auto"/>
              </w:rPr>
            </w:pPr>
            <w:r>
              <w:rPr>
                <w:rFonts w:ascii="Arial" w:cs="Arial" w:eastAsia="Arial" w:hAnsi="Arial"/>
                <w:sz w:val="18"/>
                <w:szCs w:val="18"/>
                <w:color w:val="auto"/>
                <w:w w:val="93"/>
              </w:rPr>
              <w:t>(50)</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30"/>
        </w:trPr>
        <w:tc>
          <w:tcPr>
            <w:tcW w:w="4840" w:type="dxa"/>
            <w:vAlign w:val="bottom"/>
            <w:shd w:val="clear" w:color="auto" w:fill="CCEEFF"/>
          </w:tcPr>
          <w:p>
            <w:pPr>
              <w:ind w:left="20"/>
              <w:spacing w:after="0"/>
              <w:rPr>
                <w:sz w:val="20"/>
                <w:szCs w:val="20"/>
                <w:color w:val="auto"/>
              </w:rPr>
            </w:pPr>
            <w:r>
              <w:rPr>
                <w:rFonts w:ascii="Arial" w:cs="Arial" w:eastAsia="Arial" w:hAnsi="Arial"/>
                <w:sz w:val="18"/>
                <w:szCs w:val="18"/>
                <w:color w:val="auto"/>
              </w:rPr>
              <w:t>Adjustments to Segment EBITDAR from Operations:</w:t>
            </w:r>
          </w:p>
        </w:tc>
        <w:tc>
          <w:tcPr>
            <w:tcW w:w="10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840" w:type="dxa"/>
            <w:vAlign w:val="bottom"/>
          </w:tcPr>
          <w:p>
            <w:pPr>
              <w:ind w:left="20"/>
              <w:spacing w:after="0" w:line="230" w:lineRule="exact"/>
              <w:rPr>
                <w:sz w:val="20"/>
                <w:szCs w:val="20"/>
                <w:color w:val="auto"/>
              </w:rPr>
            </w:pPr>
            <w:r>
              <w:rPr>
                <w:rFonts w:ascii="Arial" w:cs="Arial" w:eastAsia="Arial" w:hAnsi="Arial"/>
                <w:sz w:val="18"/>
                <w:szCs w:val="18"/>
                <w:color w:val="auto"/>
              </w:rPr>
              <w:t>Less: Costs at start-up operations</w:t>
            </w:r>
            <w:r>
              <w:rPr>
                <w:rFonts w:ascii="Arial" w:cs="Arial" w:eastAsia="Arial" w:hAnsi="Arial"/>
                <w:sz w:val="23"/>
                <w:szCs w:val="23"/>
                <w:color w:val="auto"/>
                <w:vertAlign w:val="superscript"/>
              </w:rPr>
              <w:t>(b)</w:t>
            </w:r>
          </w:p>
        </w:tc>
        <w:tc>
          <w:tcPr>
            <w:tcW w:w="1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430</w:t>
            </w: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532</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w w:val="86"/>
              </w:rPr>
              <w:t>938</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991</w:t>
            </w:r>
          </w:p>
        </w:tc>
        <w:tc>
          <w:tcPr>
            <w:tcW w:w="0" w:type="dxa"/>
            <w:vAlign w:val="bottom"/>
          </w:tcPr>
          <w:p>
            <w:pPr>
              <w:spacing w:after="0"/>
              <w:rPr>
                <w:sz w:val="1"/>
                <w:szCs w:val="1"/>
                <w:color w:val="auto"/>
              </w:rPr>
            </w:pPr>
          </w:p>
        </w:tc>
      </w:tr>
      <w:tr>
        <w:trPr>
          <w:trHeight w:val="230"/>
        </w:trPr>
        <w:tc>
          <w:tcPr>
            <w:tcW w:w="4840" w:type="dxa"/>
            <w:vAlign w:val="bottom"/>
            <w:shd w:val="clear" w:color="auto" w:fill="CCEEFF"/>
          </w:tcPr>
          <w:p>
            <w:pPr>
              <w:ind w:left="480"/>
              <w:spacing w:after="0" w:line="230" w:lineRule="exact"/>
              <w:rPr>
                <w:sz w:val="20"/>
                <w:szCs w:val="20"/>
                <w:color w:val="auto"/>
              </w:rPr>
            </w:pPr>
            <w:r>
              <w:rPr>
                <w:rFonts w:ascii="Arial" w:cs="Arial" w:eastAsia="Arial" w:hAnsi="Arial"/>
                <w:sz w:val="18"/>
                <w:szCs w:val="18"/>
                <w:color w:val="auto"/>
              </w:rPr>
              <w:t>Share-based compensation expense</w:t>
            </w:r>
            <w:r>
              <w:rPr>
                <w:rFonts w:ascii="Arial" w:cs="Arial" w:eastAsia="Arial" w:hAnsi="Arial"/>
                <w:sz w:val="23"/>
                <w:szCs w:val="23"/>
                <w:color w:val="auto"/>
                <w:vertAlign w:val="superscript"/>
              </w:rPr>
              <w:t>(c)</w:t>
            </w:r>
          </w:p>
        </w:tc>
        <w:tc>
          <w:tcPr>
            <w:tcW w:w="10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(2,501)</w:t>
            </w: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2,568</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2,319</w:t>
            </w: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7,483</w:t>
            </w:r>
          </w:p>
        </w:tc>
        <w:tc>
          <w:tcPr>
            <w:tcW w:w="0" w:type="dxa"/>
            <w:vAlign w:val="bottom"/>
          </w:tcPr>
          <w:p>
            <w:pPr>
              <w:spacing w:after="0"/>
              <w:rPr>
                <w:sz w:val="1"/>
                <w:szCs w:val="1"/>
                <w:color w:val="auto"/>
              </w:rPr>
            </w:pPr>
          </w:p>
        </w:tc>
      </w:tr>
      <w:tr>
        <w:trPr>
          <w:trHeight w:val="229"/>
        </w:trPr>
        <w:tc>
          <w:tcPr>
            <w:tcW w:w="4840" w:type="dxa"/>
            <w:vAlign w:val="bottom"/>
          </w:tcPr>
          <w:p>
            <w:pPr>
              <w:ind w:left="460"/>
              <w:spacing w:after="0" w:line="230" w:lineRule="exact"/>
              <w:rPr>
                <w:sz w:val="20"/>
                <w:szCs w:val="20"/>
                <w:color w:val="auto"/>
              </w:rPr>
            </w:pPr>
            <w:r>
              <w:rPr>
                <w:rFonts w:ascii="Arial" w:cs="Arial" w:eastAsia="Arial" w:hAnsi="Arial"/>
                <w:sz w:val="18"/>
                <w:szCs w:val="18"/>
                <w:color w:val="auto"/>
              </w:rPr>
              <w:t>Acquisition related costs and credit allowances</w:t>
            </w:r>
            <w:r>
              <w:rPr>
                <w:rFonts w:ascii="Arial" w:cs="Arial" w:eastAsia="Arial" w:hAnsi="Arial"/>
                <w:sz w:val="23"/>
                <w:szCs w:val="23"/>
                <w:color w:val="auto"/>
                <w:vertAlign w:val="superscript"/>
              </w:rPr>
              <w:t>(d)</w:t>
            </w:r>
          </w:p>
        </w:tc>
        <w:tc>
          <w:tcPr>
            <w:tcW w:w="1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1,000</w:t>
            </w: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36</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1,014</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73</w:t>
            </w:r>
          </w:p>
        </w:tc>
        <w:tc>
          <w:tcPr>
            <w:tcW w:w="0" w:type="dxa"/>
            <w:vAlign w:val="bottom"/>
          </w:tcPr>
          <w:p>
            <w:pPr>
              <w:spacing w:after="0"/>
              <w:rPr>
                <w:sz w:val="1"/>
                <w:szCs w:val="1"/>
                <w:color w:val="auto"/>
              </w:rPr>
            </w:pPr>
          </w:p>
        </w:tc>
      </w:tr>
      <w:tr>
        <w:trPr>
          <w:trHeight w:val="230"/>
        </w:trPr>
        <w:tc>
          <w:tcPr>
            <w:tcW w:w="4840" w:type="dxa"/>
            <w:vAlign w:val="bottom"/>
            <w:shd w:val="clear" w:color="auto" w:fill="CCEEFF"/>
          </w:tcPr>
          <w:p>
            <w:pPr>
              <w:ind w:left="460"/>
              <w:spacing w:after="0" w:line="230" w:lineRule="exact"/>
              <w:rPr>
                <w:sz w:val="20"/>
                <w:szCs w:val="20"/>
                <w:color w:val="auto"/>
              </w:rPr>
            </w:pPr>
            <w:r>
              <w:rPr>
                <w:rFonts w:ascii="Arial" w:cs="Arial" w:eastAsia="Arial" w:hAnsi="Arial"/>
                <w:sz w:val="18"/>
                <w:szCs w:val="18"/>
                <w:color w:val="auto"/>
              </w:rPr>
              <w:t>Transition services costs</w:t>
            </w:r>
            <w:r>
              <w:rPr>
                <w:rFonts w:ascii="Arial" w:cs="Arial" w:eastAsia="Arial" w:hAnsi="Arial"/>
                <w:sz w:val="23"/>
                <w:szCs w:val="23"/>
                <w:color w:val="auto"/>
                <w:vertAlign w:val="superscript"/>
              </w:rPr>
              <w:t>(e)</w:t>
            </w:r>
          </w:p>
        </w:tc>
        <w:tc>
          <w:tcPr>
            <w:tcW w:w="10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236</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w:t>
            </w: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1,825</w:t>
            </w:r>
          </w:p>
        </w:tc>
        <w:tc>
          <w:tcPr>
            <w:tcW w:w="0" w:type="dxa"/>
            <w:vAlign w:val="bottom"/>
          </w:tcPr>
          <w:p>
            <w:pPr>
              <w:spacing w:after="0"/>
              <w:rPr>
                <w:sz w:val="1"/>
                <w:szCs w:val="1"/>
                <w:color w:val="auto"/>
              </w:rPr>
            </w:pPr>
          </w:p>
        </w:tc>
      </w:tr>
      <w:tr>
        <w:trPr>
          <w:trHeight w:val="230"/>
        </w:trPr>
        <w:tc>
          <w:tcPr>
            <w:tcW w:w="4940" w:type="dxa"/>
            <w:vAlign w:val="bottom"/>
            <w:gridSpan w:val="2"/>
          </w:tcPr>
          <w:p>
            <w:pPr>
              <w:ind w:left="460"/>
              <w:spacing w:after="0" w:line="230" w:lineRule="exact"/>
              <w:rPr>
                <w:sz w:val="20"/>
                <w:szCs w:val="20"/>
                <w:color w:val="auto"/>
              </w:rPr>
            </w:pPr>
            <w:r>
              <w:rPr>
                <w:rFonts w:ascii="Arial" w:cs="Arial" w:eastAsia="Arial" w:hAnsi="Arial"/>
                <w:sz w:val="18"/>
                <w:szCs w:val="18"/>
                <w:color w:val="auto"/>
                <w:w w:val="90"/>
              </w:rPr>
              <w:t>Loss related to senior living operations transferred to Ensign</w:t>
            </w:r>
            <w:r>
              <w:rPr>
                <w:rFonts w:ascii="Arial" w:cs="Arial" w:eastAsia="Arial" w:hAnsi="Arial"/>
                <w:sz w:val="23"/>
                <w:szCs w:val="23"/>
                <w:color w:val="auto"/>
                <w:w w:val="90"/>
                <w:vertAlign w:val="superscript"/>
              </w:rPr>
              <w:t>(f)</w:t>
            </w:r>
          </w:p>
        </w:tc>
        <w:tc>
          <w:tcPr>
            <w:tcW w:w="11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144</w:t>
            </w: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7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6,078</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4840" w:type="dxa"/>
            <w:vAlign w:val="bottom"/>
            <w:shd w:val="clear" w:color="auto" w:fill="CCEEFF"/>
          </w:tcPr>
          <w:p>
            <w:pPr>
              <w:ind w:left="460"/>
              <w:spacing w:after="0" w:line="230" w:lineRule="exact"/>
              <w:rPr>
                <w:sz w:val="20"/>
                <w:szCs w:val="20"/>
                <w:color w:val="auto"/>
              </w:rPr>
            </w:pPr>
            <w:r>
              <w:rPr>
                <w:rFonts w:ascii="Arial" w:cs="Arial" w:eastAsia="Arial" w:hAnsi="Arial"/>
                <w:sz w:val="18"/>
                <w:szCs w:val="18"/>
                <w:color w:val="auto"/>
              </w:rPr>
              <w:t>Unusual or non-recurring charges</w:t>
            </w:r>
            <w:r>
              <w:rPr>
                <w:rFonts w:ascii="Arial" w:cs="Arial" w:eastAsia="Arial" w:hAnsi="Arial"/>
                <w:sz w:val="23"/>
                <w:szCs w:val="23"/>
                <w:color w:val="auto"/>
                <w:vertAlign w:val="superscript"/>
              </w:rPr>
              <w:t>(g)</w:t>
            </w:r>
          </w:p>
        </w:tc>
        <w:tc>
          <w:tcPr>
            <w:tcW w:w="10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293</w:t>
            </w: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7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293</w:t>
            </w: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48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Add: Net income (loss) attributable to noncontrolling interest</w:t>
            </w:r>
          </w:p>
        </w:tc>
        <w:tc>
          <w:tcPr>
            <w:tcW w:w="100" w:type="dxa"/>
            <w:vAlign w:val="bottom"/>
            <w:tcBorders>
              <w:bottom w:val="single" w:sz="8" w:color="CCEEFF"/>
            </w:tcBorders>
          </w:tcPr>
          <w:p>
            <w:pPr>
              <w:spacing w:after="0"/>
              <w:rPr>
                <w:sz w:val="19"/>
                <w:szCs w:val="19"/>
                <w:color w:val="auto"/>
              </w:rPr>
            </w:pPr>
          </w:p>
        </w:tc>
        <w:tc>
          <w:tcPr>
            <w:tcW w:w="116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163</w:t>
            </w:r>
          </w:p>
        </w:tc>
        <w:tc>
          <w:tcPr>
            <w:tcW w:w="100" w:type="dxa"/>
            <w:vAlign w:val="bottom"/>
            <w:tcBorders>
              <w:bottom w:val="single" w:sz="8" w:color="CCEEFF"/>
            </w:tcBorders>
          </w:tcPr>
          <w:p>
            <w:pPr>
              <w:spacing w:after="0"/>
              <w:rPr>
                <w:sz w:val="19"/>
                <w:szCs w:val="19"/>
                <w:color w:val="auto"/>
              </w:rPr>
            </w:pPr>
          </w:p>
        </w:tc>
        <w:tc>
          <w:tcPr>
            <w:tcW w:w="56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(124)</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6"/>
              </w:rPr>
              <w:t>387</w:t>
            </w:r>
          </w:p>
        </w:tc>
        <w:tc>
          <w:tcPr>
            <w:tcW w:w="8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(342)</w:t>
            </w:r>
          </w:p>
        </w:tc>
        <w:tc>
          <w:tcPr>
            <w:tcW w:w="0" w:type="dxa"/>
            <w:vAlign w:val="bottom"/>
          </w:tcPr>
          <w:p>
            <w:pPr>
              <w:spacing w:after="0"/>
              <w:rPr>
                <w:sz w:val="1"/>
                <w:szCs w:val="1"/>
                <w:color w:val="auto"/>
              </w:rPr>
            </w:pPr>
          </w:p>
        </w:tc>
      </w:tr>
      <w:tr>
        <w:trPr>
          <w:trHeight w:val="248"/>
        </w:trPr>
        <w:tc>
          <w:tcPr>
            <w:tcW w:w="48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Condensed Consolidated Income from Operations</w:t>
            </w:r>
          </w:p>
        </w:tc>
        <w:tc>
          <w:tcPr>
            <w:tcW w:w="1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7,144</w:t>
            </w: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auto"/>
            </w:tcBorders>
            <w:shd w:val="clear" w:color="auto" w:fill="CCEEFF"/>
          </w:tcPr>
          <w:p>
            <w:pPr>
              <w:jc w:val="right"/>
              <w:ind w:right="370"/>
              <w:spacing w:after="0"/>
              <w:rPr>
                <w:sz w:val="20"/>
                <w:szCs w:val="20"/>
                <w:color w:val="auto"/>
              </w:rPr>
            </w:pPr>
            <w:r>
              <w:rPr>
                <w:rFonts w:ascii="Arial" w:cs="Arial" w:eastAsia="Arial" w:hAnsi="Arial"/>
                <w:sz w:val="18"/>
                <w:szCs w:val="18"/>
                <w:color w:val="auto"/>
                <w:w w:val="79"/>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1,702</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6,355</w:t>
            </w:r>
          </w:p>
        </w:tc>
        <w:tc>
          <w:tcPr>
            <w:tcW w:w="80" w:type="dxa"/>
            <w:vAlign w:val="bottom"/>
            <w:tcBorders>
              <w:bottom w:val="single" w:sz="8" w:color="auto"/>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6,884</w:t>
            </w:r>
          </w:p>
        </w:tc>
        <w:tc>
          <w:tcPr>
            <w:tcW w:w="0" w:type="dxa"/>
            <w:vAlign w:val="bottom"/>
          </w:tcPr>
          <w:p>
            <w:pPr>
              <w:spacing w:after="0"/>
              <w:rPr>
                <w:sz w:val="1"/>
                <w:szCs w:val="1"/>
                <w:color w:val="auto"/>
              </w:rPr>
            </w:pPr>
          </w:p>
        </w:tc>
      </w:tr>
      <w:tr>
        <w:trPr>
          <w:trHeight w:val="20"/>
        </w:trPr>
        <w:tc>
          <w:tcPr>
            <w:tcW w:w="48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CCEEFF"/>
              <w:bottom w:val="single" w:sz="8" w:color="CCEEFF"/>
            </w:tcBorders>
            <w:vMerge w:val="restart"/>
          </w:tcPr>
          <w:p>
            <w:pPr>
              <w:jc w:val="right"/>
              <w:ind w:right="290"/>
              <w:spacing w:after="0"/>
              <w:rPr>
                <w:sz w:val="20"/>
                <w:szCs w:val="20"/>
                <w:color w:val="auto"/>
              </w:rPr>
            </w:pPr>
            <w:r>
              <w:rPr>
                <w:rFonts w:ascii="Arial" w:cs="Arial" w:eastAsia="Arial" w:hAnsi="Arial"/>
                <w:sz w:val="18"/>
                <w:szCs w:val="18"/>
                <w:color w:val="auto"/>
              </w:rPr>
              <w:t>33</w:t>
            </w: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38"/>
        </w:trPr>
        <w:tc>
          <w:tcPr>
            <w:tcW w:w="4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60" w:type="dxa"/>
            <w:vAlign w:val="bottom"/>
            <w:vMerge w:val="continue"/>
          </w:tcPr>
          <w:p>
            <w:pPr>
              <w:spacing w:after="0"/>
              <w:rPr>
                <w:sz w:val="24"/>
                <w:szCs w:val="24"/>
                <w:color w:val="auto"/>
              </w:rPr>
            </w:pPr>
          </w:p>
        </w:tc>
        <w:tc>
          <w:tcPr>
            <w:tcW w:w="2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484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16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96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560" w:type="dxa"/>
            <w:vAlign w:val="bottom"/>
            <w:tcBorders>
              <w:bottom w:val="single" w:sz="8" w:color="9A9A9A"/>
            </w:tcBorders>
          </w:tcPr>
          <w:p>
            <w:pPr>
              <w:spacing w:after="0"/>
              <w:rPr>
                <w:sz w:val="10"/>
                <w:szCs w:val="10"/>
                <w:color w:val="auto"/>
              </w:rPr>
            </w:pPr>
          </w:p>
        </w:tc>
        <w:tc>
          <w:tcPr>
            <w:tcW w:w="64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68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10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5" w:name="page36"/>
    <w:bookmarkEnd w:id="35"/>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both"/>
        <w:ind w:left="480" w:right="260" w:hanging="454"/>
        <w:spacing w:after="0" w:line="263" w:lineRule="auto"/>
        <w:tabs>
          <w:tab w:leader="none" w:pos="480" w:val="left"/>
        </w:tabs>
        <w:numPr>
          <w:ilvl w:val="0"/>
          <w:numId w:val="24"/>
        </w:numPr>
        <w:rPr>
          <w:rFonts w:ascii="Arial" w:cs="Arial" w:eastAsia="Arial" w:hAnsi="Arial"/>
          <w:sz w:val="14"/>
          <w:szCs w:val="14"/>
          <w:color w:val="auto"/>
        </w:rPr>
      </w:pPr>
      <w:r>
        <w:rPr>
          <w:rFonts w:ascii="Arial" w:cs="Arial" w:eastAsia="Arial" w:hAnsi="Arial"/>
          <w:sz w:val="14"/>
          <w:szCs w:val="14"/>
          <w:color w:val="auto"/>
        </w:rPr>
        <w:t>Segment Adjusted EBITDAR from Operations is net income attributable to the Company's reportable segments excluding interest expense, provision for income taxes, depreciation and amortization expense, rent, and, in order to view the operations performance on a comparable basis from period to period, certain adjustments including: (1) costs at start-up operations, (2) share-based compensation, (3) acquisition related costs and credit allowances, (4) redundant and nonrecurring costs associated with the Transition Services Agreement, (5) the loss related to senior living operations transferred to Ensign, (6) unusual or non-recurring charges, and (7) net income attributable to noncontrolling interest. General and administrative expenses are not allocated to the reportable segments, and are included as “All Other”, accordingly the segment earnings measure reported is before allocation of corporate general and administrative expenses. The Company's segment measures may be different from the calculation methods used by other companies and, therefore, comparability may be limited.</w:t>
      </w:r>
    </w:p>
    <w:p>
      <w:pPr>
        <w:spacing w:after="0" w:line="34" w:lineRule="exact"/>
        <w:rPr>
          <w:rFonts w:ascii="Arial" w:cs="Arial" w:eastAsia="Arial" w:hAnsi="Arial"/>
          <w:sz w:val="14"/>
          <w:szCs w:val="14"/>
          <w:color w:val="auto"/>
        </w:rPr>
      </w:pPr>
    </w:p>
    <w:p>
      <w:pPr>
        <w:ind w:left="480" w:hanging="454"/>
        <w:spacing w:after="0"/>
        <w:tabs>
          <w:tab w:leader="none" w:pos="480" w:val="left"/>
        </w:tabs>
        <w:numPr>
          <w:ilvl w:val="0"/>
          <w:numId w:val="24"/>
        </w:numPr>
        <w:rPr>
          <w:rFonts w:ascii="Arial" w:cs="Arial" w:eastAsia="Arial" w:hAnsi="Arial"/>
          <w:sz w:val="14"/>
          <w:szCs w:val="14"/>
          <w:color w:val="auto"/>
        </w:rPr>
      </w:pPr>
      <w:r>
        <w:rPr>
          <w:rFonts w:ascii="Arial" w:cs="Arial" w:eastAsia="Arial" w:hAnsi="Arial"/>
          <w:sz w:val="14"/>
          <w:szCs w:val="14"/>
          <w:color w:val="auto"/>
        </w:rPr>
        <w:t>Represents results related to start-up operations. This amount excludes rent and depreciation and amortization expense related to such operations.</w:t>
      </w:r>
    </w:p>
    <w:p>
      <w:pPr>
        <w:spacing w:after="0" w:line="68" w:lineRule="exact"/>
        <w:rPr>
          <w:rFonts w:ascii="Arial" w:cs="Arial" w:eastAsia="Arial" w:hAnsi="Arial"/>
          <w:sz w:val="14"/>
          <w:szCs w:val="14"/>
          <w:color w:val="auto"/>
        </w:rPr>
      </w:pPr>
    </w:p>
    <w:p>
      <w:pPr>
        <w:jc w:val="both"/>
        <w:ind w:left="480" w:right="280" w:hanging="454"/>
        <w:spacing w:after="0" w:line="340" w:lineRule="auto"/>
        <w:tabs>
          <w:tab w:leader="none" w:pos="480" w:val="left"/>
        </w:tabs>
        <w:numPr>
          <w:ilvl w:val="0"/>
          <w:numId w:val="24"/>
        </w:numPr>
        <w:rPr>
          <w:rFonts w:ascii="Arial" w:cs="Arial" w:eastAsia="Arial" w:hAnsi="Arial"/>
          <w:sz w:val="12"/>
          <w:szCs w:val="12"/>
          <w:color w:val="auto"/>
        </w:rPr>
      </w:pPr>
      <w:r>
        <w:rPr>
          <w:rFonts w:ascii="Arial" w:cs="Arial" w:eastAsia="Arial" w:hAnsi="Arial"/>
          <w:sz w:val="12"/>
          <w:szCs w:val="12"/>
          <w:color w:val="auto"/>
        </w:rPr>
        <w:t>Share-based compensation expense and related payroll taxes incurred, including the impact of the modification of certain restricted stock units described below in Note 12, Options and Awards, to the Interim Financial Statements. Share-based compensation expense and related payroll taxes are included in cost of services and general and administrative expense</w:t>
      </w:r>
    </w:p>
    <w:p>
      <w:pPr>
        <w:spacing w:after="0" w:line="14" w:lineRule="exact"/>
        <w:rPr>
          <w:rFonts w:ascii="Arial" w:cs="Arial" w:eastAsia="Arial" w:hAnsi="Arial"/>
          <w:sz w:val="12"/>
          <w:szCs w:val="12"/>
          <w:color w:val="auto"/>
        </w:rPr>
      </w:pPr>
    </w:p>
    <w:p>
      <w:pPr>
        <w:ind w:left="480" w:hanging="454"/>
        <w:spacing w:after="0"/>
        <w:tabs>
          <w:tab w:leader="none" w:pos="480" w:val="left"/>
        </w:tabs>
        <w:numPr>
          <w:ilvl w:val="0"/>
          <w:numId w:val="24"/>
        </w:numPr>
        <w:rPr>
          <w:rFonts w:ascii="Arial" w:cs="Arial" w:eastAsia="Arial" w:hAnsi="Arial"/>
          <w:sz w:val="14"/>
          <w:szCs w:val="14"/>
          <w:color w:val="auto"/>
        </w:rPr>
      </w:pPr>
      <w:r>
        <w:rPr>
          <w:rFonts w:ascii="Arial" w:cs="Arial" w:eastAsia="Arial" w:hAnsi="Arial"/>
          <w:sz w:val="14"/>
          <w:szCs w:val="14"/>
          <w:color w:val="auto"/>
        </w:rPr>
        <w:t>Non-capitalizable costs associated with acquisitions and credit allowances for amounts in dispute with the prior owners of certain acquired operations.</w:t>
      </w:r>
    </w:p>
    <w:p>
      <w:pPr>
        <w:spacing w:after="0" w:line="68" w:lineRule="exact"/>
        <w:rPr>
          <w:rFonts w:ascii="Arial" w:cs="Arial" w:eastAsia="Arial" w:hAnsi="Arial"/>
          <w:sz w:val="14"/>
          <w:szCs w:val="14"/>
          <w:color w:val="auto"/>
        </w:rPr>
      </w:pPr>
    </w:p>
    <w:p>
      <w:pPr>
        <w:jc w:val="both"/>
        <w:ind w:left="480" w:right="260" w:hanging="454"/>
        <w:spacing w:after="0" w:line="275" w:lineRule="auto"/>
        <w:tabs>
          <w:tab w:leader="none" w:pos="480" w:val="left"/>
        </w:tabs>
        <w:numPr>
          <w:ilvl w:val="0"/>
          <w:numId w:val="24"/>
        </w:numPr>
        <w:rPr>
          <w:rFonts w:ascii="Arial" w:cs="Arial" w:eastAsia="Arial" w:hAnsi="Arial"/>
          <w:sz w:val="14"/>
          <w:szCs w:val="14"/>
          <w:color w:val="auto"/>
        </w:rPr>
      </w:pPr>
      <w:r>
        <w:rPr>
          <w:rFonts w:ascii="Arial" w:cs="Arial" w:eastAsia="Arial" w:hAnsi="Arial"/>
          <w:sz w:val="14"/>
          <w:szCs w:val="14"/>
          <w:color w:val="auto"/>
        </w:rPr>
        <w:t>Costs identified as redundant or non-recurring incurred by the Company as a result of the Spin-off. The 2021 amounts represents part of the costs incurred under the Transition Services Agreement. All amounts are included in general and administrative expense. Fees incurred under the Transition Services Agreement were $231 and $1,332 for the three and nine months ended September 30, 2022, and $706 and $2,441 for the three and nine months ended September 30, 2021.</w:t>
      </w:r>
    </w:p>
    <w:p>
      <w:pPr>
        <w:spacing w:after="0" w:line="13" w:lineRule="exact"/>
        <w:rPr>
          <w:rFonts w:ascii="Arial" w:cs="Arial" w:eastAsia="Arial" w:hAnsi="Arial"/>
          <w:sz w:val="14"/>
          <w:szCs w:val="14"/>
          <w:color w:val="auto"/>
        </w:rPr>
      </w:pPr>
    </w:p>
    <w:p>
      <w:pPr>
        <w:jc w:val="both"/>
        <w:ind w:left="480" w:right="260" w:hanging="454"/>
        <w:spacing w:after="0" w:line="263" w:lineRule="auto"/>
        <w:tabs>
          <w:tab w:leader="none" w:pos="480" w:val="left"/>
        </w:tabs>
        <w:numPr>
          <w:ilvl w:val="0"/>
          <w:numId w:val="24"/>
        </w:numPr>
        <w:rPr>
          <w:rFonts w:ascii="Arial" w:cs="Arial" w:eastAsia="Arial" w:hAnsi="Arial"/>
          <w:sz w:val="14"/>
          <w:szCs w:val="14"/>
          <w:color w:val="auto"/>
        </w:rPr>
      </w:pPr>
      <w:r>
        <w:rPr>
          <w:rFonts w:ascii="Arial" w:cs="Arial" w:eastAsia="Arial" w:hAnsi="Arial"/>
          <w:sz w:val="14"/>
          <w:szCs w:val="14"/>
          <w:color w:val="auto"/>
        </w:rPr>
        <w:t>On January 27, 2022, affiliates of the Company, entered into certain operations transfer agreements (collectively, the “Transfer Agreements”) with affiliates of Ensign, providing for the transfer of the operations of certain senior living communities (the “Transaction”) from affiliates of the Company to affiliates of Ensign. The closing of the Transaction was completed in two phases with the transfer of two operations on March 1, 2022 and the remainder transferred on April 1, 2022. The amount includes $6,500 for the nine months ended September 30, 2022 to cover post-closing capital expenditures and operating losses related to one of the communities transferred on April 1, 2022. The amount above also includes $144 and $(422) for the three and nine months ended September 30, 2022, respectively, for the related net impact on revenue and cost of service attributable to the transferred entities. This amount excludes rent and depreciation and amortization expense related to such operations.</w:t>
      </w:r>
    </w:p>
    <w:p>
      <w:pPr>
        <w:spacing w:after="0" w:line="34" w:lineRule="exact"/>
        <w:rPr>
          <w:rFonts w:ascii="Arial" w:cs="Arial" w:eastAsia="Arial" w:hAnsi="Arial"/>
          <w:sz w:val="14"/>
          <w:szCs w:val="14"/>
          <w:color w:val="auto"/>
        </w:rPr>
      </w:pPr>
    </w:p>
    <w:p>
      <w:pPr>
        <w:ind w:left="480" w:hanging="454"/>
        <w:spacing w:after="0"/>
        <w:tabs>
          <w:tab w:leader="none" w:pos="480" w:val="left"/>
        </w:tabs>
        <w:numPr>
          <w:ilvl w:val="0"/>
          <w:numId w:val="24"/>
        </w:numPr>
        <w:rPr>
          <w:rFonts w:ascii="Arial" w:cs="Arial" w:eastAsia="Arial" w:hAnsi="Arial"/>
          <w:sz w:val="14"/>
          <w:szCs w:val="14"/>
          <w:color w:val="auto"/>
        </w:rPr>
      </w:pPr>
      <w:r>
        <w:rPr>
          <w:rFonts w:ascii="Arial" w:cs="Arial" w:eastAsia="Arial" w:hAnsi="Arial"/>
          <w:sz w:val="14"/>
          <w:szCs w:val="14"/>
          <w:color w:val="auto"/>
        </w:rPr>
        <w:t>Represents unusual or non-recurring charges for legal services, implementation costs, integration costs, and consulting fees in general and administrative expenses.</w:t>
      </w:r>
    </w:p>
    <w:p>
      <w:pPr>
        <w:spacing w:after="0" w:line="140"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Performance and Valuation Measures:</w:t>
      </w:r>
    </w:p>
    <w:p>
      <w:pPr>
        <w:spacing w:after="0" w:line="26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340" w:type="dxa"/>
            <w:vAlign w:val="bottom"/>
            <w:gridSpan w:val="4"/>
          </w:tcPr>
          <w:p>
            <w:pPr>
              <w:ind w:left="160"/>
              <w:spacing w:after="0"/>
              <w:rPr>
                <w:sz w:val="20"/>
                <w:szCs w:val="20"/>
                <w:color w:val="auto"/>
              </w:rPr>
            </w:pPr>
            <w:r>
              <w:rPr>
                <w:rFonts w:ascii="Arial" w:cs="Arial" w:eastAsia="Arial" w:hAnsi="Arial"/>
                <w:sz w:val="18"/>
                <w:szCs w:val="18"/>
                <w:b w:val="1"/>
                <w:bCs w:val="1"/>
                <w:color w:val="auto"/>
              </w:rPr>
              <w:t>Three Months Ended</w:t>
            </w:r>
          </w:p>
        </w:tc>
        <w:tc>
          <w:tcPr>
            <w:tcW w:w="2520" w:type="dxa"/>
            <w:vAlign w:val="bottom"/>
            <w:gridSpan w:val="4"/>
          </w:tcPr>
          <w:p>
            <w:pPr>
              <w:jc w:val="center"/>
              <w:spacing w:after="0"/>
              <w:rPr>
                <w:sz w:val="20"/>
                <w:szCs w:val="20"/>
                <w:color w:val="auto"/>
              </w:rPr>
            </w:pPr>
            <w:r>
              <w:rPr>
                <w:rFonts w:ascii="Arial" w:cs="Arial" w:eastAsia="Arial" w:hAnsi="Arial"/>
                <w:sz w:val="18"/>
                <w:szCs w:val="18"/>
                <w:b w:val="1"/>
                <w:bCs w:val="1"/>
                <w:color w:val="auto"/>
                <w:w w:val="90"/>
              </w:rPr>
              <w:t>Nine Months Ended September</w:t>
            </w:r>
          </w:p>
        </w:tc>
      </w:tr>
      <w:tr>
        <w:trPr>
          <w:trHeight w:val="239"/>
        </w:trPr>
        <w:tc>
          <w:tcPr>
            <w:tcW w:w="6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340" w:type="dxa"/>
            <w:vAlign w:val="bottom"/>
            <w:gridSpan w:val="4"/>
          </w:tcPr>
          <w:p>
            <w:pPr>
              <w:ind w:left="440"/>
              <w:spacing w:after="0"/>
              <w:rPr>
                <w:sz w:val="20"/>
                <w:szCs w:val="20"/>
                <w:color w:val="auto"/>
              </w:rPr>
            </w:pPr>
            <w:r>
              <w:rPr>
                <w:rFonts w:ascii="Arial" w:cs="Arial" w:eastAsia="Arial" w:hAnsi="Arial"/>
                <w:sz w:val="18"/>
                <w:szCs w:val="18"/>
                <w:b w:val="1"/>
                <w:bCs w:val="1"/>
                <w:color w:val="auto"/>
              </w:rPr>
              <w:t>September 30,</w:t>
            </w:r>
          </w:p>
        </w:tc>
        <w:tc>
          <w:tcPr>
            <w:tcW w:w="28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440" w:type="dxa"/>
            <w:vAlign w:val="bottom"/>
          </w:tcPr>
          <w:p>
            <w:pPr>
              <w:jc w:val="center"/>
              <w:ind w:right="90"/>
              <w:spacing w:after="0"/>
              <w:rPr>
                <w:sz w:val="20"/>
                <w:szCs w:val="20"/>
                <w:color w:val="auto"/>
              </w:rPr>
            </w:pPr>
            <w:r>
              <w:rPr>
                <w:rFonts w:ascii="Arial" w:cs="Arial" w:eastAsia="Arial" w:hAnsi="Arial"/>
                <w:sz w:val="18"/>
                <w:szCs w:val="18"/>
                <w:b w:val="1"/>
                <w:bCs w:val="1"/>
                <w:color w:val="auto"/>
                <w:w w:val="87"/>
              </w:rPr>
              <w:t>30,</w:t>
            </w:r>
          </w:p>
        </w:tc>
        <w:tc>
          <w:tcPr>
            <w:tcW w:w="940" w:type="dxa"/>
            <w:vAlign w:val="bottom"/>
          </w:tcPr>
          <w:p>
            <w:pPr>
              <w:spacing w:after="0"/>
              <w:rPr>
                <w:sz w:val="20"/>
                <w:szCs w:val="20"/>
                <w:color w:val="auto"/>
              </w:rPr>
            </w:pPr>
          </w:p>
        </w:tc>
      </w:tr>
      <w:tr>
        <w:trPr>
          <w:trHeight w:val="227"/>
        </w:trPr>
        <w:tc>
          <w:tcPr>
            <w:tcW w:w="6100" w:type="dxa"/>
            <w:vAlign w:val="bottom"/>
          </w:tcPr>
          <w:p>
            <w:pPr>
              <w:spacing w:after="0"/>
              <w:rPr>
                <w:sz w:val="19"/>
                <w:szCs w:val="19"/>
                <w:color w:val="auto"/>
              </w:rPr>
            </w:pPr>
          </w:p>
        </w:tc>
        <w:tc>
          <w:tcPr>
            <w:tcW w:w="280" w:type="dxa"/>
            <w:vAlign w:val="bottom"/>
            <w:tcBorders>
              <w:top w:val="single" w:sz="8" w:color="auto"/>
              <w:bottom w:val="single" w:sz="8" w:color="auto"/>
            </w:tcBorders>
          </w:tcPr>
          <w:p>
            <w:pPr>
              <w:spacing w:after="0"/>
              <w:rPr>
                <w:sz w:val="19"/>
                <w:szCs w:val="19"/>
                <w:color w:val="auto"/>
              </w:rPr>
            </w:pPr>
          </w:p>
        </w:tc>
        <w:tc>
          <w:tcPr>
            <w:tcW w:w="960" w:type="dxa"/>
            <w:vAlign w:val="bottom"/>
            <w:tcBorders>
              <w:top w:val="single" w:sz="8" w:color="auto"/>
              <w:bottom w:val="single" w:sz="8" w:color="auto"/>
            </w:tcBorders>
          </w:tcPr>
          <w:p>
            <w:pPr>
              <w:ind w:left="160"/>
              <w:spacing w:after="0"/>
              <w:rPr>
                <w:sz w:val="20"/>
                <w:szCs w:val="20"/>
                <w:color w:val="auto"/>
              </w:rPr>
            </w:pPr>
            <w:r>
              <w:rPr>
                <w:rFonts w:ascii="Arial" w:cs="Arial" w:eastAsia="Arial" w:hAnsi="Arial"/>
                <w:sz w:val="18"/>
                <w:szCs w:val="18"/>
                <w:b w:val="1"/>
                <w:bCs w:val="1"/>
                <w:color w:val="auto"/>
              </w:rPr>
              <w:t>2022</w:t>
            </w:r>
          </w:p>
        </w:tc>
        <w:tc>
          <w:tcPr>
            <w:tcW w:w="340" w:type="dxa"/>
            <w:vAlign w:val="bottom"/>
            <w:tcBorders>
              <w:top w:val="single" w:sz="8" w:color="auto"/>
              <w:bottom w:val="single" w:sz="8" w:color="auto"/>
            </w:tcBorders>
          </w:tcPr>
          <w:p>
            <w:pPr>
              <w:spacing w:after="0"/>
              <w:rPr>
                <w:sz w:val="19"/>
                <w:szCs w:val="19"/>
                <w:color w:val="auto"/>
              </w:rPr>
            </w:pPr>
          </w:p>
        </w:tc>
        <w:tc>
          <w:tcPr>
            <w:tcW w:w="940" w:type="dxa"/>
            <w:vAlign w:val="bottom"/>
            <w:tcBorders>
              <w:top w:val="single" w:sz="8" w:color="auto"/>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2021</w:t>
            </w:r>
          </w:p>
        </w:tc>
        <w:tc>
          <w:tcPr>
            <w:tcW w:w="100" w:type="dxa"/>
            <w:vAlign w:val="bottom"/>
            <w:tcBorders>
              <w:bottom w:val="single" w:sz="8" w:color="auto"/>
            </w:tcBorders>
          </w:tcPr>
          <w:p>
            <w:pPr>
              <w:spacing w:after="0"/>
              <w:rPr>
                <w:sz w:val="19"/>
                <w:szCs w:val="19"/>
                <w:color w:val="auto"/>
              </w:rPr>
            </w:pPr>
          </w:p>
        </w:tc>
        <w:tc>
          <w:tcPr>
            <w:tcW w:w="280" w:type="dxa"/>
            <w:vAlign w:val="bottom"/>
            <w:tcBorders>
              <w:top w:val="single" w:sz="8" w:color="auto"/>
              <w:bottom w:val="single" w:sz="8" w:color="auto"/>
            </w:tcBorders>
          </w:tcPr>
          <w:p>
            <w:pPr>
              <w:spacing w:after="0"/>
              <w:rPr>
                <w:sz w:val="19"/>
                <w:szCs w:val="19"/>
                <w:color w:val="auto"/>
              </w:rPr>
            </w:pPr>
          </w:p>
        </w:tc>
        <w:tc>
          <w:tcPr>
            <w:tcW w:w="860" w:type="dxa"/>
            <w:vAlign w:val="bottom"/>
            <w:tcBorders>
              <w:top w:val="single" w:sz="8" w:color="auto"/>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2022</w:t>
            </w:r>
          </w:p>
        </w:tc>
        <w:tc>
          <w:tcPr>
            <w:tcW w:w="440" w:type="dxa"/>
            <w:vAlign w:val="bottom"/>
            <w:tcBorders>
              <w:top w:val="single" w:sz="8" w:color="auto"/>
              <w:bottom w:val="single" w:sz="8" w:color="auto"/>
            </w:tcBorders>
          </w:tcPr>
          <w:p>
            <w:pPr>
              <w:spacing w:after="0"/>
              <w:rPr>
                <w:sz w:val="19"/>
                <w:szCs w:val="19"/>
                <w:color w:val="auto"/>
              </w:rPr>
            </w:pPr>
          </w:p>
        </w:tc>
        <w:tc>
          <w:tcPr>
            <w:tcW w:w="940" w:type="dxa"/>
            <w:vAlign w:val="bottom"/>
            <w:tcBorders>
              <w:top w:val="single" w:sz="8" w:color="auto"/>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2021</w:t>
            </w:r>
          </w:p>
        </w:tc>
      </w:tr>
      <w:tr>
        <w:trPr>
          <w:trHeight w:val="223"/>
        </w:trPr>
        <w:tc>
          <w:tcPr>
            <w:tcW w:w="6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180" w:type="dxa"/>
            <w:vAlign w:val="bottom"/>
            <w:gridSpan w:val="4"/>
          </w:tcPr>
          <w:p>
            <w:pPr>
              <w:jc w:val="right"/>
              <w:ind w:right="530"/>
              <w:spacing w:after="0"/>
              <w:rPr>
                <w:sz w:val="20"/>
                <w:szCs w:val="20"/>
                <w:color w:val="auto"/>
              </w:rPr>
            </w:pPr>
            <w:r>
              <w:rPr>
                <w:rFonts w:ascii="Arial" w:cs="Arial" w:eastAsia="Arial" w:hAnsi="Arial"/>
                <w:sz w:val="18"/>
                <w:szCs w:val="18"/>
                <w:b w:val="1"/>
                <w:bCs w:val="1"/>
                <w:color w:val="auto"/>
              </w:rPr>
              <w:t>(In thousands)</w:t>
            </w:r>
          </w:p>
        </w:tc>
        <w:tc>
          <w:tcPr>
            <w:tcW w:w="440" w:type="dxa"/>
            <w:vAlign w:val="bottom"/>
          </w:tcPr>
          <w:p>
            <w:pPr>
              <w:spacing w:after="0"/>
              <w:rPr>
                <w:sz w:val="19"/>
                <w:szCs w:val="19"/>
                <w:color w:val="auto"/>
              </w:rPr>
            </w:pPr>
          </w:p>
        </w:tc>
        <w:tc>
          <w:tcPr>
            <w:tcW w:w="940" w:type="dxa"/>
            <w:vAlign w:val="bottom"/>
          </w:tcPr>
          <w:p>
            <w:pPr>
              <w:spacing w:after="0"/>
              <w:rPr>
                <w:sz w:val="19"/>
                <w:szCs w:val="19"/>
                <w:color w:val="auto"/>
              </w:rPr>
            </w:pPr>
          </w:p>
        </w:tc>
      </w:tr>
      <w:tr>
        <w:trPr>
          <w:trHeight w:val="230"/>
        </w:trPr>
        <w:tc>
          <w:tcPr>
            <w:tcW w:w="610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Consolidated Non-GAAP Financial Measures:</w:t>
            </w: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r>
      <w:tr>
        <w:trPr>
          <w:trHeight w:val="230"/>
        </w:trPr>
        <w:tc>
          <w:tcPr>
            <w:tcW w:w="6100" w:type="dxa"/>
            <w:vAlign w:val="bottom"/>
          </w:tcPr>
          <w:p>
            <w:pPr>
              <w:ind w:left="20"/>
              <w:spacing w:after="0"/>
              <w:rPr>
                <w:sz w:val="20"/>
                <w:szCs w:val="20"/>
                <w:color w:val="auto"/>
              </w:rPr>
            </w:pPr>
            <w:r>
              <w:rPr>
                <w:rFonts w:ascii="Arial" w:cs="Arial" w:eastAsia="Arial" w:hAnsi="Arial"/>
                <w:sz w:val="18"/>
                <w:szCs w:val="18"/>
                <w:color w:val="auto"/>
              </w:rPr>
              <w:t>Performance Metrics</w:t>
            </w:r>
          </w:p>
        </w:tc>
        <w:tc>
          <w:tcPr>
            <w:tcW w:w="2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940" w:type="dxa"/>
            <w:vAlign w:val="bottom"/>
          </w:tcPr>
          <w:p>
            <w:pPr>
              <w:spacing w:after="0"/>
              <w:rPr>
                <w:sz w:val="19"/>
                <w:szCs w:val="19"/>
                <w:color w:val="auto"/>
              </w:rPr>
            </w:pPr>
          </w:p>
        </w:tc>
      </w:tr>
      <w:tr>
        <w:trPr>
          <w:trHeight w:val="229"/>
        </w:trPr>
        <w:tc>
          <w:tcPr>
            <w:tcW w:w="61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Consolidated EBITDA</w:t>
            </w: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8,214</w:t>
            </w:r>
          </w:p>
        </w:tc>
        <w:tc>
          <w:tcPr>
            <w:tcW w:w="34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3,026</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9,595</w:t>
            </w:r>
          </w:p>
        </w:tc>
        <w:tc>
          <w:tcPr>
            <w:tcW w:w="44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10,747</w:t>
            </w:r>
          </w:p>
        </w:tc>
      </w:tr>
      <w:tr>
        <w:trPr>
          <w:trHeight w:val="230"/>
        </w:trPr>
        <w:tc>
          <w:tcPr>
            <w:tcW w:w="6100" w:type="dxa"/>
            <w:vAlign w:val="bottom"/>
          </w:tcPr>
          <w:p>
            <w:pPr>
              <w:ind w:left="220"/>
              <w:spacing w:after="0"/>
              <w:rPr>
                <w:sz w:val="20"/>
                <w:szCs w:val="20"/>
                <w:color w:val="auto"/>
              </w:rPr>
            </w:pPr>
            <w:r>
              <w:rPr>
                <w:rFonts w:ascii="Arial" w:cs="Arial" w:eastAsia="Arial" w:hAnsi="Arial"/>
                <w:sz w:val="18"/>
                <w:szCs w:val="18"/>
                <w:color w:val="auto"/>
              </w:rPr>
              <w:t>Consolidated Adjusted EBITDA</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7,895</w:t>
            </w:r>
          </w:p>
        </w:tc>
        <w:tc>
          <w:tcPr>
            <w:tcW w:w="34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6,495</w:t>
            </w:r>
          </w:p>
        </w:tc>
        <w:tc>
          <w:tcPr>
            <w:tcW w:w="100" w:type="dxa"/>
            <w:vAlign w:val="bottom"/>
          </w:tcPr>
          <w:p>
            <w:pPr>
              <w:spacing w:after="0"/>
              <w:rPr>
                <w:sz w:val="19"/>
                <w:szCs w:val="19"/>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21,648</w:t>
            </w:r>
          </w:p>
        </w:tc>
        <w:tc>
          <w:tcPr>
            <w:tcW w:w="44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21,415</w:t>
            </w:r>
          </w:p>
        </w:tc>
      </w:tr>
      <w:tr>
        <w:trPr>
          <w:trHeight w:val="230"/>
        </w:trPr>
        <w:tc>
          <w:tcPr>
            <w:tcW w:w="6100" w:type="dxa"/>
            <w:vAlign w:val="bottom"/>
            <w:shd w:val="clear" w:color="auto" w:fill="CCEEFF"/>
          </w:tcPr>
          <w:p>
            <w:pPr>
              <w:ind w:left="20"/>
              <w:spacing w:after="0"/>
              <w:rPr>
                <w:sz w:val="20"/>
                <w:szCs w:val="20"/>
                <w:color w:val="auto"/>
              </w:rPr>
            </w:pPr>
            <w:r>
              <w:rPr>
                <w:rFonts w:ascii="Arial" w:cs="Arial" w:eastAsia="Arial" w:hAnsi="Arial"/>
                <w:sz w:val="18"/>
                <w:szCs w:val="18"/>
                <w:color w:val="auto"/>
              </w:rPr>
              <w:t>Valuation Metric</w:t>
            </w: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r>
      <w:tr>
        <w:trPr>
          <w:trHeight w:val="230"/>
        </w:trPr>
        <w:tc>
          <w:tcPr>
            <w:tcW w:w="6100" w:type="dxa"/>
            <w:vAlign w:val="bottom"/>
          </w:tcPr>
          <w:p>
            <w:pPr>
              <w:ind w:left="220"/>
              <w:spacing w:after="0"/>
              <w:rPr>
                <w:sz w:val="20"/>
                <w:szCs w:val="20"/>
                <w:color w:val="auto"/>
              </w:rPr>
            </w:pPr>
            <w:r>
              <w:rPr>
                <w:rFonts w:ascii="Arial" w:cs="Arial" w:eastAsia="Arial" w:hAnsi="Arial"/>
                <w:sz w:val="18"/>
                <w:szCs w:val="18"/>
                <w:color w:val="auto"/>
              </w:rPr>
              <w:t>Consolidated Adjusted EBITDAR</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16,971</w:t>
            </w:r>
          </w:p>
        </w:tc>
        <w:tc>
          <w:tcPr>
            <w:tcW w:w="3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48,834</w:t>
            </w:r>
          </w:p>
        </w:tc>
        <w:tc>
          <w:tcPr>
            <w:tcW w:w="440" w:type="dxa"/>
            <w:vAlign w:val="bottom"/>
          </w:tcPr>
          <w:p>
            <w:pPr>
              <w:spacing w:after="0"/>
              <w:rPr>
                <w:sz w:val="20"/>
                <w:szCs w:val="20"/>
                <w:color w:val="auto"/>
              </w:rPr>
            </w:pPr>
          </w:p>
        </w:tc>
        <w:tc>
          <w:tcPr>
            <w:tcW w:w="940" w:type="dxa"/>
            <w:vAlign w:val="bottom"/>
          </w:tcPr>
          <w:p>
            <w:pPr>
              <w:spacing w:after="0"/>
              <w:rPr>
                <w:sz w:val="20"/>
                <w:szCs w:val="20"/>
                <w:color w:val="auto"/>
              </w:rPr>
            </w:pPr>
          </w:p>
        </w:tc>
      </w:tr>
      <w:tr>
        <w:trPr>
          <w:trHeight w:val="534"/>
        </w:trPr>
        <w:tc>
          <w:tcPr>
            <w:tcW w:w="6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340" w:type="dxa"/>
            <w:vAlign w:val="bottom"/>
            <w:gridSpan w:val="4"/>
          </w:tcPr>
          <w:p>
            <w:pPr>
              <w:ind w:left="160"/>
              <w:spacing w:after="0"/>
              <w:rPr>
                <w:sz w:val="20"/>
                <w:szCs w:val="20"/>
                <w:color w:val="auto"/>
              </w:rPr>
            </w:pPr>
            <w:r>
              <w:rPr>
                <w:rFonts w:ascii="Arial" w:cs="Arial" w:eastAsia="Arial" w:hAnsi="Arial"/>
                <w:sz w:val="18"/>
                <w:szCs w:val="18"/>
                <w:b w:val="1"/>
                <w:bCs w:val="1"/>
                <w:color w:val="auto"/>
              </w:rPr>
              <w:t>Three Months Ended</w:t>
            </w:r>
          </w:p>
        </w:tc>
        <w:tc>
          <w:tcPr>
            <w:tcW w:w="2520" w:type="dxa"/>
            <w:vAlign w:val="bottom"/>
            <w:gridSpan w:val="4"/>
          </w:tcPr>
          <w:p>
            <w:pPr>
              <w:jc w:val="center"/>
              <w:spacing w:after="0"/>
              <w:rPr>
                <w:sz w:val="20"/>
                <w:szCs w:val="20"/>
                <w:color w:val="auto"/>
              </w:rPr>
            </w:pPr>
            <w:r>
              <w:rPr>
                <w:rFonts w:ascii="Arial" w:cs="Arial" w:eastAsia="Arial" w:hAnsi="Arial"/>
                <w:sz w:val="18"/>
                <w:szCs w:val="18"/>
                <w:b w:val="1"/>
                <w:bCs w:val="1"/>
                <w:color w:val="auto"/>
                <w:w w:val="90"/>
              </w:rPr>
              <w:t>Nine Months Ended September</w:t>
            </w:r>
          </w:p>
        </w:tc>
      </w:tr>
      <w:tr>
        <w:trPr>
          <w:trHeight w:val="234"/>
        </w:trPr>
        <w:tc>
          <w:tcPr>
            <w:tcW w:w="6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340" w:type="dxa"/>
            <w:vAlign w:val="bottom"/>
            <w:gridSpan w:val="4"/>
          </w:tcPr>
          <w:p>
            <w:pPr>
              <w:ind w:left="440"/>
              <w:spacing w:after="0"/>
              <w:rPr>
                <w:sz w:val="20"/>
                <w:szCs w:val="20"/>
                <w:color w:val="auto"/>
              </w:rPr>
            </w:pPr>
            <w:r>
              <w:rPr>
                <w:rFonts w:ascii="Arial" w:cs="Arial" w:eastAsia="Arial" w:hAnsi="Arial"/>
                <w:sz w:val="18"/>
                <w:szCs w:val="18"/>
                <w:b w:val="1"/>
                <w:bCs w:val="1"/>
                <w:color w:val="auto"/>
              </w:rPr>
              <w:t>September 30,</w:t>
            </w:r>
          </w:p>
        </w:tc>
        <w:tc>
          <w:tcPr>
            <w:tcW w:w="28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440" w:type="dxa"/>
            <w:vAlign w:val="bottom"/>
          </w:tcPr>
          <w:p>
            <w:pPr>
              <w:jc w:val="center"/>
              <w:ind w:right="90"/>
              <w:spacing w:after="0"/>
              <w:rPr>
                <w:sz w:val="20"/>
                <w:szCs w:val="20"/>
                <w:color w:val="auto"/>
              </w:rPr>
            </w:pPr>
            <w:r>
              <w:rPr>
                <w:rFonts w:ascii="Arial" w:cs="Arial" w:eastAsia="Arial" w:hAnsi="Arial"/>
                <w:sz w:val="18"/>
                <w:szCs w:val="18"/>
                <w:b w:val="1"/>
                <w:bCs w:val="1"/>
                <w:color w:val="auto"/>
                <w:w w:val="87"/>
              </w:rPr>
              <w:t>30,</w:t>
            </w:r>
          </w:p>
        </w:tc>
        <w:tc>
          <w:tcPr>
            <w:tcW w:w="940" w:type="dxa"/>
            <w:vAlign w:val="bottom"/>
          </w:tcPr>
          <w:p>
            <w:pPr>
              <w:spacing w:after="0"/>
              <w:rPr>
                <w:sz w:val="20"/>
                <w:szCs w:val="20"/>
                <w:color w:val="auto"/>
              </w:rPr>
            </w:pPr>
          </w:p>
        </w:tc>
      </w:tr>
      <w:tr>
        <w:trPr>
          <w:trHeight w:val="223"/>
        </w:trPr>
        <w:tc>
          <w:tcPr>
            <w:tcW w:w="6100" w:type="dxa"/>
            <w:vAlign w:val="bottom"/>
          </w:tcPr>
          <w:p>
            <w:pPr>
              <w:spacing w:after="0"/>
              <w:rPr>
                <w:sz w:val="19"/>
                <w:szCs w:val="19"/>
                <w:color w:val="auto"/>
              </w:rPr>
            </w:pPr>
          </w:p>
        </w:tc>
        <w:tc>
          <w:tcPr>
            <w:tcW w:w="280" w:type="dxa"/>
            <w:vAlign w:val="bottom"/>
            <w:tcBorders>
              <w:top w:val="single" w:sz="8" w:color="auto"/>
              <w:bottom w:val="single" w:sz="8" w:color="auto"/>
            </w:tcBorders>
          </w:tcPr>
          <w:p>
            <w:pPr>
              <w:spacing w:after="0"/>
              <w:rPr>
                <w:sz w:val="19"/>
                <w:szCs w:val="19"/>
                <w:color w:val="auto"/>
              </w:rPr>
            </w:pPr>
          </w:p>
        </w:tc>
        <w:tc>
          <w:tcPr>
            <w:tcW w:w="960" w:type="dxa"/>
            <w:vAlign w:val="bottom"/>
            <w:tcBorders>
              <w:top w:val="single" w:sz="8" w:color="auto"/>
              <w:bottom w:val="single" w:sz="8" w:color="auto"/>
            </w:tcBorders>
          </w:tcPr>
          <w:p>
            <w:pPr>
              <w:ind w:left="160"/>
              <w:spacing w:after="0"/>
              <w:rPr>
                <w:sz w:val="20"/>
                <w:szCs w:val="20"/>
                <w:color w:val="auto"/>
              </w:rPr>
            </w:pPr>
            <w:r>
              <w:rPr>
                <w:rFonts w:ascii="Arial" w:cs="Arial" w:eastAsia="Arial" w:hAnsi="Arial"/>
                <w:sz w:val="18"/>
                <w:szCs w:val="18"/>
                <w:b w:val="1"/>
                <w:bCs w:val="1"/>
                <w:color w:val="auto"/>
              </w:rPr>
              <w:t>2022</w:t>
            </w:r>
          </w:p>
        </w:tc>
        <w:tc>
          <w:tcPr>
            <w:tcW w:w="340" w:type="dxa"/>
            <w:vAlign w:val="bottom"/>
            <w:tcBorders>
              <w:top w:val="single" w:sz="8" w:color="auto"/>
              <w:bottom w:val="single" w:sz="8" w:color="auto"/>
            </w:tcBorders>
          </w:tcPr>
          <w:p>
            <w:pPr>
              <w:spacing w:after="0"/>
              <w:rPr>
                <w:sz w:val="19"/>
                <w:szCs w:val="19"/>
                <w:color w:val="auto"/>
              </w:rPr>
            </w:pPr>
          </w:p>
        </w:tc>
        <w:tc>
          <w:tcPr>
            <w:tcW w:w="940" w:type="dxa"/>
            <w:vAlign w:val="bottom"/>
            <w:tcBorders>
              <w:top w:val="single" w:sz="8" w:color="auto"/>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2021</w:t>
            </w:r>
          </w:p>
        </w:tc>
        <w:tc>
          <w:tcPr>
            <w:tcW w:w="100" w:type="dxa"/>
            <w:vAlign w:val="bottom"/>
            <w:tcBorders>
              <w:bottom w:val="single" w:sz="8" w:color="auto"/>
            </w:tcBorders>
          </w:tcPr>
          <w:p>
            <w:pPr>
              <w:spacing w:after="0"/>
              <w:rPr>
                <w:sz w:val="19"/>
                <w:szCs w:val="19"/>
                <w:color w:val="auto"/>
              </w:rPr>
            </w:pPr>
          </w:p>
        </w:tc>
        <w:tc>
          <w:tcPr>
            <w:tcW w:w="280" w:type="dxa"/>
            <w:vAlign w:val="bottom"/>
            <w:tcBorders>
              <w:top w:val="single" w:sz="8" w:color="auto"/>
              <w:bottom w:val="single" w:sz="8" w:color="auto"/>
            </w:tcBorders>
          </w:tcPr>
          <w:p>
            <w:pPr>
              <w:spacing w:after="0"/>
              <w:rPr>
                <w:sz w:val="19"/>
                <w:szCs w:val="19"/>
                <w:color w:val="auto"/>
              </w:rPr>
            </w:pPr>
          </w:p>
        </w:tc>
        <w:tc>
          <w:tcPr>
            <w:tcW w:w="860" w:type="dxa"/>
            <w:vAlign w:val="bottom"/>
            <w:tcBorders>
              <w:top w:val="single" w:sz="8" w:color="auto"/>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2022</w:t>
            </w:r>
          </w:p>
        </w:tc>
        <w:tc>
          <w:tcPr>
            <w:tcW w:w="440" w:type="dxa"/>
            <w:vAlign w:val="bottom"/>
            <w:tcBorders>
              <w:top w:val="single" w:sz="8" w:color="auto"/>
              <w:bottom w:val="single" w:sz="8" w:color="auto"/>
            </w:tcBorders>
          </w:tcPr>
          <w:p>
            <w:pPr>
              <w:spacing w:after="0"/>
              <w:rPr>
                <w:sz w:val="19"/>
                <w:szCs w:val="19"/>
                <w:color w:val="auto"/>
              </w:rPr>
            </w:pPr>
          </w:p>
        </w:tc>
        <w:tc>
          <w:tcPr>
            <w:tcW w:w="940" w:type="dxa"/>
            <w:vAlign w:val="bottom"/>
            <w:tcBorders>
              <w:top w:val="single" w:sz="8" w:color="auto"/>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2021</w:t>
            </w:r>
          </w:p>
        </w:tc>
      </w:tr>
      <w:tr>
        <w:trPr>
          <w:trHeight w:val="223"/>
        </w:trPr>
        <w:tc>
          <w:tcPr>
            <w:tcW w:w="6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180" w:type="dxa"/>
            <w:vAlign w:val="bottom"/>
            <w:gridSpan w:val="4"/>
          </w:tcPr>
          <w:p>
            <w:pPr>
              <w:jc w:val="right"/>
              <w:ind w:right="530"/>
              <w:spacing w:after="0"/>
              <w:rPr>
                <w:sz w:val="20"/>
                <w:szCs w:val="20"/>
                <w:color w:val="auto"/>
              </w:rPr>
            </w:pPr>
            <w:r>
              <w:rPr>
                <w:rFonts w:ascii="Arial" w:cs="Arial" w:eastAsia="Arial" w:hAnsi="Arial"/>
                <w:sz w:val="18"/>
                <w:szCs w:val="18"/>
                <w:b w:val="1"/>
                <w:bCs w:val="1"/>
                <w:color w:val="auto"/>
              </w:rPr>
              <w:t>(In thousands)</w:t>
            </w:r>
          </w:p>
        </w:tc>
        <w:tc>
          <w:tcPr>
            <w:tcW w:w="440" w:type="dxa"/>
            <w:vAlign w:val="bottom"/>
          </w:tcPr>
          <w:p>
            <w:pPr>
              <w:spacing w:after="0"/>
              <w:rPr>
                <w:sz w:val="19"/>
                <w:szCs w:val="19"/>
                <w:color w:val="auto"/>
              </w:rPr>
            </w:pPr>
          </w:p>
        </w:tc>
        <w:tc>
          <w:tcPr>
            <w:tcW w:w="940" w:type="dxa"/>
            <w:vAlign w:val="bottom"/>
          </w:tcPr>
          <w:p>
            <w:pPr>
              <w:spacing w:after="0"/>
              <w:rPr>
                <w:sz w:val="19"/>
                <w:szCs w:val="19"/>
                <w:color w:val="auto"/>
              </w:rPr>
            </w:pPr>
          </w:p>
        </w:tc>
      </w:tr>
      <w:tr>
        <w:trPr>
          <w:trHeight w:val="229"/>
        </w:trPr>
        <w:tc>
          <w:tcPr>
            <w:tcW w:w="6100" w:type="dxa"/>
            <w:vAlign w:val="bottom"/>
            <w:shd w:val="clear" w:color="auto" w:fill="CCEEFF"/>
          </w:tcPr>
          <w:p>
            <w:pPr>
              <w:ind w:left="20"/>
              <w:spacing w:after="0" w:line="230" w:lineRule="exact"/>
              <w:rPr>
                <w:sz w:val="20"/>
                <w:szCs w:val="20"/>
                <w:color w:val="auto"/>
              </w:rPr>
            </w:pPr>
            <w:r>
              <w:rPr>
                <w:rFonts w:ascii="Arial" w:cs="Arial" w:eastAsia="Arial" w:hAnsi="Arial"/>
                <w:sz w:val="18"/>
                <w:szCs w:val="18"/>
                <w:b w:val="1"/>
                <w:bCs w:val="1"/>
                <w:color w:val="auto"/>
              </w:rPr>
              <w:t>Segment Non-GAAP Measures:</w:t>
            </w:r>
            <w:r>
              <w:rPr>
                <w:rFonts w:ascii="Arial" w:cs="Arial" w:eastAsia="Arial" w:hAnsi="Arial"/>
                <w:sz w:val="23"/>
                <w:szCs w:val="23"/>
                <w:b w:val="1"/>
                <w:bCs w:val="1"/>
                <w:color w:val="auto"/>
                <w:vertAlign w:val="superscript"/>
              </w:rPr>
              <w:t>(a)</w:t>
            </w: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r>
      <w:tr>
        <w:trPr>
          <w:trHeight w:val="230"/>
        </w:trPr>
        <w:tc>
          <w:tcPr>
            <w:tcW w:w="6100" w:type="dxa"/>
            <w:vAlign w:val="bottom"/>
          </w:tcPr>
          <w:p>
            <w:pPr>
              <w:ind w:left="20"/>
              <w:spacing w:after="0"/>
              <w:rPr>
                <w:sz w:val="20"/>
                <w:szCs w:val="20"/>
                <w:color w:val="auto"/>
              </w:rPr>
            </w:pPr>
            <w:r>
              <w:rPr>
                <w:rFonts w:ascii="Arial" w:cs="Arial" w:eastAsia="Arial" w:hAnsi="Arial"/>
                <w:sz w:val="18"/>
                <w:szCs w:val="18"/>
                <w:color w:val="auto"/>
              </w:rPr>
              <w:t>Segment Adjusted EBITDA from Operations</w:t>
            </w:r>
          </w:p>
        </w:tc>
        <w:tc>
          <w:tcPr>
            <w:tcW w:w="2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940" w:type="dxa"/>
            <w:vAlign w:val="bottom"/>
          </w:tcPr>
          <w:p>
            <w:pPr>
              <w:spacing w:after="0"/>
              <w:rPr>
                <w:sz w:val="19"/>
                <w:szCs w:val="19"/>
                <w:color w:val="auto"/>
              </w:rPr>
            </w:pPr>
          </w:p>
        </w:tc>
      </w:tr>
      <w:tr>
        <w:trPr>
          <w:trHeight w:val="230"/>
        </w:trPr>
        <w:tc>
          <w:tcPr>
            <w:tcW w:w="61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Home health and hospice services</w:t>
            </w: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14,208</w:t>
            </w:r>
          </w:p>
        </w:tc>
        <w:tc>
          <w:tcPr>
            <w:tcW w:w="34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13,194</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41,452</w:t>
            </w:r>
          </w:p>
        </w:tc>
        <w:tc>
          <w:tcPr>
            <w:tcW w:w="44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39,836</w:t>
            </w:r>
          </w:p>
        </w:tc>
      </w:tr>
      <w:tr>
        <w:trPr>
          <w:trHeight w:val="230"/>
        </w:trPr>
        <w:tc>
          <w:tcPr>
            <w:tcW w:w="6100" w:type="dxa"/>
            <w:vAlign w:val="bottom"/>
          </w:tcPr>
          <w:p>
            <w:pPr>
              <w:ind w:left="220"/>
              <w:spacing w:after="0"/>
              <w:rPr>
                <w:sz w:val="20"/>
                <w:szCs w:val="20"/>
                <w:color w:val="auto"/>
              </w:rPr>
            </w:pPr>
            <w:r>
              <w:rPr>
                <w:rFonts w:ascii="Arial" w:cs="Arial" w:eastAsia="Arial" w:hAnsi="Arial"/>
                <w:sz w:val="18"/>
                <w:szCs w:val="18"/>
                <w:color w:val="auto"/>
              </w:rPr>
              <w:t>Senior living services</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1,466</w:t>
            </w:r>
          </w:p>
        </w:tc>
        <w:tc>
          <w:tcPr>
            <w:tcW w:w="34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84</w:t>
            </w:r>
          </w:p>
        </w:tc>
        <w:tc>
          <w:tcPr>
            <w:tcW w:w="100" w:type="dxa"/>
            <w:vAlign w:val="bottom"/>
          </w:tcPr>
          <w:p>
            <w:pPr>
              <w:spacing w:after="0"/>
              <w:rPr>
                <w:sz w:val="20"/>
                <w:szCs w:val="20"/>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3,991</w:t>
            </w:r>
          </w:p>
        </w:tc>
        <w:tc>
          <w:tcPr>
            <w:tcW w:w="44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828</w:t>
            </w:r>
          </w:p>
        </w:tc>
      </w:tr>
    </w:tbl>
    <w:p>
      <w:pPr>
        <w:spacing w:after="0" w:line="115" w:lineRule="exact"/>
        <w:rPr>
          <w:sz w:val="20"/>
          <w:szCs w:val="20"/>
          <w:color w:val="auto"/>
        </w:rPr>
      </w:pPr>
    </w:p>
    <w:p>
      <w:pPr>
        <w:ind w:left="480" w:hanging="454"/>
        <w:spacing w:after="0"/>
        <w:tabs>
          <w:tab w:leader="none" w:pos="480" w:val="left"/>
        </w:tabs>
        <w:numPr>
          <w:ilvl w:val="0"/>
          <w:numId w:val="25"/>
        </w:numPr>
        <w:rPr>
          <w:rFonts w:ascii="Arial" w:cs="Arial" w:eastAsia="Arial" w:hAnsi="Arial"/>
          <w:sz w:val="14"/>
          <w:szCs w:val="14"/>
          <w:color w:val="auto"/>
        </w:rPr>
      </w:pPr>
      <w:r>
        <w:rPr>
          <w:rFonts w:ascii="Arial" w:cs="Arial" w:eastAsia="Arial" w:hAnsi="Arial"/>
          <w:sz w:val="14"/>
          <w:szCs w:val="14"/>
          <w:color w:val="auto"/>
        </w:rPr>
        <w:t>General and administrative expenses are not allocated to any segment for purposes of determining segment profit or loss.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6" w:name="page37"/>
    <w:bookmarkEnd w:id="36"/>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63" w:lineRule="exact"/>
        <w:rPr>
          <w:sz w:val="20"/>
          <w:szCs w:val="20"/>
          <w:color w:val="auto"/>
        </w:rPr>
      </w:pPr>
    </w:p>
    <w:p>
      <w:pPr>
        <w:ind w:right="20" w:firstLine="648"/>
        <w:spacing w:after="0" w:line="271" w:lineRule="auto"/>
        <w:rPr>
          <w:sz w:val="20"/>
          <w:szCs w:val="20"/>
          <w:color w:val="auto"/>
        </w:rPr>
      </w:pPr>
      <w:r>
        <w:rPr>
          <w:rFonts w:ascii="Arial" w:cs="Arial" w:eastAsia="Arial" w:hAnsi="Arial"/>
          <w:sz w:val="18"/>
          <w:szCs w:val="18"/>
          <w:color w:val="auto"/>
        </w:rPr>
        <w:t>The tables below reconcile Consolidated Net Income to the consolidated Non-GAAP financial measures, Consolidated EBITDA and Consolidated Adjusted EBITDA, and to the Non-GAAP valuation measure, Consolidated Adjusted EBITDAR, for the periods presented:</w:t>
      </w:r>
    </w:p>
    <w:tbl>
      <w:tblPr>
        <w:tblLayout w:type="fixed"/>
        <w:tblInd w:w="0" w:type="dxa"/>
        <w:tblCellMar>
          <w:top w:w="0" w:type="dxa"/>
          <w:left w:w="0" w:type="dxa"/>
          <w:bottom w:w="0" w:type="dxa"/>
          <w:right w:w="0" w:type="dxa"/>
        </w:tblCellMar>
      </w:tblPr>
      <w:tr>
        <w:trPr>
          <w:trHeight w:val="181"/>
        </w:trPr>
        <w:tc>
          <w:tcPr>
            <w:tcW w:w="6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340" w:type="dxa"/>
            <w:vAlign w:val="bottom"/>
            <w:gridSpan w:val="5"/>
          </w:tcPr>
          <w:p>
            <w:pPr>
              <w:jc w:val="center"/>
              <w:ind w:right="380"/>
              <w:spacing w:after="0" w:line="182" w:lineRule="exact"/>
              <w:rPr>
                <w:sz w:val="20"/>
                <w:szCs w:val="20"/>
                <w:color w:val="auto"/>
              </w:rPr>
            </w:pPr>
            <w:r>
              <w:rPr>
                <w:rFonts w:ascii="Arial" w:cs="Arial" w:eastAsia="Arial" w:hAnsi="Arial"/>
                <w:sz w:val="18"/>
                <w:szCs w:val="18"/>
                <w:b w:val="1"/>
                <w:bCs w:val="1"/>
                <w:color w:val="auto"/>
                <w:w w:val="92"/>
              </w:rPr>
              <w:t>Three Months Ended</w:t>
            </w:r>
          </w:p>
        </w:tc>
        <w:tc>
          <w:tcPr>
            <w:tcW w:w="2520" w:type="dxa"/>
            <w:vAlign w:val="bottom"/>
            <w:gridSpan w:val="6"/>
          </w:tcPr>
          <w:p>
            <w:pPr>
              <w:jc w:val="center"/>
              <w:spacing w:after="0" w:line="182" w:lineRule="exact"/>
              <w:rPr>
                <w:sz w:val="20"/>
                <w:szCs w:val="20"/>
                <w:color w:val="auto"/>
              </w:rPr>
            </w:pPr>
            <w:r>
              <w:rPr>
                <w:rFonts w:ascii="Arial" w:cs="Arial" w:eastAsia="Arial" w:hAnsi="Arial"/>
                <w:sz w:val="18"/>
                <w:szCs w:val="18"/>
                <w:b w:val="1"/>
                <w:bCs w:val="1"/>
                <w:color w:val="auto"/>
                <w:w w:val="90"/>
              </w:rPr>
              <w:t>Nine Months Ended September</w:t>
            </w:r>
          </w:p>
        </w:tc>
      </w:tr>
      <w:tr>
        <w:trPr>
          <w:trHeight w:val="239"/>
        </w:trPr>
        <w:tc>
          <w:tcPr>
            <w:tcW w:w="6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340" w:type="dxa"/>
            <w:vAlign w:val="bottom"/>
            <w:gridSpan w:val="5"/>
          </w:tcPr>
          <w:p>
            <w:pPr>
              <w:jc w:val="center"/>
              <w:ind w:right="360"/>
              <w:spacing w:after="0"/>
              <w:rPr>
                <w:sz w:val="20"/>
                <w:szCs w:val="20"/>
                <w:color w:val="auto"/>
              </w:rPr>
            </w:pPr>
            <w:r>
              <w:rPr>
                <w:rFonts w:ascii="Arial" w:cs="Arial" w:eastAsia="Arial" w:hAnsi="Arial"/>
                <w:sz w:val="18"/>
                <w:szCs w:val="18"/>
                <w:b w:val="1"/>
                <w:bCs w:val="1"/>
                <w:color w:val="auto"/>
                <w:w w:val="89"/>
              </w:rPr>
              <w:t>September 30,</w:t>
            </w:r>
          </w:p>
        </w:tc>
        <w:tc>
          <w:tcPr>
            <w:tcW w:w="28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440" w:type="dxa"/>
            <w:vAlign w:val="bottom"/>
            <w:gridSpan w:val="3"/>
          </w:tcPr>
          <w:p>
            <w:pPr>
              <w:jc w:val="right"/>
              <w:ind w:right="200"/>
              <w:spacing w:after="0"/>
              <w:rPr>
                <w:sz w:val="20"/>
                <w:szCs w:val="20"/>
                <w:color w:val="auto"/>
              </w:rPr>
            </w:pPr>
            <w:r>
              <w:rPr>
                <w:rFonts w:ascii="Arial" w:cs="Arial" w:eastAsia="Arial" w:hAnsi="Arial"/>
                <w:sz w:val="18"/>
                <w:szCs w:val="18"/>
                <w:b w:val="1"/>
                <w:bCs w:val="1"/>
                <w:color w:val="auto"/>
                <w:w w:val="87"/>
              </w:rPr>
              <w:t>30,</w:t>
            </w:r>
          </w:p>
        </w:tc>
        <w:tc>
          <w:tcPr>
            <w:tcW w:w="940" w:type="dxa"/>
            <w:vAlign w:val="bottom"/>
          </w:tcPr>
          <w:p>
            <w:pPr>
              <w:spacing w:after="0"/>
              <w:rPr>
                <w:sz w:val="20"/>
                <w:szCs w:val="20"/>
                <w:color w:val="auto"/>
              </w:rPr>
            </w:pPr>
          </w:p>
        </w:tc>
      </w:tr>
      <w:tr>
        <w:trPr>
          <w:trHeight w:val="227"/>
        </w:trPr>
        <w:tc>
          <w:tcPr>
            <w:tcW w:w="6100" w:type="dxa"/>
            <w:vAlign w:val="bottom"/>
          </w:tcPr>
          <w:p>
            <w:pPr>
              <w:spacing w:after="0"/>
              <w:rPr>
                <w:sz w:val="19"/>
                <w:szCs w:val="19"/>
                <w:color w:val="auto"/>
              </w:rPr>
            </w:pPr>
          </w:p>
        </w:tc>
        <w:tc>
          <w:tcPr>
            <w:tcW w:w="280" w:type="dxa"/>
            <w:vAlign w:val="bottom"/>
            <w:tcBorders>
              <w:top w:val="single" w:sz="8" w:color="auto"/>
              <w:bottom w:val="single" w:sz="8" w:color="auto"/>
            </w:tcBorders>
          </w:tcPr>
          <w:p>
            <w:pPr>
              <w:spacing w:after="0"/>
              <w:rPr>
                <w:sz w:val="19"/>
                <w:szCs w:val="19"/>
                <w:color w:val="auto"/>
              </w:rPr>
            </w:pPr>
          </w:p>
        </w:tc>
        <w:tc>
          <w:tcPr>
            <w:tcW w:w="940" w:type="dxa"/>
            <w:vAlign w:val="bottom"/>
            <w:tcBorders>
              <w:top w:val="single" w:sz="8" w:color="auto"/>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2022</w:t>
            </w:r>
          </w:p>
        </w:tc>
        <w:tc>
          <w:tcPr>
            <w:tcW w:w="100" w:type="dxa"/>
            <w:vAlign w:val="bottom"/>
            <w:tcBorders>
              <w:top w:val="single" w:sz="8" w:color="auto"/>
              <w:bottom w:val="single" w:sz="8" w:color="auto"/>
            </w:tcBorders>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940" w:type="dxa"/>
            <w:vAlign w:val="bottom"/>
            <w:tcBorders>
              <w:top w:val="single" w:sz="8" w:color="auto"/>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2021</w:t>
            </w:r>
          </w:p>
        </w:tc>
        <w:tc>
          <w:tcPr>
            <w:tcW w:w="100" w:type="dxa"/>
            <w:vAlign w:val="bottom"/>
            <w:tcBorders>
              <w:bottom w:val="single" w:sz="8" w:color="auto"/>
            </w:tcBorders>
          </w:tcPr>
          <w:p>
            <w:pPr>
              <w:spacing w:after="0"/>
              <w:rPr>
                <w:sz w:val="19"/>
                <w:szCs w:val="19"/>
                <w:color w:val="auto"/>
              </w:rPr>
            </w:pPr>
          </w:p>
        </w:tc>
        <w:tc>
          <w:tcPr>
            <w:tcW w:w="280" w:type="dxa"/>
            <w:vAlign w:val="bottom"/>
            <w:tcBorders>
              <w:top w:val="single" w:sz="8" w:color="auto"/>
              <w:bottom w:val="single" w:sz="8" w:color="auto"/>
            </w:tcBorders>
          </w:tcPr>
          <w:p>
            <w:pPr>
              <w:spacing w:after="0"/>
              <w:rPr>
                <w:sz w:val="19"/>
                <w:szCs w:val="19"/>
                <w:color w:val="auto"/>
              </w:rPr>
            </w:pPr>
          </w:p>
        </w:tc>
        <w:tc>
          <w:tcPr>
            <w:tcW w:w="860" w:type="dxa"/>
            <w:vAlign w:val="bottom"/>
            <w:tcBorders>
              <w:top w:val="single" w:sz="8" w:color="auto"/>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2022</w:t>
            </w:r>
          </w:p>
        </w:tc>
        <w:tc>
          <w:tcPr>
            <w:tcW w:w="80" w:type="dxa"/>
            <w:vAlign w:val="bottom"/>
            <w:tcBorders>
              <w:top w:val="single" w:sz="8" w:color="auto"/>
              <w:bottom w:val="single" w:sz="8" w:color="auto"/>
            </w:tcBorders>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940" w:type="dxa"/>
            <w:vAlign w:val="bottom"/>
            <w:tcBorders>
              <w:top w:val="single" w:sz="8" w:color="auto"/>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2021</w:t>
            </w:r>
          </w:p>
        </w:tc>
      </w:tr>
      <w:tr>
        <w:trPr>
          <w:trHeight w:val="223"/>
        </w:trPr>
        <w:tc>
          <w:tcPr>
            <w:tcW w:w="6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180" w:type="dxa"/>
            <w:vAlign w:val="bottom"/>
            <w:gridSpan w:val="4"/>
          </w:tcPr>
          <w:p>
            <w:pPr>
              <w:jc w:val="right"/>
              <w:ind w:right="530"/>
              <w:spacing w:after="0"/>
              <w:rPr>
                <w:sz w:val="20"/>
                <w:szCs w:val="20"/>
                <w:color w:val="auto"/>
              </w:rPr>
            </w:pPr>
            <w:r>
              <w:rPr>
                <w:rFonts w:ascii="Arial" w:cs="Arial" w:eastAsia="Arial" w:hAnsi="Arial"/>
                <w:sz w:val="18"/>
                <w:szCs w:val="18"/>
                <w:b w:val="1"/>
                <w:bCs w:val="1"/>
                <w:color w:val="auto"/>
              </w:rPr>
              <w:t>(In thousands)</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spacing w:after="0"/>
              <w:rPr>
                <w:sz w:val="19"/>
                <w:szCs w:val="19"/>
                <w:color w:val="auto"/>
              </w:rPr>
            </w:pPr>
          </w:p>
        </w:tc>
      </w:tr>
      <w:tr>
        <w:trPr>
          <w:trHeight w:val="229"/>
        </w:trPr>
        <w:tc>
          <w:tcPr>
            <w:tcW w:w="610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Consolidated Net income</w:t>
            </w: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4,994</w:t>
            </w:r>
          </w:p>
        </w:tc>
        <w:tc>
          <w:tcPr>
            <w:tcW w:w="3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1,121</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3,556</w:t>
            </w:r>
          </w:p>
        </w:tc>
        <w:tc>
          <w:tcPr>
            <w:tcW w:w="44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4,503</w:t>
            </w:r>
          </w:p>
        </w:tc>
      </w:tr>
      <w:tr>
        <w:trPr>
          <w:trHeight w:val="229"/>
        </w:trPr>
        <w:tc>
          <w:tcPr>
            <w:tcW w:w="6100" w:type="dxa"/>
            <w:vAlign w:val="bottom"/>
          </w:tcPr>
          <w:p>
            <w:pPr>
              <w:ind w:left="20"/>
              <w:spacing w:after="0"/>
              <w:rPr>
                <w:sz w:val="20"/>
                <w:szCs w:val="20"/>
                <w:color w:val="auto"/>
              </w:rPr>
            </w:pPr>
            <w:r>
              <w:rPr>
                <w:rFonts w:ascii="Arial" w:cs="Arial" w:eastAsia="Arial" w:hAnsi="Arial"/>
                <w:sz w:val="18"/>
                <w:szCs w:val="18"/>
                <w:color w:val="auto"/>
              </w:rPr>
              <w:t>Less: Net income attributable to noncontrolling interest</w:t>
            </w:r>
          </w:p>
        </w:tc>
        <w:tc>
          <w:tcPr>
            <w:tcW w:w="2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163</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(124)</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387</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(342)</w:t>
            </w:r>
          </w:p>
        </w:tc>
      </w:tr>
      <w:tr>
        <w:trPr>
          <w:trHeight w:val="230"/>
        </w:trPr>
        <w:tc>
          <w:tcPr>
            <w:tcW w:w="6100" w:type="dxa"/>
            <w:vAlign w:val="bottom"/>
            <w:shd w:val="clear" w:color="auto" w:fill="CCEEFF"/>
          </w:tcPr>
          <w:p>
            <w:pPr>
              <w:ind w:left="20"/>
              <w:spacing w:after="0"/>
              <w:rPr>
                <w:sz w:val="20"/>
                <w:szCs w:val="20"/>
                <w:color w:val="auto"/>
              </w:rPr>
            </w:pPr>
            <w:r>
              <w:rPr>
                <w:rFonts w:ascii="Arial" w:cs="Arial" w:eastAsia="Arial" w:hAnsi="Arial"/>
                <w:sz w:val="18"/>
                <w:szCs w:val="18"/>
                <w:color w:val="auto"/>
              </w:rPr>
              <w:t>Add: Provision for income taxes</w:t>
            </w:r>
          </w:p>
        </w:tc>
        <w:tc>
          <w:tcPr>
            <w:tcW w:w="2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1,074</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241</w:t>
            </w: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1,013</w:t>
            </w:r>
          </w:p>
        </w:tc>
      </w:tr>
      <w:tr>
        <w:trPr>
          <w:trHeight w:val="229"/>
        </w:trPr>
        <w:tc>
          <w:tcPr>
            <w:tcW w:w="6100" w:type="dxa"/>
            <w:vAlign w:val="bottom"/>
          </w:tcPr>
          <w:p>
            <w:pPr>
              <w:ind w:left="480"/>
              <w:spacing w:after="0"/>
              <w:rPr>
                <w:sz w:val="20"/>
                <w:szCs w:val="20"/>
                <w:color w:val="auto"/>
              </w:rPr>
            </w:pPr>
            <w:r>
              <w:rPr>
                <w:rFonts w:ascii="Arial" w:cs="Arial" w:eastAsia="Arial" w:hAnsi="Arial"/>
                <w:sz w:val="18"/>
                <w:szCs w:val="18"/>
                <w:color w:val="auto"/>
              </w:rPr>
              <w:t>Interest expense, net</w:t>
            </w:r>
          </w:p>
        </w:tc>
        <w:tc>
          <w:tcPr>
            <w:tcW w:w="2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1,058</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512</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2,508</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1,344</w:t>
            </w:r>
          </w:p>
        </w:tc>
      </w:tr>
      <w:tr>
        <w:trPr>
          <w:trHeight w:val="230"/>
        </w:trPr>
        <w:tc>
          <w:tcPr>
            <w:tcW w:w="6100" w:type="dxa"/>
            <w:vAlign w:val="bottom"/>
            <w:shd w:val="clear" w:color="auto" w:fill="CCEEFF"/>
          </w:tcPr>
          <w:p>
            <w:pPr>
              <w:ind w:left="480"/>
              <w:spacing w:after="0"/>
              <w:rPr>
                <w:sz w:val="20"/>
                <w:szCs w:val="20"/>
                <w:color w:val="auto"/>
              </w:rPr>
            </w:pPr>
            <w:r>
              <w:rPr>
                <w:rFonts w:ascii="Arial" w:cs="Arial" w:eastAsia="Arial" w:hAnsi="Arial"/>
                <w:sz w:val="18"/>
                <w:szCs w:val="18"/>
                <w:color w:val="auto"/>
              </w:rPr>
              <w:t>Depreciation and amortization</w:t>
            </w:r>
          </w:p>
        </w:tc>
        <w:tc>
          <w:tcPr>
            <w:tcW w:w="28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1,251</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1,200</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3,677</w:t>
            </w:r>
          </w:p>
        </w:tc>
        <w:tc>
          <w:tcPr>
            <w:tcW w:w="8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3,545</w:t>
            </w:r>
          </w:p>
        </w:tc>
      </w:tr>
      <w:tr>
        <w:trPr>
          <w:trHeight w:val="223"/>
        </w:trPr>
        <w:tc>
          <w:tcPr>
            <w:tcW w:w="6100" w:type="dxa"/>
            <w:vAlign w:val="bottom"/>
          </w:tcPr>
          <w:p>
            <w:pPr>
              <w:ind w:left="220"/>
              <w:spacing w:after="0"/>
              <w:rPr>
                <w:sz w:val="20"/>
                <w:szCs w:val="20"/>
                <w:color w:val="auto"/>
              </w:rPr>
            </w:pPr>
            <w:r>
              <w:rPr>
                <w:rFonts w:ascii="Arial" w:cs="Arial" w:eastAsia="Arial" w:hAnsi="Arial"/>
                <w:sz w:val="18"/>
                <w:szCs w:val="18"/>
                <w:color w:val="auto"/>
              </w:rPr>
              <w:t>Consolidated EBITDA</w:t>
            </w:r>
          </w:p>
        </w:tc>
        <w:tc>
          <w:tcPr>
            <w:tcW w:w="2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8,214</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3,026</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9,595</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10,747</w:t>
            </w:r>
          </w:p>
        </w:tc>
      </w:tr>
      <w:tr>
        <w:trPr>
          <w:trHeight w:val="230"/>
        </w:trPr>
        <w:tc>
          <w:tcPr>
            <w:tcW w:w="6100" w:type="dxa"/>
            <w:vAlign w:val="bottom"/>
            <w:shd w:val="clear" w:color="auto" w:fill="CCEEFF"/>
          </w:tcPr>
          <w:p>
            <w:pPr>
              <w:ind w:left="20"/>
              <w:spacing w:after="0"/>
              <w:rPr>
                <w:sz w:val="20"/>
                <w:szCs w:val="20"/>
                <w:color w:val="auto"/>
              </w:rPr>
            </w:pPr>
            <w:r>
              <w:rPr>
                <w:rFonts w:ascii="Arial" w:cs="Arial" w:eastAsia="Arial" w:hAnsi="Arial"/>
                <w:sz w:val="18"/>
                <w:szCs w:val="18"/>
                <w:color w:val="auto"/>
              </w:rPr>
              <w:t>Adjustments to Consolidated EBITDA</w:t>
            </w:r>
          </w:p>
        </w:tc>
        <w:tc>
          <w:tcPr>
            <w:tcW w:w="28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r>
      <w:tr>
        <w:trPr>
          <w:trHeight w:val="229"/>
        </w:trPr>
        <w:tc>
          <w:tcPr>
            <w:tcW w:w="6100" w:type="dxa"/>
            <w:vAlign w:val="bottom"/>
          </w:tcPr>
          <w:p>
            <w:pPr>
              <w:ind w:left="20"/>
              <w:spacing w:after="0" w:line="230" w:lineRule="exact"/>
              <w:rPr>
                <w:sz w:val="20"/>
                <w:szCs w:val="20"/>
                <w:color w:val="auto"/>
              </w:rPr>
            </w:pPr>
            <w:r>
              <w:rPr>
                <w:rFonts w:ascii="Arial" w:cs="Arial" w:eastAsia="Arial" w:hAnsi="Arial"/>
                <w:sz w:val="18"/>
                <w:szCs w:val="18"/>
                <w:color w:val="auto"/>
              </w:rPr>
              <w:t>Add: Costs at start-up operations</w:t>
            </w:r>
            <w:r>
              <w:rPr>
                <w:rFonts w:ascii="Arial" w:cs="Arial" w:eastAsia="Arial" w:hAnsi="Arial"/>
                <w:sz w:val="23"/>
                <w:szCs w:val="23"/>
                <w:color w:val="auto"/>
                <w:vertAlign w:val="superscript"/>
              </w:rPr>
              <w:t>(a)</w:t>
            </w:r>
          </w:p>
        </w:tc>
        <w:tc>
          <w:tcPr>
            <w:tcW w:w="2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430</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532</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938</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991</w:t>
            </w:r>
          </w:p>
        </w:tc>
      </w:tr>
      <w:tr>
        <w:trPr>
          <w:trHeight w:val="229"/>
        </w:trPr>
        <w:tc>
          <w:tcPr>
            <w:tcW w:w="6100" w:type="dxa"/>
            <w:vAlign w:val="bottom"/>
            <w:shd w:val="clear" w:color="auto" w:fill="CCEEFF"/>
          </w:tcPr>
          <w:p>
            <w:pPr>
              <w:ind w:left="480"/>
              <w:spacing w:after="0" w:line="230" w:lineRule="exact"/>
              <w:rPr>
                <w:sz w:val="20"/>
                <w:szCs w:val="20"/>
                <w:color w:val="auto"/>
              </w:rPr>
            </w:pPr>
            <w:r>
              <w:rPr>
                <w:rFonts w:ascii="Arial" w:cs="Arial" w:eastAsia="Arial" w:hAnsi="Arial"/>
                <w:sz w:val="18"/>
                <w:szCs w:val="18"/>
                <w:color w:val="auto"/>
              </w:rPr>
              <w:t>Share-based compensation expense</w:t>
            </w:r>
            <w:r>
              <w:rPr>
                <w:rFonts w:ascii="Arial" w:cs="Arial" w:eastAsia="Arial" w:hAnsi="Arial"/>
                <w:sz w:val="23"/>
                <w:szCs w:val="23"/>
                <w:color w:val="auto"/>
                <w:vertAlign w:val="superscript"/>
              </w:rPr>
              <w:t>(b)</w:t>
            </w:r>
          </w:p>
        </w:tc>
        <w:tc>
          <w:tcPr>
            <w:tcW w:w="2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(2,501)</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2,568</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2,319</w:t>
            </w: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7,483</w:t>
            </w:r>
          </w:p>
        </w:tc>
      </w:tr>
      <w:tr>
        <w:trPr>
          <w:trHeight w:val="230"/>
        </w:trPr>
        <w:tc>
          <w:tcPr>
            <w:tcW w:w="6100" w:type="dxa"/>
            <w:vAlign w:val="bottom"/>
          </w:tcPr>
          <w:p>
            <w:pPr>
              <w:ind w:left="480"/>
              <w:spacing w:after="0" w:line="230" w:lineRule="exact"/>
              <w:rPr>
                <w:sz w:val="20"/>
                <w:szCs w:val="20"/>
                <w:color w:val="auto"/>
              </w:rPr>
            </w:pPr>
            <w:r>
              <w:rPr>
                <w:rFonts w:ascii="Arial" w:cs="Arial" w:eastAsia="Arial" w:hAnsi="Arial"/>
                <w:sz w:val="18"/>
                <w:szCs w:val="18"/>
                <w:color w:val="auto"/>
              </w:rPr>
              <w:t>Acquisition related costs and credit allowances</w:t>
            </w:r>
            <w:r>
              <w:rPr>
                <w:rFonts w:ascii="Arial" w:cs="Arial" w:eastAsia="Arial" w:hAnsi="Arial"/>
                <w:sz w:val="23"/>
                <w:szCs w:val="23"/>
                <w:color w:val="auto"/>
                <w:vertAlign w:val="superscript"/>
              </w:rPr>
              <w:t>(c)</w:t>
            </w:r>
          </w:p>
        </w:tc>
        <w:tc>
          <w:tcPr>
            <w:tcW w:w="2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1,000</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36</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1,014</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73</w:t>
            </w:r>
          </w:p>
        </w:tc>
      </w:tr>
      <w:tr>
        <w:trPr>
          <w:trHeight w:val="229"/>
        </w:trPr>
        <w:tc>
          <w:tcPr>
            <w:tcW w:w="6100" w:type="dxa"/>
            <w:vAlign w:val="bottom"/>
            <w:shd w:val="clear" w:color="auto" w:fill="CCEEFF"/>
          </w:tcPr>
          <w:p>
            <w:pPr>
              <w:ind w:left="480"/>
              <w:spacing w:after="0" w:line="230" w:lineRule="exact"/>
              <w:rPr>
                <w:sz w:val="20"/>
                <w:szCs w:val="20"/>
                <w:color w:val="auto"/>
              </w:rPr>
            </w:pPr>
            <w:r>
              <w:rPr>
                <w:rFonts w:ascii="Arial" w:cs="Arial" w:eastAsia="Arial" w:hAnsi="Arial"/>
                <w:sz w:val="18"/>
                <w:szCs w:val="18"/>
                <w:color w:val="auto"/>
              </w:rPr>
              <w:t>Transition services costs</w:t>
            </w:r>
            <w:r>
              <w:rPr>
                <w:rFonts w:ascii="Arial" w:cs="Arial" w:eastAsia="Arial" w:hAnsi="Arial"/>
                <w:sz w:val="23"/>
                <w:szCs w:val="23"/>
                <w:color w:val="auto"/>
                <w:vertAlign w:val="superscript"/>
              </w:rPr>
              <w:t>(d)</w:t>
            </w:r>
          </w:p>
        </w:tc>
        <w:tc>
          <w:tcPr>
            <w:tcW w:w="2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236</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w:t>
            </w: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1,825</w:t>
            </w:r>
          </w:p>
        </w:tc>
      </w:tr>
      <w:tr>
        <w:trPr>
          <w:trHeight w:val="229"/>
        </w:trPr>
        <w:tc>
          <w:tcPr>
            <w:tcW w:w="6100" w:type="dxa"/>
            <w:vAlign w:val="bottom"/>
          </w:tcPr>
          <w:p>
            <w:pPr>
              <w:ind w:left="480"/>
              <w:spacing w:after="0" w:line="230" w:lineRule="exact"/>
              <w:rPr>
                <w:sz w:val="20"/>
                <w:szCs w:val="20"/>
                <w:color w:val="auto"/>
              </w:rPr>
            </w:pPr>
            <w:r>
              <w:rPr>
                <w:rFonts w:ascii="Arial" w:cs="Arial" w:eastAsia="Arial" w:hAnsi="Arial"/>
                <w:sz w:val="18"/>
                <w:szCs w:val="18"/>
                <w:color w:val="auto"/>
              </w:rPr>
              <w:t>Loss related to senior living operations transferred to Ensign</w:t>
            </w:r>
            <w:r>
              <w:rPr>
                <w:rFonts w:ascii="Arial" w:cs="Arial" w:eastAsia="Arial" w:hAnsi="Arial"/>
                <w:sz w:val="23"/>
                <w:szCs w:val="23"/>
                <w:color w:val="auto"/>
                <w:vertAlign w:val="superscript"/>
              </w:rPr>
              <w:t>(e)</w:t>
            </w:r>
          </w:p>
        </w:tc>
        <w:tc>
          <w:tcPr>
            <w:tcW w:w="2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144</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6,078</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6100" w:type="dxa"/>
            <w:vAlign w:val="bottom"/>
            <w:shd w:val="clear" w:color="auto" w:fill="CCEEFF"/>
          </w:tcPr>
          <w:p>
            <w:pPr>
              <w:ind w:left="460"/>
              <w:spacing w:after="0" w:line="230" w:lineRule="exact"/>
              <w:rPr>
                <w:sz w:val="20"/>
                <w:szCs w:val="20"/>
                <w:color w:val="auto"/>
              </w:rPr>
            </w:pPr>
            <w:r>
              <w:rPr>
                <w:rFonts w:ascii="Arial" w:cs="Arial" w:eastAsia="Arial" w:hAnsi="Arial"/>
                <w:sz w:val="18"/>
                <w:szCs w:val="18"/>
                <w:color w:val="auto"/>
              </w:rPr>
              <w:t>Unusual or non-recurring charges</w:t>
            </w:r>
            <w:r>
              <w:rPr>
                <w:rFonts w:ascii="Arial" w:cs="Arial" w:eastAsia="Arial" w:hAnsi="Arial"/>
                <w:sz w:val="23"/>
                <w:szCs w:val="23"/>
                <w:color w:val="auto"/>
                <w:vertAlign w:val="superscript"/>
              </w:rPr>
              <w:t>(f)</w:t>
            </w:r>
          </w:p>
        </w:tc>
        <w:tc>
          <w:tcPr>
            <w:tcW w:w="2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293</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293</w:t>
            </w: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6100" w:type="dxa"/>
            <w:vAlign w:val="bottom"/>
            <w:tcBorders>
              <w:bottom w:val="single" w:sz="8" w:color="CCEEFF"/>
            </w:tcBorders>
          </w:tcPr>
          <w:p>
            <w:pPr>
              <w:ind w:left="480"/>
              <w:spacing w:after="0"/>
              <w:rPr>
                <w:sz w:val="20"/>
                <w:szCs w:val="20"/>
                <w:color w:val="auto"/>
              </w:rPr>
            </w:pPr>
            <w:r>
              <w:rPr>
                <w:rFonts w:ascii="Arial" w:cs="Arial" w:eastAsia="Arial" w:hAnsi="Arial"/>
                <w:sz w:val="18"/>
                <w:szCs w:val="18"/>
                <w:color w:val="auto"/>
              </w:rPr>
              <w:t>Rent related to items (a) and (e) above</w:t>
            </w:r>
          </w:p>
        </w:tc>
        <w:tc>
          <w:tcPr>
            <w:tcW w:w="2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315</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97</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1,334</w:t>
            </w:r>
          </w:p>
        </w:tc>
        <w:tc>
          <w:tcPr>
            <w:tcW w:w="8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296</w:t>
            </w:r>
          </w:p>
        </w:tc>
      </w:tr>
      <w:tr>
        <w:trPr>
          <w:trHeight w:val="223"/>
        </w:trPr>
        <w:tc>
          <w:tcPr>
            <w:tcW w:w="61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Consolidated Adjusted EBITDA</w:t>
            </w:r>
          </w:p>
        </w:tc>
        <w:tc>
          <w:tcPr>
            <w:tcW w:w="28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7,895</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6,495</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21,648</w:t>
            </w:r>
          </w:p>
        </w:tc>
        <w:tc>
          <w:tcPr>
            <w:tcW w:w="8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21,415</w:t>
            </w:r>
          </w:p>
        </w:tc>
      </w:tr>
      <w:tr>
        <w:trPr>
          <w:trHeight w:val="223"/>
        </w:trPr>
        <w:tc>
          <w:tcPr>
            <w:tcW w:w="6100" w:type="dxa"/>
            <w:vAlign w:val="bottom"/>
          </w:tcPr>
          <w:p>
            <w:pPr>
              <w:ind w:left="360"/>
              <w:spacing w:after="0"/>
              <w:rPr>
                <w:sz w:val="20"/>
                <w:szCs w:val="20"/>
                <w:color w:val="auto"/>
              </w:rPr>
            </w:pPr>
            <w:r>
              <w:rPr>
                <w:rFonts w:ascii="Arial" w:cs="Arial" w:eastAsia="Arial" w:hAnsi="Arial"/>
                <w:sz w:val="18"/>
                <w:szCs w:val="18"/>
                <w:color w:val="auto"/>
              </w:rPr>
              <w:t>Rent—cost of services</w:t>
            </w:r>
          </w:p>
        </w:tc>
        <w:tc>
          <w:tcPr>
            <w:tcW w:w="2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9,391</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10,334</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28,520</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30,455</w:t>
            </w:r>
          </w:p>
        </w:tc>
      </w:tr>
      <w:tr>
        <w:trPr>
          <w:trHeight w:val="230"/>
        </w:trPr>
        <w:tc>
          <w:tcPr>
            <w:tcW w:w="61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Rent related to items (a) and (e) above</w:t>
            </w:r>
          </w:p>
        </w:tc>
        <w:tc>
          <w:tcPr>
            <w:tcW w:w="28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(315)</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(97)</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(1,334)</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(296)</w:t>
            </w:r>
          </w:p>
        </w:tc>
      </w:tr>
      <w:tr>
        <w:trPr>
          <w:trHeight w:val="223"/>
        </w:trPr>
        <w:tc>
          <w:tcPr>
            <w:tcW w:w="610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Adjusted rent—cost of services</w:t>
            </w:r>
          </w:p>
        </w:tc>
        <w:tc>
          <w:tcPr>
            <w:tcW w:w="2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9,076</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CCEEFF"/>
            </w:tcBorders>
          </w:tcPr>
          <w:p>
            <w:pPr>
              <w:spacing w:after="0"/>
              <w:rPr>
                <w:sz w:val="19"/>
                <w:szCs w:val="19"/>
                <w:color w:val="auto"/>
              </w:rPr>
            </w:pPr>
          </w:p>
        </w:tc>
        <w:tc>
          <w:tcPr>
            <w:tcW w:w="94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10,237</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27,186</w:t>
            </w:r>
          </w:p>
        </w:tc>
        <w:tc>
          <w:tcPr>
            <w:tcW w:w="8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CCEEFF"/>
            </w:tcBorders>
          </w:tcPr>
          <w:p>
            <w:pPr>
              <w:spacing w:after="0"/>
              <w:rPr>
                <w:sz w:val="19"/>
                <w:szCs w:val="19"/>
                <w:color w:val="auto"/>
              </w:rPr>
            </w:pPr>
          </w:p>
        </w:tc>
        <w:tc>
          <w:tcPr>
            <w:tcW w:w="94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30,159</w:t>
            </w:r>
          </w:p>
        </w:tc>
      </w:tr>
      <w:tr>
        <w:trPr>
          <w:trHeight w:val="248"/>
        </w:trPr>
        <w:tc>
          <w:tcPr>
            <w:tcW w:w="610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Consolidated Adjusted EBITDAR</w:t>
            </w: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16,971</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48,834</w:t>
            </w:r>
          </w:p>
        </w:tc>
        <w:tc>
          <w:tcPr>
            <w:tcW w:w="80" w:type="dxa"/>
            <w:vAlign w:val="bottom"/>
            <w:tcBorders>
              <w:bottom w:val="single" w:sz="8" w:color="auto"/>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r>
      <w:tr>
        <w:trPr>
          <w:trHeight w:val="20"/>
        </w:trPr>
        <w:tc>
          <w:tcPr>
            <w:tcW w:w="6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tcBorders>
          </w:tcPr>
          <w:p>
            <w:pPr>
              <w:spacing w:after="0" w:line="20" w:lineRule="exact"/>
              <w:rPr>
                <w:sz w:val="1"/>
                <w:szCs w:val="1"/>
                <w:color w:val="auto"/>
              </w:rPr>
            </w:pPr>
          </w:p>
        </w:tc>
      </w:tr>
    </w:tbl>
    <w:p>
      <w:pPr>
        <w:spacing w:after="0" w:line="130" w:lineRule="exact"/>
        <w:rPr>
          <w:sz w:val="20"/>
          <w:szCs w:val="20"/>
          <w:color w:val="auto"/>
        </w:rPr>
      </w:pPr>
    </w:p>
    <w:p>
      <w:pPr>
        <w:ind w:left="480" w:hanging="454"/>
        <w:spacing w:after="0"/>
        <w:tabs>
          <w:tab w:leader="none" w:pos="480" w:val="left"/>
        </w:tabs>
        <w:numPr>
          <w:ilvl w:val="0"/>
          <w:numId w:val="26"/>
        </w:numPr>
        <w:rPr>
          <w:rFonts w:ascii="Arial" w:cs="Arial" w:eastAsia="Arial" w:hAnsi="Arial"/>
          <w:sz w:val="14"/>
          <w:szCs w:val="14"/>
          <w:color w:val="auto"/>
        </w:rPr>
      </w:pPr>
      <w:r>
        <w:rPr>
          <w:rFonts w:ascii="Arial" w:cs="Arial" w:eastAsia="Arial" w:hAnsi="Arial"/>
          <w:sz w:val="14"/>
          <w:szCs w:val="14"/>
          <w:color w:val="auto"/>
        </w:rPr>
        <w:t>Represents results related to start-up operations. This amount excludes rent and depreciation and amortization expense related to such operations.</w:t>
      </w:r>
    </w:p>
    <w:p>
      <w:pPr>
        <w:spacing w:after="0" w:line="68" w:lineRule="exact"/>
        <w:rPr>
          <w:rFonts w:ascii="Arial" w:cs="Arial" w:eastAsia="Arial" w:hAnsi="Arial"/>
          <w:sz w:val="14"/>
          <w:szCs w:val="14"/>
          <w:color w:val="auto"/>
        </w:rPr>
      </w:pPr>
    </w:p>
    <w:p>
      <w:pPr>
        <w:ind w:left="480" w:right="20" w:hanging="454"/>
        <w:spacing w:after="0" w:line="312" w:lineRule="auto"/>
        <w:tabs>
          <w:tab w:leader="none" w:pos="480" w:val="left"/>
        </w:tabs>
        <w:numPr>
          <w:ilvl w:val="0"/>
          <w:numId w:val="26"/>
        </w:numPr>
        <w:rPr>
          <w:rFonts w:ascii="Arial" w:cs="Arial" w:eastAsia="Arial" w:hAnsi="Arial"/>
          <w:sz w:val="13"/>
          <w:szCs w:val="13"/>
          <w:color w:val="auto"/>
        </w:rPr>
      </w:pPr>
      <w:r>
        <w:rPr>
          <w:rFonts w:ascii="Arial" w:cs="Arial" w:eastAsia="Arial" w:hAnsi="Arial"/>
          <w:sz w:val="13"/>
          <w:szCs w:val="13"/>
          <w:color w:val="auto"/>
        </w:rPr>
        <w:t>Share-based compensation expense and related payroll taxes incurred, including the impact of the modification of certain restricted stock units described below in Note 12, Options and Awards, to the Interim Financial Statements. Share-based compensation expense and related payroll taxes are included in cost of services and general and administrative expense</w:t>
      </w:r>
    </w:p>
    <w:p>
      <w:pPr>
        <w:spacing w:after="0" w:line="16" w:lineRule="exact"/>
        <w:rPr>
          <w:rFonts w:ascii="Arial" w:cs="Arial" w:eastAsia="Arial" w:hAnsi="Arial"/>
          <w:sz w:val="13"/>
          <w:szCs w:val="13"/>
          <w:color w:val="auto"/>
        </w:rPr>
      </w:pPr>
    </w:p>
    <w:p>
      <w:pPr>
        <w:ind w:left="480" w:hanging="454"/>
        <w:spacing w:after="0"/>
        <w:tabs>
          <w:tab w:leader="none" w:pos="480" w:val="left"/>
        </w:tabs>
        <w:numPr>
          <w:ilvl w:val="0"/>
          <w:numId w:val="26"/>
        </w:numPr>
        <w:rPr>
          <w:rFonts w:ascii="Arial" w:cs="Arial" w:eastAsia="Arial" w:hAnsi="Arial"/>
          <w:sz w:val="14"/>
          <w:szCs w:val="14"/>
          <w:color w:val="auto"/>
        </w:rPr>
      </w:pPr>
      <w:r>
        <w:rPr>
          <w:rFonts w:ascii="Arial" w:cs="Arial" w:eastAsia="Arial" w:hAnsi="Arial"/>
          <w:sz w:val="14"/>
          <w:szCs w:val="14"/>
          <w:color w:val="auto"/>
        </w:rPr>
        <w:t>Non-capitalizable costs associated with acquisitions and credit allowances for amounts in dispute with the prior owners of certain acquired operations.</w:t>
      </w:r>
    </w:p>
    <w:p>
      <w:pPr>
        <w:spacing w:after="0" w:line="68" w:lineRule="exact"/>
        <w:rPr>
          <w:rFonts w:ascii="Arial" w:cs="Arial" w:eastAsia="Arial" w:hAnsi="Arial"/>
          <w:sz w:val="14"/>
          <w:szCs w:val="14"/>
          <w:color w:val="auto"/>
        </w:rPr>
      </w:pPr>
    </w:p>
    <w:p>
      <w:pPr>
        <w:jc w:val="both"/>
        <w:ind w:left="480" w:right="20" w:hanging="454"/>
        <w:spacing w:after="0" w:line="267" w:lineRule="auto"/>
        <w:tabs>
          <w:tab w:leader="none" w:pos="480" w:val="left"/>
        </w:tabs>
        <w:numPr>
          <w:ilvl w:val="0"/>
          <w:numId w:val="26"/>
        </w:numPr>
        <w:rPr>
          <w:rFonts w:ascii="Arial" w:cs="Arial" w:eastAsia="Arial" w:hAnsi="Arial"/>
          <w:sz w:val="14"/>
          <w:szCs w:val="14"/>
          <w:color w:val="auto"/>
        </w:rPr>
      </w:pPr>
      <w:r>
        <w:rPr>
          <w:rFonts w:ascii="Arial" w:cs="Arial" w:eastAsia="Arial" w:hAnsi="Arial"/>
          <w:sz w:val="14"/>
          <w:szCs w:val="14"/>
          <w:color w:val="auto"/>
        </w:rPr>
        <w:t>Costs identified as redundant or non-recurring incurred by the Company as a result of the Spin-off. The 2021 amounts represents part of the costs incurred under the Transition Services Agreement. All amounts are included in general and administrative expense. Fees incurred under the Transition Services Agreement were $231 and $1,332 for the three and nine months ended September 30, 2022, and $706 and $2,441 for the three and nine months ended September 30, 2021.</w:t>
      </w:r>
    </w:p>
    <w:p>
      <w:pPr>
        <w:spacing w:after="0" w:line="29" w:lineRule="exact"/>
        <w:rPr>
          <w:rFonts w:ascii="Arial" w:cs="Arial" w:eastAsia="Arial" w:hAnsi="Arial"/>
          <w:sz w:val="14"/>
          <w:szCs w:val="14"/>
          <w:color w:val="auto"/>
        </w:rPr>
      </w:pPr>
    </w:p>
    <w:p>
      <w:pPr>
        <w:jc w:val="both"/>
        <w:ind w:left="480" w:right="20" w:hanging="454"/>
        <w:spacing w:after="0" w:line="263" w:lineRule="auto"/>
        <w:tabs>
          <w:tab w:leader="none" w:pos="480" w:val="left"/>
        </w:tabs>
        <w:numPr>
          <w:ilvl w:val="0"/>
          <w:numId w:val="26"/>
        </w:numPr>
        <w:rPr>
          <w:rFonts w:ascii="Arial" w:cs="Arial" w:eastAsia="Arial" w:hAnsi="Arial"/>
          <w:sz w:val="14"/>
          <w:szCs w:val="14"/>
          <w:color w:val="auto"/>
        </w:rPr>
      </w:pPr>
      <w:r>
        <w:rPr>
          <w:rFonts w:ascii="Arial" w:cs="Arial" w:eastAsia="Arial" w:hAnsi="Arial"/>
          <w:sz w:val="14"/>
          <w:szCs w:val="14"/>
          <w:color w:val="auto"/>
        </w:rPr>
        <w:t>On January 27, 2022, affiliates of the Company, entered into certain operations transfer agreements (collectively, the “Transfer Agreements”) with affiliates of Ensign, providing for the transfer of the operations of certain senior living communities (the “Transaction”) from affiliates of the Company to affiliates of Ensign. The closing of the Transaction was completed in two phases with the transfer of two operations on March 1, 2022 and the remainder transferred on April 1, 2022. The amount includes $6,500 for the nine months ended September 30, 2022 to cover post-closing capital expenditures and operating losses related to one of the communities transferred on April 1, 2022. The amount above also includes $144 and $(422) for the three and nine months ended September 30, 2022, respectively, for the related net impact on revenue and cost of service attributable to the transferred entities. This amount excludes rent and depreciation and amortization expense related to such operations.</w:t>
      </w:r>
    </w:p>
    <w:p>
      <w:pPr>
        <w:spacing w:after="0" w:line="34" w:lineRule="exact"/>
        <w:rPr>
          <w:rFonts w:ascii="Arial" w:cs="Arial" w:eastAsia="Arial" w:hAnsi="Arial"/>
          <w:sz w:val="14"/>
          <w:szCs w:val="14"/>
          <w:color w:val="auto"/>
        </w:rPr>
      </w:pPr>
    </w:p>
    <w:p>
      <w:pPr>
        <w:ind w:left="480" w:hanging="454"/>
        <w:spacing w:after="0"/>
        <w:tabs>
          <w:tab w:leader="none" w:pos="480" w:val="left"/>
        </w:tabs>
        <w:numPr>
          <w:ilvl w:val="0"/>
          <w:numId w:val="26"/>
        </w:numPr>
        <w:rPr>
          <w:rFonts w:ascii="Arial" w:cs="Arial" w:eastAsia="Arial" w:hAnsi="Arial"/>
          <w:sz w:val="14"/>
          <w:szCs w:val="14"/>
          <w:color w:val="auto"/>
        </w:rPr>
      </w:pPr>
      <w:r>
        <w:rPr>
          <w:rFonts w:ascii="Arial" w:cs="Arial" w:eastAsia="Arial" w:hAnsi="Arial"/>
          <w:sz w:val="14"/>
          <w:szCs w:val="14"/>
          <w:color w:val="auto"/>
        </w:rPr>
        <w:t>Represents unusual or non-recurring charges for legal services, implementation costs, integration costs, and consulting fees in general and administrative expenses.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7" w:name="page38"/>
    <w:bookmarkEnd w:id="37"/>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63"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The tables below reconcile Segment Adjusted EBITDAR from Operations to Segment Adjusted EBITDA from Operations for the periods presented:</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00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spacing w:after="0"/>
              <w:rPr>
                <w:sz w:val="20"/>
                <w:szCs w:val="20"/>
                <w:color w:val="auto"/>
              </w:rPr>
            </w:pPr>
          </w:p>
        </w:tc>
        <w:tc>
          <w:tcPr>
            <w:tcW w:w="2780" w:type="dxa"/>
            <w:vAlign w:val="bottom"/>
            <w:tcBorders>
              <w:bottom w:val="single" w:sz="8" w:color="auto"/>
            </w:tcBorders>
            <w:gridSpan w:val="8"/>
          </w:tcPr>
          <w:p>
            <w:pPr>
              <w:jc w:val="center"/>
              <w:spacing w:after="0"/>
              <w:rPr>
                <w:sz w:val="20"/>
                <w:szCs w:val="20"/>
                <w:color w:val="auto"/>
              </w:rPr>
            </w:pPr>
            <w:r>
              <w:rPr>
                <w:rFonts w:ascii="Arial" w:cs="Arial" w:eastAsia="Arial" w:hAnsi="Arial"/>
                <w:sz w:val="18"/>
                <w:szCs w:val="18"/>
                <w:b w:val="1"/>
                <w:bCs w:val="1"/>
                <w:color w:val="auto"/>
                <w:w w:val="90"/>
              </w:rPr>
              <w:t>Three Months Ended September 30,</w:t>
            </w:r>
          </w:p>
        </w:tc>
        <w:tc>
          <w:tcPr>
            <w:tcW w:w="26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spacing w:after="0"/>
              <w:rPr>
                <w:sz w:val="20"/>
                <w:szCs w:val="20"/>
                <w:color w:val="auto"/>
              </w:rPr>
            </w:pPr>
          </w:p>
        </w:tc>
      </w:tr>
      <w:tr>
        <w:trPr>
          <w:trHeight w:val="223"/>
        </w:trPr>
        <w:tc>
          <w:tcPr>
            <w:tcW w:w="60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460" w:type="dxa"/>
            <w:vAlign w:val="bottom"/>
            <w:gridSpan w:val="5"/>
          </w:tcPr>
          <w:p>
            <w:pPr>
              <w:ind w:left="80"/>
              <w:spacing w:after="0"/>
              <w:rPr>
                <w:sz w:val="20"/>
                <w:szCs w:val="20"/>
                <w:color w:val="auto"/>
              </w:rPr>
            </w:pPr>
            <w:r>
              <w:rPr>
                <w:rFonts w:ascii="Arial" w:cs="Arial" w:eastAsia="Arial" w:hAnsi="Arial"/>
                <w:sz w:val="18"/>
                <w:szCs w:val="18"/>
                <w:b w:val="1"/>
                <w:bCs w:val="1"/>
                <w:color w:val="auto"/>
              </w:rPr>
              <w:t>Home Health and Hospice</w:t>
            </w:r>
          </w:p>
        </w:tc>
        <w:tc>
          <w:tcPr>
            <w:tcW w:w="280" w:type="dxa"/>
            <w:vAlign w:val="bottom"/>
          </w:tcPr>
          <w:p>
            <w:pPr>
              <w:spacing w:after="0"/>
              <w:rPr>
                <w:sz w:val="19"/>
                <w:szCs w:val="19"/>
                <w:color w:val="auto"/>
              </w:rPr>
            </w:pPr>
          </w:p>
        </w:tc>
        <w:tc>
          <w:tcPr>
            <w:tcW w:w="2300" w:type="dxa"/>
            <w:vAlign w:val="bottom"/>
            <w:gridSpan w:val="5"/>
          </w:tcPr>
          <w:p>
            <w:pPr>
              <w:jc w:val="right"/>
              <w:ind w:right="670"/>
              <w:spacing w:after="0"/>
              <w:rPr>
                <w:sz w:val="20"/>
                <w:szCs w:val="20"/>
                <w:color w:val="auto"/>
              </w:rPr>
            </w:pPr>
            <w:r>
              <w:rPr>
                <w:rFonts w:ascii="Arial" w:cs="Arial" w:eastAsia="Arial" w:hAnsi="Arial"/>
                <w:sz w:val="18"/>
                <w:szCs w:val="18"/>
                <w:b w:val="1"/>
                <w:bCs w:val="1"/>
                <w:color w:val="auto"/>
              </w:rPr>
              <w:t>Senior Living</w:t>
            </w:r>
          </w:p>
        </w:tc>
      </w:tr>
      <w:tr>
        <w:trPr>
          <w:trHeight w:val="223"/>
        </w:trPr>
        <w:tc>
          <w:tcPr>
            <w:tcW w:w="6000" w:type="dxa"/>
            <w:vAlign w:val="bottom"/>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1040" w:type="dxa"/>
            <w:vAlign w:val="bottom"/>
            <w:tcBorders>
              <w:top w:val="single" w:sz="8" w:color="auto"/>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2022</w:t>
            </w:r>
          </w:p>
        </w:tc>
        <w:tc>
          <w:tcPr>
            <w:tcW w:w="80" w:type="dxa"/>
            <w:vAlign w:val="bottom"/>
            <w:tcBorders>
              <w:top w:val="single" w:sz="8" w:color="auto"/>
              <w:bottom w:val="single" w:sz="8" w:color="auto"/>
            </w:tcBorders>
          </w:tcPr>
          <w:p>
            <w:pPr>
              <w:spacing w:after="0"/>
              <w:rPr>
                <w:sz w:val="19"/>
                <w:szCs w:val="19"/>
                <w:color w:val="auto"/>
              </w:rPr>
            </w:pPr>
          </w:p>
        </w:tc>
        <w:tc>
          <w:tcPr>
            <w:tcW w:w="280" w:type="dxa"/>
            <w:vAlign w:val="bottom"/>
            <w:tcBorders>
              <w:top w:val="single" w:sz="8" w:color="auto"/>
              <w:bottom w:val="single" w:sz="8" w:color="auto"/>
            </w:tcBorders>
          </w:tcPr>
          <w:p>
            <w:pPr>
              <w:spacing w:after="0"/>
              <w:rPr>
                <w:sz w:val="19"/>
                <w:szCs w:val="19"/>
                <w:color w:val="auto"/>
              </w:rPr>
            </w:pPr>
          </w:p>
        </w:tc>
        <w:tc>
          <w:tcPr>
            <w:tcW w:w="960" w:type="dxa"/>
            <w:vAlign w:val="bottom"/>
            <w:tcBorders>
              <w:top w:val="single" w:sz="8" w:color="auto"/>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2021</w:t>
            </w:r>
          </w:p>
        </w:tc>
        <w:tc>
          <w:tcPr>
            <w:tcW w:w="100" w:type="dxa"/>
            <w:vAlign w:val="bottom"/>
            <w:tcBorders>
              <w:bottom w:val="single" w:sz="8" w:color="auto"/>
            </w:tcBorders>
          </w:tcPr>
          <w:p>
            <w:pPr>
              <w:spacing w:after="0"/>
              <w:rPr>
                <w:sz w:val="19"/>
                <w:szCs w:val="19"/>
                <w:color w:val="auto"/>
              </w:rPr>
            </w:pPr>
          </w:p>
        </w:tc>
        <w:tc>
          <w:tcPr>
            <w:tcW w:w="280" w:type="dxa"/>
            <w:vAlign w:val="bottom"/>
            <w:tcBorders>
              <w:top w:val="single" w:sz="8" w:color="auto"/>
              <w:bottom w:val="single" w:sz="8" w:color="auto"/>
            </w:tcBorders>
          </w:tcPr>
          <w:p>
            <w:pPr>
              <w:spacing w:after="0"/>
              <w:rPr>
                <w:sz w:val="19"/>
                <w:szCs w:val="19"/>
                <w:color w:val="auto"/>
              </w:rPr>
            </w:pPr>
          </w:p>
        </w:tc>
        <w:tc>
          <w:tcPr>
            <w:tcW w:w="960" w:type="dxa"/>
            <w:vAlign w:val="bottom"/>
            <w:tcBorders>
              <w:top w:val="single" w:sz="8" w:color="auto"/>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2022</w:t>
            </w:r>
          </w:p>
        </w:tc>
        <w:tc>
          <w:tcPr>
            <w:tcW w:w="100" w:type="dxa"/>
            <w:vAlign w:val="bottom"/>
            <w:tcBorders>
              <w:top w:val="single" w:sz="8" w:color="auto"/>
              <w:bottom w:val="single" w:sz="8" w:color="auto"/>
            </w:tcBorders>
          </w:tcPr>
          <w:p>
            <w:pPr>
              <w:spacing w:after="0"/>
              <w:rPr>
                <w:sz w:val="19"/>
                <w:szCs w:val="19"/>
                <w:color w:val="auto"/>
              </w:rPr>
            </w:pPr>
          </w:p>
        </w:tc>
        <w:tc>
          <w:tcPr>
            <w:tcW w:w="20" w:type="dxa"/>
            <w:vAlign w:val="bottom"/>
            <w:tcBorders>
              <w:top w:val="single" w:sz="8" w:color="auto"/>
              <w:bottom w:val="single" w:sz="8" w:color="auto"/>
            </w:tcBorders>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960" w:type="dxa"/>
            <w:vAlign w:val="bottom"/>
            <w:tcBorders>
              <w:top w:val="single" w:sz="8" w:color="auto"/>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2021</w:t>
            </w:r>
          </w:p>
        </w:tc>
      </w:tr>
      <w:tr>
        <w:trPr>
          <w:trHeight w:val="223"/>
        </w:trPr>
        <w:tc>
          <w:tcPr>
            <w:tcW w:w="60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420" w:type="dxa"/>
            <w:vAlign w:val="bottom"/>
            <w:gridSpan w:val="6"/>
          </w:tcPr>
          <w:p>
            <w:pPr>
              <w:jc w:val="center"/>
              <w:ind w:right="380"/>
              <w:spacing w:after="0"/>
              <w:rPr>
                <w:sz w:val="20"/>
                <w:szCs w:val="20"/>
                <w:color w:val="auto"/>
              </w:rPr>
            </w:pPr>
            <w:r>
              <w:rPr>
                <w:rFonts w:ascii="Arial" w:cs="Arial" w:eastAsia="Arial" w:hAnsi="Arial"/>
                <w:sz w:val="18"/>
                <w:szCs w:val="18"/>
                <w:b w:val="1"/>
                <w:bCs w:val="1"/>
                <w:color w:val="auto"/>
                <w:w w:val="90"/>
              </w:rPr>
              <w:t>(In thousands)</w:t>
            </w:r>
          </w:p>
        </w:tc>
        <w:tc>
          <w:tcPr>
            <w:tcW w:w="260" w:type="dxa"/>
            <w:vAlign w:val="bottom"/>
          </w:tcPr>
          <w:p>
            <w:pPr>
              <w:spacing w:after="0"/>
              <w:rPr>
                <w:sz w:val="19"/>
                <w:szCs w:val="19"/>
                <w:color w:val="auto"/>
              </w:rPr>
            </w:pPr>
          </w:p>
        </w:tc>
        <w:tc>
          <w:tcPr>
            <w:tcW w:w="960" w:type="dxa"/>
            <w:vAlign w:val="bottom"/>
          </w:tcPr>
          <w:p>
            <w:pPr>
              <w:spacing w:after="0"/>
              <w:rPr>
                <w:sz w:val="19"/>
                <w:szCs w:val="19"/>
                <w:color w:val="auto"/>
              </w:rPr>
            </w:pPr>
          </w:p>
        </w:tc>
      </w:tr>
      <w:tr>
        <w:trPr>
          <w:trHeight w:val="229"/>
        </w:trPr>
        <w:tc>
          <w:tcPr>
            <w:tcW w:w="600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Segment Adjusted EBITDAR from Operations</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15,380</w:t>
            </w:r>
          </w:p>
        </w:tc>
        <w:tc>
          <w:tcPr>
            <w:tcW w:w="36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14,409</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9,370</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107"/>
              <w:spacing w:after="0"/>
              <w:rPr>
                <w:sz w:val="20"/>
                <w:szCs w:val="20"/>
                <w:color w:val="auto"/>
              </w:rPr>
            </w:pPr>
            <w:r>
              <w:rPr>
                <w:rFonts w:ascii="Arial" w:cs="Arial" w:eastAsia="Arial" w:hAnsi="Arial"/>
                <w:sz w:val="15"/>
                <w:szCs w:val="15"/>
                <w:color w:val="auto"/>
                <w:w w:val="71"/>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9,106</w:t>
            </w:r>
          </w:p>
        </w:tc>
      </w:tr>
      <w:tr>
        <w:trPr>
          <w:trHeight w:val="230"/>
        </w:trPr>
        <w:tc>
          <w:tcPr>
            <w:tcW w:w="6000" w:type="dxa"/>
            <w:vAlign w:val="bottom"/>
          </w:tcPr>
          <w:p>
            <w:pPr>
              <w:ind w:left="20"/>
              <w:spacing w:after="0"/>
              <w:rPr>
                <w:sz w:val="20"/>
                <w:szCs w:val="20"/>
                <w:color w:val="auto"/>
              </w:rPr>
            </w:pPr>
            <w:r>
              <w:rPr>
                <w:rFonts w:ascii="Arial" w:cs="Arial" w:eastAsia="Arial" w:hAnsi="Arial"/>
                <w:sz w:val="18"/>
                <w:szCs w:val="18"/>
                <w:color w:val="auto"/>
              </w:rPr>
              <w:t>Less: Rent—cost of services</w:t>
            </w:r>
          </w:p>
        </w:tc>
        <w:tc>
          <w:tcPr>
            <w:tcW w:w="2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1,262</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1,282</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8,129</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9,052</w:t>
            </w:r>
          </w:p>
        </w:tc>
      </w:tr>
      <w:tr>
        <w:trPr>
          <w:trHeight w:val="229"/>
        </w:trPr>
        <w:tc>
          <w:tcPr>
            <w:tcW w:w="6000" w:type="dxa"/>
            <w:vAlign w:val="bottom"/>
            <w:shd w:val="clear" w:color="auto" w:fill="CCEEFF"/>
          </w:tcPr>
          <w:p>
            <w:pPr>
              <w:ind w:left="480"/>
              <w:spacing w:after="0"/>
              <w:rPr>
                <w:sz w:val="20"/>
                <w:szCs w:val="20"/>
                <w:color w:val="auto"/>
              </w:rPr>
            </w:pPr>
            <w:r>
              <w:rPr>
                <w:rFonts w:ascii="Arial" w:cs="Arial" w:eastAsia="Arial" w:hAnsi="Arial"/>
                <w:sz w:val="18"/>
                <w:szCs w:val="18"/>
                <w:color w:val="auto"/>
              </w:rPr>
              <w:t>Rent related to start-up and transferred operations</w:t>
            </w:r>
          </w:p>
        </w:tc>
        <w:tc>
          <w:tcPr>
            <w:tcW w:w="20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(90)</w:t>
            </w:r>
          </w:p>
        </w:tc>
        <w:tc>
          <w:tcPr>
            <w:tcW w:w="8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(225)</w:t>
            </w:r>
          </w:p>
        </w:tc>
        <w:tc>
          <w:tcPr>
            <w:tcW w:w="100" w:type="dxa"/>
            <w:vAlign w:val="bottom"/>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w:t>
            </w:r>
          </w:p>
        </w:tc>
      </w:tr>
      <w:tr>
        <w:trPr>
          <w:trHeight w:val="223"/>
        </w:trPr>
        <w:tc>
          <w:tcPr>
            <w:tcW w:w="6000" w:type="dxa"/>
            <w:vAlign w:val="bottom"/>
          </w:tcPr>
          <w:p>
            <w:pPr>
              <w:ind w:left="20"/>
              <w:spacing w:after="0"/>
              <w:rPr>
                <w:sz w:val="20"/>
                <w:szCs w:val="20"/>
                <w:color w:val="auto"/>
              </w:rPr>
            </w:pPr>
            <w:r>
              <w:rPr>
                <w:rFonts w:ascii="Arial" w:cs="Arial" w:eastAsia="Arial" w:hAnsi="Arial"/>
                <w:sz w:val="18"/>
                <w:szCs w:val="18"/>
                <w:color w:val="auto"/>
              </w:rPr>
              <w:t>Segment Adjusted EBITDA from Operations</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14,208</w:t>
            </w:r>
          </w:p>
        </w:tc>
        <w:tc>
          <w:tcPr>
            <w:tcW w:w="80" w:type="dxa"/>
            <w:vAlign w:val="bottom"/>
          </w:tcPr>
          <w:p>
            <w:pPr>
              <w:spacing w:after="0"/>
              <w:rPr>
                <w:sz w:val="19"/>
                <w:szCs w:val="19"/>
                <w:color w:val="auto"/>
              </w:rPr>
            </w:pP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13,194</w:t>
            </w:r>
          </w:p>
        </w:tc>
        <w:tc>
          <w:tcPr>
            <w:tcW w:w="100" w:type="dxa"/>
            <w:vAlign w:val="bottom"/>
          </w:tcPr>
          <w:p>
            <w:pPr>
              <w:spacing w:after="0"/>
              <w:rPr>
                <w:sz w:val="19"/>
                <w:szCs w:val="19"/>
                <w:color w:val="auto"/>
              </w:rPr>
            </w:pPr>
          </w:p>
        </w:tc>
        <w:tc>
          <w:tcPr>
            <w:tcW w:w="2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1,466</w:t>
            </w:r>
          </w:p>
        </w:tc>
        <w:tc>
          <w:tcPr>
            <w:tcW w:w="10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jc w:val="right"/>
              <w:ind w:right="107"/>
              <w:spacing w:after="0"/>
              <w:rPr>
                <w:sz w:val="20"/>
                <w:szCs w:val="20"/>
                <w:color w:val="auto"/>
              </w:rPr>
            </w:pPr>
            <w:r>
              <w:rPr>
                <w:rFonts w:ascii="Arial" w:cs="Arial" w:eastAsia="Arial" w:hAnsi="Arial"/>
                <w:sz w:val="15"/>
                <w:szCs w:val="15"/>
                <w:color w:val="auto"/>
                <w:w w:val="71"/>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84</w:t>
            </w:r>
          </w:p>
        </w:tc>
      </w:tr>
      <w:tr>
        <w:trPr>
          <w:trHeight w:val="20"/>
        </w:trPr>
        <w:tc>
          <w:tcPr>
            <w:tcW w:w="60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4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4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r>
        <w:trPr>
          <w:trHeight w:val="588"/>
        </w:trPr>
        <w:tc>
          <w:tcPr>
            <w:tcW w:w="600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2780" w:type="dxa"/>
            <w:vAlign w:val="bottom"/>
            <w:tcBorders>
              <w:bottom w:val="single" w:sz="8" w:color="auto"/>
            </w:tcBorders>
            <w:gridSpan w:val="8"/>
          </w:tcPr>
          <w:p>
            <w:pPr>
              <w:jc w:val="center"/>
              <w:ind w:right="20"/>
              <w:spacing w:after="0"/>
              <w:rPr>
                <w:sz w:val="20"/>
                <w:szCs w:val="20"/>
                <w:color w:val="auto"/>
              </w:rPr>
            </w:pPr>
            <w:r>
              <w:rPr>
                <w:rFonts w:ascii="Arial" w:cs="Arial" w:eastAsia="Arial" w:hAnsi="Arial"/>
                <w:sz w:val="18"/>
                <w:szCs w:val="18"/>
                <w:b w:val="1"/>
                <w:bCs w:val="1"/>
                <w:color w:val="auto"/>
                <w:w w:val="90"/>
              </w:rPr>
              <w:t>Nine Months Ended September 30,</w:t>
            </w:r>
          </w:p>
        </w:tc>
        <w:tc>
          <w:tcPr>
            <w:tcW w:w="26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r>
      <w:tr>
        <w:trPr>
          <w:trHeight w:val="223"/>
        </w:trPr>
        <w:tc>
          <w:tcPr>
            <w:tcW w:w="60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460" w:type="dxa"/>
            <w:vAlign w:val="bottom"/>
            <w:gridSpan w:val="5"/>
          </w:tcPr>
          <w:p>
            <w:pPr>
              <w:ind w:left="80"/>
              <w:spacing w:after="0"/>
              <w:rPr>
                <w:sz w:val="20"/>
                <w:szCs w:val="20"/>
                <w:color w:val="auto"/>
              </w:rPr>
            </w:pPr>
            <w:r>
              <w:rPr>
                <w:rFonts w:ascii="Arial" w:cs="Arial" w:eastAsia="Arial" w:hAnsi="Arial"/>
                <w:sz w:val="18"/>
                <w:szCs w:val="18"/>
                <w:b w:val="1"/>
                <w:bCs w:val="1"/>
                <w:color w:val="auto"/>
              </w:rPr>
              <w:t>Home Health and Hospice</w:t>
            </w:r>
          </w:p>
        </w:tc>
        <w:tc>
          <w:tcPr>
            <w:tcW w:w="280" w:type="dxa"/>
            <w:vAlign w:val="bottom"/>
          </w:tcPr>
          <w:p>
            <w:pPr>
              <w:spacing w:after="0"/>
              <w:rPr>
                <w:sz w:val="19"/>
                <w:szCs w:val="19"/>
                <w:color w:val="auto"/>
              </w:rPr>
            </w:pPr>
          </w:p>
        </w:tc>
        <w:tc>
          <w:tcPr>
            <w:tcW w:w="2300" w:type="dxa"/>
            <w:vAlign w:val="bottom"/>
            <w:gridSpan w:val="5"/>
          </w:tcPr>
          <w:p>
            <w:pPr>
              <w:jc w:val="right"/>
              <w:ind w:right="670"/>
              <w:spacing w:after="0"/>
              <w:rPr>
                <w:sz w:val="20"/>
                <w:szCs w:val="20"/>
                <w:color w:val="auto"/>
              </w:rPr>
            </w:pPr>
            <w:r>
              <w:rPr>
                <w:rFonts w:ascii="Arial" w:cs="Arial" w:eastAsia="Arial" w:hAnsi="Arial"/>
                <w:sz w:val="18"/>
                <w:szCs w:val="18"/>
                <w:b w:val="1"/>
                <w:bCs w:val="1"/>
                <w:color w:val="auto"/>
              </w:rPr>
              <w:t>Senior Living</w:t>
            </w:r>
          </w:p>
        </w:tc>
      </w:tr>
      <w:tr>
        <w:trPr>
          <w:trHeight w:val="223"/>
        </w:trPr>
        <w:tc>
          <w:tcPr>
            <w:tcW w:w="6000" w:type="dxa"/>
            <w:vAlign w:val="bottom"/>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1040" w:type="dxa"/>
            <w:vAlign w:val="bottom"/>
            <w:tcBorders>
              <w:top w:val="single" w:sz="8" w:color="auto"/>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2022</w:t>
            </w:r>
          </w:p>
        </w:tc>
        <w:tc>
          <w:tcPr>
            <w:tcW w:w="80" w:type="dxa"/>
            <w:vAlign w:val="bottom"/>
            <w:tcBorders>
              <w:top w:val="single" w:sz="8" w:color="auto"/>
              <w:bottom w:val="single" w:sz="8" w:color="auto"/>
            </w:tcBorders>
          </w:tcPr>
          <w:p>
            <w:pPr>
              <w:spacing w:after="0"/>
              <w:rPr>
                <w:sz w:val="19"/>
                <w:szCs w:val="19"/>
                <w:color w:val="auto"/>
              </w:rPr>
            </w:pPr>
          </w:p>
        </w:tc>
        <w:tc>
          <w:tcPr>
            <w:tcW w:w="280" w:type="dxa"/>
            <w:vAlign w:val="bottom"/>
            <w:tcBorders>
              <w:top w:val="single" w:sz="8" w:color="auto"/>
              <w:bottom w:val="single" w:sz="8" w:color="auto"/>
            </w:tcBorders>
          </w:tcPr>
          <w:p>
            <w:pPr>
              <w:spacing w:after="0"/>
              <w:rPr>
                <w:sz w:val="19"/>
                <w:szCs w:val="19"/>
                <w:color w:val="auto"/>
              </w:rPr>
            </w:pPr>
          </w:p>
        </w:tc>
        <w:tc>
          <w:tcPr>
            <w:tcW w:w="960" w:type="dxa"/>
            <w:vAlign w:val="bottom"/>
            <w:tcBorders>
              <w:top w:val="single" w:sz="8" w:color="auto"/>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2021</w:t>
            </w:r>
          </w:p>
        </w:tc>
        <w:tc>
          <w:tcPr>
            <w:tcW w:w="100" w:type="dxa"/>
            <w:vAlign w:val="bottom"/>
            <w:tcBorders>
              <w:bottom w:val="single" w:sz="8" w:color="auto"/>
            </w:tcBorders>
          </w:tcPr>
          <w:p>
            <w:pPr>
              <w:spacing w:after="0"/>
              <w:rPr>
                <w:sz w:val="19"/>
                <w:szCs w:val="19"/>
                <w:color w:val="auto"/>
              </w:rPr>
            </w:pPr>
          </w:p>
        </w:tc>
        <w:tc>
          <w:tcPr>
            <w:tcW w:w="280" w:type="dxa"/>
            <w:vAlign w:val="bottom"/>
            <w:tcBorders>
              <w:top w:val="single" w:sz="8" w:color="auto"/>
              <w:bottom w:val="single" w:sz="8" w:color="auto"/>
            </w:tcBorders>
          </w:tcPr>
          <w:p>
            <w:pPr>
              <w:spacing w:after="0"/>
              <w:rPr>
                <w:sz w:val="19"/>
                <w:szCs w:val="19"/>
                <w:color w:val="auto"/>
              </w:rPr>
            </w:pPr>
          </w:p>
        </w:tc>
        <w:tc>
          <w:tcPr>
            <w:tcW w:w="960" w:type="dxa"/>
            <w:vAlign w:val="bottom"/>
            <w:tcBorders>
              <w:top w:val="single" w:sz="8" w:color="auto"/>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2022</w:t>
            </w:r>
          </w:p>
        </w:tc>
        <w:tc>
          <w:tcPr>
            <w:tcW w:w="100" w:type="dxa"/>
            <w:vAlign w:val="bottom"/>
            <w:tcBorders>
              <w:top w:val="single" w:sz="8" w:color="auto"/>
              <w:bottom w:val="single" w:sz="8" w:color="auto"/>
            </w:tcBorders>
          </w:tcPr>
          <w:p>
            <w:pPr>
              <w:spacing w:after="0"/>
              <w:rPr>
                <w:sz w:val="19"/>
                <w:szCs w:val="19"/>
                <w:color w:val="auto"/>
              </w:rPr>
            </w:pPr>
          </w:p>
        </w:tc>
        <w:tc>
          <w:tcPr>
            <w:tcW w:w="20" w:type="dxa"/>
            <w:vAlign w:val="bottom"/>
            <w:tcBorders>
              <w:top w:val="single" w:sz="8" w:color="auto"/>
              <w:bottom w:val="single" w:sz="8" w:color="auto"/>
            </w:tcBorders>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960" w:type="dxa"/>
            <w:vAlign w:val="bottom"/>
            <w:tcBorders>
              <w:top w:val="single" w:sz="8" w:color="auto"/>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2021</w:t>
            </w:r>
          </w:p>
        </w:tc>
      </w:tr>
      <w:tr>
        <w:trPr>
          <w:trHeight w:val="223"/>
        </w:trPr>
        <w:tc>
          <w:tcPr>
            <w:tcW w:w="60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420" w:type="dxa"/>
            <w:vAlign w:val="bottom"/>
            <w:gridSpan w:val="6"/>
          </w:tcPr>
          <w:p>
            <w:pPr>
              <w:jc w:val="center"/>
              <w:ind w:right="380"/>
              <w:spacing w:after="0"/>
              <w:rPr>
                <w:sz w:val="20"/>
                <w:szCs w:val="20"/>
                <w:color w:val="auto"/>
              </w:rPr>
            </w:pPr>
            <w:r>
              <w:rPr>
                <w:rFonts w:ascii="Arial" w:cs="Arial" w:eastAsia="Arial" w:hAnsi="Arial"/>
                <w:sz w:val="18"/>
                <w:szCs w:val="18"/>
                <w:b w:val="1"/>
                <w:bCs w:val="1"/>
                <w:color w:val="auto"/>
                <w:w w:val="90"/>
              </w:rPr>
              <w:t>(In thousands)</w:t>
            </w:r>
          </w:p>
        </w:tc>
        <w:tc>
          <w:tcPr>
            <w:tcW w:w="260" w:type="dxa"/>
            <w:vAlign w:val="bottom"/>
          </w:tcPr>
          <w:p>
            <w:pPr>
              <w:spacing w:after="0"/>
              <w:rPr>
                <w:sz w:val="19"/>
                <w:szCs w:val="19"/>
                <w:color w:val="auto"/>
              </w:rPr>
            </w:pPr>
          </w:p>
        </w:tc>
        <w:tc>
          <w:tcPr>
            <w:tcW w:w="960" w:type="dxa"/>
            <w:vAlign w:val="bottom"/>
          </w:tcPr>
          <w:p>
            <w:pPr>
              <w:spacing w:after="0"/>
              <w:rPr>
                <w:sz w:val="19"/>
                <w:szCs w:val="19"/>
                <w:color w:val="auto"/>
              </w:rPr>
            </w:pPr>
          </w:p>
        </w:tc>
      </w:tr>
      <w:tr>
        <w:trPr>
          <w:trHeight w:val="229"/>
        </w:trPr>
        <w:tc>
          <w:tcPr>
            <w:tcW w:w="600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Segment Adjusted EBITDAR from Operations</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45,056</w:t>
            </w:r>
          </w:p>
        </w:tc>
        <w:tc>
          <w:tcPr>
            <w:tcW w:w="36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43,131</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27,573</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107"/>
              <w:spacing w:after="0"/>
              <w:rPr>
                <w:sz w:val="20"/>
                <w:szCs w:val="20"/>
                <w:color w:val="auto"/>
              </w:rPr>
            </w:pPr>
            <w:r>
              <w:rPr>
                <w:rFonts w:ascii="Arial" w:cs="Arial" w:eastAsia="Arial" w:hAnsi="Arial"/>
                <w:sz w:val="15"/>
                <w:szCs w:val="15"/>
                <w:color w:val="auto"/>
                <w:w w:val="71"/>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27,692</w:t>
            </w:r>
          </w:p>
        </w:tc>
      </w:tr>
      <w:tr>
        <w:trPr>
          <w:trHeight w:val="230"/>
        </w:trPr>
        <w:tc>
          <w:tcPr>
            <w:tcW w:w="6000" w:type="dxa"/>
            <w:vAlign w:val="bottom"/>
          </w:tcPr>
          <w:p>
            <w:pPr>
              <w:ind w:left="20"/>
              <w:spacing w:after="0"/>
              <w:rPr>
                <w:sz w:val="20"/>
                <w:szCs w:val="20"/>
                <w:color w:val="auto"/>
              </w:rPr>
            </w:pPr>
            <w:r>
              <w:rPr>
                <w:rFonts w:ascii="Arial" w:cs="Arial" w:eastAsia="Arial" w:hAnsi="Arial"/>
                <w:sz w:val="18"/>
                <w:szCs w:val="18"/>
                <w:color w:val="auto"/>
              </w:rPr>
              <w:t>Less: Rent—cost of services</w:t>
            </w:r>
          </w:p>
        </w:tc>
        <w:tc>
          <w:tcPr>
            <w:tcW w:w="2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3,765</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3,611</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24,755</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26,844</w:t>
            </w:r>
          </w:p>
        </w:tc>
      </w:tr>
      <w:tr>
        <w:trPr>
          <w:trHeight w:val="229"/>
        </w:trPr>
        <w:tc>
          <w:tcPr>
            <w:tcW w:w="6000" w:type="dxa"/>
            <w:vAlign w:val="bottom"/>
            <w:shd w:val="clear" w:color="auto" w:fill="CCEEFF"/>
          </w:tcPr>
          <w:p>
            <w:pPr>
              <w:ind w:left="480"/>
              <w:spacing w:after="0"/>
              <w:rPr>
                <w:sz w:val="20"/>
                <w:szCs w:val="20"/>
                <w:color w:val="auto"/>
              </w:rPr>
            </w:pPr>
            <w:r>
              <w:rPr>
                <w:rFonts w:ascii="Arial" w:cs="Arial" w:eastAsia="Arial" w:hAnsi="Arial"/>
                <w:sz w:val="18"/>
                <w:szCs w:val="18"/>
                <w:color w:val="auto"/>
              </w:rPr>
              <w:t>Rent related to start-up and transferred operations</w:t>
            </w:r>
          </w:p>
        </w:tc>
        <w:tc>
          <w:tcPr>
            <w:tcW w:w="20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(161)</w:t>
            </w:r>
          </w:p>
        </w:tc>
        <w:tc>
          <w:tcPr>
            <w:tcW w:w="8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(316)</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(1,173)</w:t>
            </w:r>
          </w:p>
        </w:tc>
        <w:tc>
          <w:tcPr>
            <w:tcW w:w="100" w:type="dxa"/>
            <w:vAlign w:val="bottom"/>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w:t>
            </w:r>
          </w:p>
        </w:tc>
      </w:tr>
      <w:tr>
        <w:trPr>
          <w:trHeight w:val="223"/>
        </w:trPr>
        <w:tc>
          <w:tcPr>
            <w:tcW w:w="6000" w:type="dxa"/>
            <w:vAlign w:val="bottom"/>
          </w:tcPr>
          <w:p>
            <w:pPr>
              <w:ind w:left="20"/>
              <w:spacing w:after="0"/>
              <w:rPr>
                <w:sz w:val="20"/>
                <w:szCs w:val="20"/>
                <w:color w:val="auto"/>
              </w:rPr>
            </w:pPr>
            <w:r>
              <w:rPr>
                <w:rFonts w:ascii="Arial" w:cs="Arial" w:eastAsia="Arial" w:hAnsi="Arial"/>
                <w:sz w:val="18"/>
                <w:szCs w:val="18"/>
                <w:color w:val="auto"/>
              </w:rPr>
              <w:t>Segment Adjusted EBITDA from Operations</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41,452</w:t>
            </w:r>
          </w:p>
        </w:tc>
        <w:tc>
          <w:tcPr>
            <w:tcW w:w="80" w:type="dxa"/>
            <w:vAlign w:val="bottom"/>
          </w:tcPr>
          <w:p>
            <w:pPr>
              <w:spacing w:after="0"/>
              <w:rPr>
                <w:sz w:val="19"/>
                <w:szCs w:val="19"/>
                <w:color w:val="auto"/>
              </w:rPr>
            </w:pP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39,836</w:t>
            </w:r>
          </w:p>
        </w:tc>
        <w:tc>
          <w:tcPr>
            <w:tcW w:w="100" w:type="dxa"/>
            <w:vAlign w:val="bottom"/>
          </w:tcPr>
          <w:p>
            <w:pPr>
              <w:spacing w:after="0"/>
              <w:rPr>
                <w:sz w:val="19"/>
                <w:szCs w:val="19"/>
                <w:color w:val="auto"/>
              </w:rPr>
            </w:pPr>
          </w:p>
        </w:tc>
        <w:tc>
          <w:tcPr>
            <w:tcW w:w="2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3,991</w:t>
            </w:r>
          </w:p>
        </w:tc>
        <w:tc>
          <w:tcPr>
            <w:tcW w:w="10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jc w:val="right"/>
              <w:ind w:right="107"/>
              <w:spacing w:after="0"/>
              <w:rPr>
                <w:sz w:val="20"/>
                <w:szCs w:val="20"/>
                <w:color w:val="auto"/>
              </w:rPr>
            </w:pPr>
            <w:r>
              <w:rPr>
                <w:rFonts w:ascii="Arial" w:cs="Arial" w:eastAsia="Arial" w:hAnsi="Arial"/>
                <w:sz w:val="15"/>
                <w:szCs w:val="15"/>
                <w:color w:val="auto"/>
                <w:w w:val="71"/>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828</w:t>
            </w:r>
          </w:p>
        </w:tc>
      </w:tr>
      <w:tr>
        <w:trPr>
          <w:trHeight w:val="20"/>
        </w:trPr>
        <w:tc>
          <w:tcPr>
            <w:tcW w:w="60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bl>
    <w:p>
      <w:pPr>
        <w:spacing w:after="0" w:line="310"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The following discussion includes references to certain performance and valuation measures, which are non-GAAP financial measures, including Consolidated EBITDA, Consolidated Adjusted EBITDA, Segment Adjusted EBITDA from Operations, and Consolidated Adjusted EBITDAR (collectively, “Non-GAAP Financial Measures”). Non-GAAP Financial Measures are used in addition to, and in conjunction with, results presented in accordance with GAAP and should not be relied upon to the exclusion of GAAP financial measures. Non-GAAP Financial Measures reflect an additional way of viewing aspects of our operations and company that, when viewed with our GAAP results and the accompanying reconciliations to corresponding GAAP financial measures, we believe can provide a more comprehensive understanding of factors and trends affecting our business.</w:t>
      </w:r>
    </w:p>
    <w:p>
      <w:pPr>
        <w:spacing w:after="0" w:line="20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We believe these Non-GAAP Financial Measures are useful to investors and other external users of our financial statements regarding our results of operations because:</w:t>
      </w:r>
    </w:p>
    <w:p>
      <w:pPr>
        <w:spacing w:after="0" w:line="197" w:lineRule="exact"/>
        <w:rPr>
          <w:sz w:val="20"/>
          <w:szCs w:val="20"/>
          <w:color w:val="auto"/>
        </w:rPr>
      </w:pPr>
    </w:p>
    <w:p>
      <w:pPr>
        <w:jc w:val="both"/>
        <w:ind w:left="660" w:hanging="328"/>
        <w:spacing w:after="0" w:line="311" w:lineRule="auto"/>
        <w:tabs>
          <w:tab w:leader="none" w:pos="655" w:val="left"/>
        </w:tabs>
        <w:numPr>
          <w:ilvl w:val="0"/>
          <w:numId w:val="27"/>
        </w:numPr>
        <w:rPr>
          <w:rFonts w:ascii="Arial" w:cs="Arial" w:eastAsia="Arial" w:hAnsi="Arial"/>
          <w:sz w:val="16"/>
          <w:szCs w:val="16"/>
          <w:color w:val="auto"/>
        </w:rPr>
      </w:pPr>
      <w:r>
        <w:rPr>
          <w:rFonts w:ascii="Arial" w:cs="Arial" w:eastAsia="Arial" w:hAnsi="Arial"/>
          <w:sz w:val="16"/>
          <w:szCs w:val="16"/>
          <w:color w:val="auto"/>
        </w:rPr>
        <w:t>they are widely used by investors and analysts in our industry as a supplemental measure to evaluate the overall performance of companies in our industry without regard to items such as interest expense, rent expense and depreciation and amortization, which can vary substantially from company to company depending on the book value of assets, the method by which assets were acquired, and differences in capital structures;</w:t>
      </w:r>
    </w:p>
    <w:p>
      <w:pPr>
        <w:spacing w:after="0" w:line="40" w:lineRule="exact"/>
        <w:rPr>
          <w:rFonts w:ascii="Arial" w:cs="Arial" w:eastAsia="Arial" w:hAnsi="Arial"/>
          <w:sz w:val="16"/>
          <w:szCs w:val="16"/>
          <w:color w:val="auto"/>
        </w:rPr>
      </w:pPr>
    </w:p>
    <w:p>
      <w:pPr>
        <w:ind w:left="660" w:right="20" w:hanging="328"/>
        <w:spacing w:after="0" w:line="277" w:lineRule="auto"/>
        <w:tabs>
          <w:tab w:leader="none" w:pos="655"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they help investors evaluate and compare the results of our operations from period to period by removing the impact of our asset base and capital structure from our operating results; and</w:t>
      </w:r>
    </w:p>
    <w:p>
      <w:pPr>
        <w:spacing w:after="0" w:line="62" w:lineRule="exact"/>
        <w:rPr>
          <w:rFonts w:ascii="Arial" w:cs="Arial" w:eastAsia="Arial" w:hAnsi="Arial"/>
          <w:sz w:val="18"/>
          <w:szCs w:val="18"/>
          <w:color w:val="auto"/>
        </w:rPr>
      </w:pPr>
    </w:p>
    <w:p>
      <w:pPr>
        <w:ind w:left="660" w:hanging="328"/>
        <w:spacing w:after="0" w:line="277" w:lineRule="auto"/>
        <w:tabs>
          <w:tab w:leader="none" w:pos="655" w:val="left"/>
        </w:tabs>
        <w:numPr>
          <w:ilvl w:val="0"/>
          <w:numId w:val="27"/>
        </w:numPr>
        <w:rPr>
          <w:rFonts w:ascii="Arial" w:cs="Arial" w:eastAsia="Arial" w:hAnsi="Arial"/>
          <w:sz w:val="18"/>
          <w:szCs w:val="18"/>
          <w:color w:val="auto"/>
        </w:rPr>
      </w:pPr>
      <w:r>
        <w:rPr>
          <w:rFonts w:ascii="Arial" w:cs="Arial" w:eastAsia="Arial" w:hAnsi="Arial"/>
          <w:sz w:val="18"/>
          <w:szCs w:val="18"/>
          <w:color w:val="auto"/>
        </w:rPr>
        <w:t>Consolidated Adjusted EBITDAR is used by investors and analysts in our industry to value the companies in our industry without regard to capital structures.</w:t>
      </w:r>
    </w:p>
    <w:p>
      <w:pPr>
        <w:spacing w:after="0" w:line="197" w:lineRule="exact"/>
        <w:rPr>
          <w:rFonts w:ascii="Arial" w:cs="Arial" w:eastAsia="Arial" w:hAnsi="Arial"/>
          <w:sz w:val="18"/>
          <w:szCs w:val="18"/>
          <w:color w:val="auto"/>
        </w:rPr>
      </w:pPr>
    </w:p>
    <w:p>
      <w:pPr>
        <w:ind w:left="660"/>
        <w:spacing w:after="0"/>
        <w:rPr>
          <w:rFonts w:ascii="Arial" w:cs="Arial" w:eastAsia="Arial" w:hAnsi="Arial"/>
          <w:sz w:val="18"/>
          <w:szCs w:val="18"/>
          <w:color w:val="auto"/>
        </w:rPr>
      </w:pPr>
      <w:r>
        <w:rPr>
          <w:rFonts w:ascii="Arial" w:cs="Arial" w:eastAsia="Arial" w:hAnsi="Arial"/>
          <w:sz w:val="18"/>
          <w:szCs w:val="18"/>
          <w:color w:val="auto"/>
        </w:rPr>
        <w:t>We use Non-GAAP Financial Measures:</w:t>
      </w:r>
    </w:p>
    <w:p>
      <w:pPr>
        <w:spacing w:after="0" w:line="252" w:lineRule="exact"/>
        <w:rPr>
          <w:rFonts w:ascii="Arial" w:cs="Arial" w:eastAsia="Arial" w:hAnsi="Arial"/>
          <w:sz w:val="18"/>
          <w:szCs w:val="18"/>
          <w:color w:val="auto"/>
        </w:rPr>
      </w:pPr>
    </w:p>
    <w:p>
      <w:pPr>
        <w:ind w:left="660" w:hanging="328"/>
        <w:spacing w:after="0"/>
        <w:tabs>
          <w:tab w:leader="none" w:pos="660" w:val="left"/>
        </w:tabs>
        <w:numPr>
          <w:ilvl w:val="0"/>
          <w:numId w:val="27"/>
        </w:numPr>
        <w:rPr>
          <w:rFonts w:ascii="Arial" w:cs="Arial" w:eastAsia="Arial" w:hAnsi="Arial"/>
          <w:sz w:val="16"/>
          <w:szCs w:val="16"/>
          <w:color w:val="auto"/>
        </w:rPr>
      </w:pPr>
      <w:r>
        <w:rPr>
          <w:rFonts w:ascii="Arial" w:cs="Arial" w:eastAsia="Arial" w:hAnsi="Arial"/>
          <w:sz w:val="16"/>
          <w:szCs w:val="16"/>
          <w:color w:val="auto"/>
        </w:rPr>
        <w:t>as measurements of our operating performance to assist us in comparing our operating performance on a consistent basis from period to period;</w:t>
      </w:r>
    </w:p>
    <w:p>
      <w:pPr>
        <w:spacing w:after="0" w:line="140" w:lineRule="exact"/>
        <w:rPr>
          <w:rFonts w:ascii="Arial" w:cs="Arial" w:eastAsia="Arial" w:hAnsi="Arial"/>
          <w:sz w:val="16"/>
          <w:szCs w:val="16"/>
          <w:color w:val="auto"/>
        </w:rPr>
      </w:pPr>
    </w:p>
    <w:p>
      <w:pPr>
        <w:ind w:left="660" w:hanging="328"/>
        <w:spacing w:after="0"/>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to allocate resources to enhance the financial performance of our business;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to assess the value of a potential acquisition;</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to assess the value of a transformed operation’s performance;</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8" w:name="page39"/>
    <w:bookmarkEnd w:id="38"/>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63" w:lineRule="exact"/>
        <w:rPr>
          <w:sz w:val="20"/>
          <w:szCs w:val="20"/>
          <w:color w:val="auto"/>
        </w:rPr>
      </w:pPr>
    </w:p>
    <w:p>
      <w:pPr>
        <w:ind w:left="660" w:hanging="328"/>
        <w:spacing w:after="0"/>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to evaluate the effectiveness of our operational strategies; and</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to compare our operating performance to that of our competitors.</w:t>
      </w:r>
    </w:p>
    <w:p>
      <w:pPr>
        <w:spacing w:after="0" w:line="252"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We typically use Non-GAAP Financial Measures to compare the operating performance of each operation from period to period. We find that Non-GAAP Financial Measures are useful for this purpose because they do not include such costs as interest expense, income taxes, depreciation and amortization expense, which may vary from period-to-period depending upon various factors, including the method used to finance operations, the date of acquisition of a community or business, and the tax law of the state in which a business unit operates.</w:t>
      </w:r>
    </w:p>
    <w:p>
      <w:pPr>
        <w:spacing w:after="0" w:line="214"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We also establish compensation programs and bonuses for our leaders that are partially based upon the achievement of Consolidated Adjusted EBITDAR targets.</w:t>
      </w:r>
    </w:p>
    <w:p>
      <w:pPr>
        <w:spacing w:after="0" w:line="197"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Non-GAAP Financial Measures have no standardized meaning defined by GAAP. Therefore, our Non-GAAP Financial Measures have limitations as analytical tools, and they should not be considered in isolation, or as a substitute for analysis of our results as reported in accordance with GAAP. Some of these limitations are:</w:t>
      </w:r>
    </w:p>
    <w:p>
      <w:pPr>
        <w:spacing w:after="0" w:line="211" w:lineRule="exact"/>
        <w:rPr>
          <w:sz w:val="20"/>
          <w:szCs w:val="20"/>
          <w:color w:val="auto"/>
        </w:rPr>
      </w:pPr>
    </w:p>
    <w:p>
      <w:pPr>
        <w:ind w:left="660" w:hanging="328"/>
        <w:spacing w:after="0"/>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they do not reflect our current or future cash requirements for capital expenditures or contractual commitments;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they do not reflect changes in, or cash requirements for, our working capital needs;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29"/>
        </w:numPr>
        <w:rPr>
          <w:rFonts w:ascii="Arial" w:cs="Arial" w:eastAsia="Arial" w:hAnsi="Arial"/>
          <w:sz w:val="17"/>
          <w:szCs w:val="17"/>
          <w:color w:val="auto"/>
        </w:rPr>
      </w:pPr>
      <w:r>
        <w:rPr>
          <w:rFonts w:ascii="Arial" w:cs="Arial" w:eastAsia="Arial" w:hAnsi="Arial"/>
          <w:sz w:val="17"/>
          <w:szCs w:val="17"/>
          <w:color w:val="auto"/>
        </w:rPr>
        <w:t>they do not reflect the net interest expense, or the cash requirements necessary to service interest or principal payments, on our debt;</w:t>
      </w:r>
    </w:p>
    <w:p>
      <w:pPr>
        <w:spacing w:after="0" w:line="128" w:lineRule="exact"/>
        <w:rPr>
          <w:rFonts w:ascii="Arial" w:cs="Arial" w:eastAsia="Arial" w:hAnsi="Arial"/>
          <w:sz w:val="17"/>
          <w:szCs w:val="17"/>
          <w:color w:val="auto"/>
        </w:rPr>
      </w:pPr>
    </w:p>
    <w:p>
      <w:pPr>
        <w:ind w:left="660" w:hanging="328"/>
        <w:spacing w:after="0" w:line="277" w:lineRule="auto"/>
        <w:tabs>
          <w:tab w:leader="none" w:pos="655" w:val="left"/>
        </w:tabs>
        <w:numPr>
          <w:ilvl w:val="0"/>
          <w:numId w:val="29"/>
        </w:numPr>
        <w:rPr>
          <w:rFonts w:ascii="Arial" w:cs="Arial" w:eastAsia="Arial" w:hAnsi="Arial"/>
          <w:sz w:val="18"/>
          <w:szCs w:val="18"/>
          <w:color w:val="auto"/>
        </w:rPr>
      </w:pPr>
      <w:r>
        <w:rPr>
          <w:rFonts w:ascii="Arial" w:cs="Arial" w:eastAsia="Arial" w:hAnsi="Arial"/>
          <w:sz w:val="18"/>
          <w:szCs w:val="18"/>
          <w:color w:val="auto"/>
        </w:rPr>
        <w:t>in the case of Consolidated Adjusted EBITDAR, it does not reflect rent expenses, which are normal and recurring operating expenses that are necessary to operate our leased operations;</w:t>
      </w:r>
    </w:p>
    <w:p>
      <w:pPr>
        <w:spacing w:after="0" w:line="62" w:lineRule="exact"/>
        <w:rPr>
          <w:rFonts w:ascii="Arial" w:cs="Arial" w:eastAsia="Arial" w:hAnsi="Arial"/>
          <w:sz w:val="18"/>
          <w:szCs w:val="18"/>
          <w:color w:val="auto"/>
        </w:rPr>
      </w:pPr>
    </w:p>
    <w:p>
      <w:pPr>
        <w:ind w:left="660" w:hanging="328"/>
        <w:spacing w:after="0"/>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they do not reflect any income tax payments we may be required to make;</w:t>
      </w:r>
    </w:p>
    <w:p>
      <w:pPr>
        <w:spacing w:after="0" w:line="117" w:lineRule="exact"/>
        <w:rPr>
          <w:rFonts w:ascii="Arial" w:cs="Arial" w:eastAsia="Arial" w:hAnsi="Arial"/>
          <w:sz w:val="18"/>
          <w:szCs w:val="18"/>
          <w:color w:val="auto"/>
        </w:rPr>
      </w:pPr>
    </w:p>
    <w:p>
      <w:pPr>
        <w:ind w:left="660" w:hanging="328"/>
        <w:spacing w:after="0" w:line="277" w:lineRule="auto"/>
        <w:tabs>
          <w:tab w:leader="none" w:pos="655" w:val="left"/>
        </w:tabs>
        <w:numPr>
          <w:ilvl w:val="0"/>
          <w:numId w:val="29"/>
        </w:numPr>
        <w:rPr>
          <w:rFonts w:ascii="Arial" w:cs="Arial" w:eastAsia="Arial" w:hAnsi="Arial"/>
          <w:sz w:val="18"/>
          <w:szCs w:val="18"/>
          <w:color w:val="auto"/>
        </w:rPr>
      </w:pPr>
      <w:r>
        <w:rPr>
          <w:rFonts w:ascii="Arial" w:cs="Arial" w:eastAsia="Arial" w:hAnsi="Arial"/>
          <w:sz w:val="18"/>
          <w:szCs w:val="18"/>
          <w:color w:val="auto"/>
        </w:rPr>
        <w:t>although depreciation and amortization are non-cash charges, the assets being depreciated and amortized will often have to be replaced in the future, and do not reflect any cash requirements for such replacements; and</w:t>
      </w:r>
    </w:p>
    <w:p>
      <w:pPr>
        <w:spacing w:after="0" w:line="62" w:lineRule="exact"/>
        <w:rPr>
          <w:rFonts w:ascii="Arial" w:cs="Arial" w:eastAsia="Arial" w:hAnsi="Arial"/>
          <w:sz w:val="18"/>
          <w:szCs w:val="18"/>
          <w:color w:val="auto"/>
        </w:rPr>
      </w:pPr>
    </w:p>
    <w:p>
      <w:pPr>
        <w:ind w:left="660" w:hanging="328"/>
        <w:spacing w:after="0" w:line="277" w:lineRule="auto"/>
        <w:tabs>
          <w:tab w:leader="none" w:pos="655" w:val="left"/>
        </w:tabs>
        <w:numPr>
          <w:ilvl w:val="0"/>
          <w:numId w:val="29"/>
        </w:numPr>
        <w:rPr>
          <w:rFonts w:ascii="Arial" w:cs="Arial" w:eastAsia="Arial" w:hAnsi="Arial"/>
          <w:sz w:val="18"/>
          <w:szCs w:val="18"/>
          <w:color w:val="auto"/>
        </w:rPr>
      </w:pPr>
      <w:r>
        <w:rPr>
          <w:rFonts w:ascii="Arial" w:cs="Arial" w:eastAsia="Arial" w:hAnsi="Arial"/>
          <w:sz w:val="18"/>
          <w:szCs w:val="18"/>
          <w:color w:val="auto"/>
        </w:rPr>
        <w:t>other companies in our industry may calculate the same Non-GAAP Financial Measures differently than we do, which may limit their usefulness as comparative measures.</w:t>
      </w:r>
    </w:p>
    <w:p>
      <w:pPr>
        <w:spacing w:after="0" w:line="197"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We compensate for these limitations by using Non-GAAP Financial Measures only to supplement net income on a basis prepared in accordance with GAAP in order to provide a more complete understanding of the factors and trends affecting our business.</w:t>
      </w:r>
    </w:p>
    <w:p>
      <w:pPr>
        <w:spacing w:after="0" w:line="197"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We strongly encourage investors to review the Interim Financial Statements, included in this Quarterly Report in their entirety and to not rely on any single financial measure. Because these Non-GAAP Financial Measures are not standardized, it may not be possible to compare these financial measures with other companies’ non-GAAP financial measures having the same or similar names. These Non-GAAP Financial Measures should not be considered a substitute for, nor superior to, financial results and measures determined or calculated in accordance with GAAP. We strongly urge you to review the reconciliation of income from operations to the Non-GAAP Financial Measures in the table presented above, along with the Interim Financial Statements and related notes included elsewhere in this Quarterly Report.</w:t>
      </w:r>
    </w:p>
    <w:p>
      <w:pPr>
        <w:spacing w:after="0" w:line="219" w:lineRule="exact"/>
        <w:rPr>
          <w:sz w:val="20"/>
          <w:szCs w:val="20"/>
          <w:color w:val="auto"/>
        </w:rPr>
      </w:pPr>
    </w:p>
    <w:p>
      <w:pPr>
        <w:ind w:left="660"/>
        <w:spacing w:after="0"/>
        <w:rPr>
          <w:sz w:val="20"/>
          <w:szCs w:val="20"/>
          <w:color w:val="auto"/>
        </w:rPr>
      </w:pPr>
      <w:r>
        <w:rPr>
          <w:rFonts w:ascii="Arial" w:cs="Arial" w:eastAsia="Arial" w:hAnsi="Arial"/>
          <w:sz w:val="16"/>
          <w:szCs w:val="16"/>
          <w:color w:val="auto"/>
        </w:rPr>
        <w:t>We believe the following Non-GAAP Financial Measures are useful to investors as key operating performance measures and valuation measures:</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Performance Measures: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Consolidated EBITDA</w:t>
      </w:r>
    </w:p>
    <w:p>
      <w:pPr>
        <w:spacing w:after="0" w:line="252" w:lineRule="exact"/>
        <w:rPr>
          <w:sz w:val="20"/>
          <w:szCs w:val="20"/>
          <w:color w:val="auto"/>
        </w:rPr>
      </w:pPr>
    </w:p>
    <w:p>
      <w:pPr>
        <w:jc w:val="both"/>
        <w:ind w:right="20" w:firstLine="648"/>
        <w:spacing w:after="0" w:line="263" w:lineRule="auto"/>
        <w:rPr>
          <w:sz w:val="20"/>
          <w:szCs w:val="20"/>
          <w:color w:val="auto"/>
        </w:rPr>
      </w:pPr>
      <w:r>
        <w:rPr>
          <w:rFonts w:ascii="Arial" w:cs="Arial" w:eastAsia="Arial" w:hAnsi="Arial"/>
          <w:sz w:val="18"/>
          <w:szCs w:val="18"/>
          <w:color w:val="auto"/>
        </w:rPr>
        <w:t>We believe Consolidated EBITDA is useful to investors in evaluating our operating performance because it helps investors evaluate and compare the results of our operations from period to period by removing the impact of our asset base (depreciation and amortization expense) from our operating results.</w:t>
      </w:r>
    </w:p>
    <w:p>
      <w:pPr>
        <w:spacing w:after="0" w:line="211" w:lineRule="exact"/>
        <w:rPr>
          <w:sz w:val="20"/>
          <w:szCs w:val="20"/>
          <w:color w:val="auto"/>
        </w:rPr>
      </w:pPr>
    </w:p>
    <w:p>
      <w:pPr>
        <w:ind w:left="660"/>
        <w:spacing w:after="0"/>
        <w:rPr>
          <w:sz w:val="20"/>
          <w:szCs w:val="20"/>
          <w:color w:val="auto"/>
        </w:rPr>
      </w:pPr>
      <w:r>
        <w:rPr>
          <w:rFonts w:ascii="Arial" w:cs="Arial" w:eastAsia="Arial" w:hAnsi="Arial"/>
          <w:sz w:val="17"/>
          <w:szCs w:val="17"/>
          <w:color w:val="auto"/>
        </w:rPr>
        <w:t>We calculate Consolidated EBITDA as net income, adjusted for net income attributable to noncontrolling interest prior to the Spin-Off, before</w:t>
      </w:r>
    </w:p>
    <w:p>
      <w:pPr>
        <w:spacing w:after="0" w:line="35" w:lineRule="exact"/>
        <w:rPr>
          <w:sz w:val="20"/>
          <w:szCs w:val="20"/>
          <w:color w:val="auto"/>
        </w:rPr>
      </w:pPr>
    </w:p>
    <w:p>
      <w:pPr>
        <w:ind w:left="260" w:hanging="252"/>
        <w:spacing w:after="0"/>
        <w:tabs>
          <w:tab w:leader="none" w:pos="2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interest expense (b) provision for income taxes and (c) depreciation and amortization.</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391" w:lineRule="exact"/>
        <w:rPr>
          <w:rFonts w:ascii="Arial" w:cs="Arial" w:eastAsia="Arial" w:hAnsi="Arial"/>
          <w:sz w:val="18"/>
          <w:szCs w:val="18"/>
          <w:color w:val="auto"/>
        </w:rPr>
      </w:pPr>
    </w:p>
    <w:p>
      <w:pPr>
        <w:ind w:left="5540"/>
        <w:spacing w:after="0"/>
        <w:rPr>
          <w:rFonts w:ascii="Arial" w:cs="Arial" w:eastAsia="Arial" w:hAnsi="Arial"/>
          <w:sz w:val="18"/>
          <w:szCs w:val="18"/>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9" w:name="page40"/>
    <w:bookmarkEnd w:id="39"/>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6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Consolidated Adjusted EBITDA</w:t>
      </w:r>
    </w:p>
    <w:p>
      <w:pPr>
        <w:spacing w:after="0" w:line="252"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We adjust Consolidated EBITDA when evaluating our performance because we believe that the exclusion of certain additional items described below provides useful supplemental information to investors regarding our ongoing operating performance. We believe that the presentation of Consolidated Adjusted EBITDA, when considered with Consolidated EBITDA and GAAP net income is beneficial to an investor’s complete understanding of our operating performance.</w:t>
      </w:r>
    </w:p>
    <w:p>
      <w:pPr>
        <w:spacing w:after="0" w:line="214"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We calculate Consolidated Adjusted EBITDA by adjusting Consolidated EBITDA to exclude the effects of non-core business items, which for the reported periods includes, to the extent applicable:</w:t>
      </w:r>
    </w:p>
    <w:p>
      <w:pPr>
        <w:spacing w:after="0" w:line="197" w:lineRule="exact"/>
        <w:rPr>
          <w:sz w:val="20"/>
          <w:szCs w:val="20"/>
          <w:color w:val="auto"/>
        </w:rPr>
      </w:pPr>
    </w:p>
    <w:p>
      <w:pPr>
        <w:ind w:left="660" w:hanging="328"/>
        <w:spacing w:after="0"/>
        <w:tabs>
          <w:tab w:leader="none" w:pos="6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costs at start-up operations;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share-based compensation expense;</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acquisition related costs and credit allowances;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redundant or nonrecurring costs incurred as part of the Transition Services Agreement;</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loss related to senior living operations and assets transferred to Ensign; and</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unusual or non-recurring.</w:t>
      </w:r>
    </w:p>
    <w:p>
      <w:pPr>
        <w:spacing w:after="0" w:line="360"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Segment Adjusted EBITDA from Operations</w:t>
      </w:r>
    </w:p>
    <w:p>
      <w:pPr>
        <w:spacing w:after="0" w:line="252"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We calculate Segment Adjusted EBITDA from Operations by adjusting Segment Adjusted EBITDAR from Operations to include rent-cost of services. We believe that the inclusion of rent-cost of services provides useful supplemental information to investors regarding our ongoing operating performance for each segment.</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Valuation Measure</w:t>
      </w:r>
      <w:r>
        <w:rPr>
          <w:rFonts w:ascii="Arial" w:cs="Arial" w:eastAsia="Arial" w:hAnsi="Arial"/>
          <w:sz w:val="18"/>
          <w:szCs w:val="18"/>
          <w:b w:val="1"/>
          <w:bCs w:val="1"/>
          <w:color w:val="auto"/>
        </w:rPr>
        <w:t>:</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Consolidated Adjusted EBITDAR</w:t>
      </w:r>
    </w:p>
    <w:p>
      <w:pPr>
        <w:spacing w:after="0" w:line="252"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We use Consolidated Adjusted EBITDAR as one measure in determining the value of prospective acquisitions. It is also a measure commonly used by us, research analysts and investors to compare the enterprise value of different companies in the healthcare industry, without regard to differences in capital structures. Additionally, we believe the use of Consolidated Adjusted EBITDAR allows us, research analysts and investors to compare operational results of companies with operating and finance leases. A significant portion of finance lease expenditures are recorded in interest, whereas operating lease expenditures are recorded in rent expense.</w:t>
      </w:r>
    </w:p>
    <w:p>
      <w:pPr>
        <w:spacing w:after="0" w:line="215"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This measure is not displayed as a performance measure as it excludes rent expense, which is a normal and recurring operating expense and, as such, does not reflect our cash requirements for leasing commitments. Our presentation of Consolidated Adjusted EBITDAR should not be construed as a financial performance measure.</w:t>
      </w:r>
    </w:p>
    <w:p>
      <w:pPr>
        <w:spacing w:after="0" w:line="211"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The adjustments made and previously described in the computation of Consolidated Adjusted EBITDA are also made when computing Consolidated Adjusted EBITDAR. We calculate Consolidated Adjusted EBITDAR by excluding rent-cost of services and rent related to start up operations from Consolidated Adjusted EBITDA.</w:t>
      </w: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0" w:name="page41"/>
    <w:bookmarkEnd w:id="40"/>
    <w:tbl>
      <w:tblPr>
        <w:tblLayout w:type="fixed"/>
        <w:tblInd w:w="0" w:type="dxa"/>
        <w:tblCellMar>
          <w:top w:w="0" w:type="dxa"/>
          <w:left w:w="0" w:type="dxa"/>
          <w:bottom w:w="0" w:type="dxa"/>
          <w:right w:w="0" w:type="dxa"/>
        </w:tblCellMar>
      </w:tblPr>
      <w:tr>
        <w:trPr>
          <w:trHeight w:val="207"/>
        </w:trPr>
        <w:tc>
          <w:tcPr>
            <w:tcW w:w="4700" w:type="dxa"/>
            <w:vAlign w:val="bottom"/>
            <w:gridSpan w:val="2"/>
          </w:tcPr>
          <w:p>
            <w:pPr>
              <w:spacing w:after="0"/>
              <w:rPr>
                <w:sz w:val="20"/>
                <w:szCs w:val="20"/>
                <w:color w:val="auto"/>
              </w:rPr>
            </w:pPr>
            <w:r>
              <w:rPr>
                <w:rFonts w:ascii="Arial" w:cs="Arial" w:eastAsia="Arial" w:hAnsi="Arial"/>
                <w:sz w:val="18"/>
                <w:szCs w:val="18"/>
                <w:color w:val="0000FF"/>
              </w:rPr>
              <w:t>Table of Contents</w:t>
            </w:r>
          </w:p>
        </w:tc>
        <w:tc>
          <w:tcPr>
            <w:tcW w:w="4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40" w:type="dxa"/>
            <w:vAlign w:val="bottom"/>
          </w:tcPr>
          <w:p>
            <w:pPr>
              <w:spacing w:after="0"/>
              <w:rPr>
                <w:sz w:val="17"/>
                <w:szCs w:val="17"/>
                <w:color w:val="auto"/>
              </w:rPr>
            </w:pPr>
          </w:p>
        </w:tc>
      </w:tr>
      <w:tr>
        <w:trPr>
          <w:trHeight w:val="20"/>
        </w:trPr>
        <w:tc>
          <w:tcPr>
            <w:tcW w:w="1280" w:type="dxa"/>
            <w:vAlign w:val="bottom"/>
            <w:shd w:val="clear" w:color="auto" w:fill="0000FF"/>
          </w:tcPr>
          <w:p>
            <w:pPr>
              <w:spacing w:after="0" w:line="20" w:lineRule="exact"/>
              <w:rPr>
                <w:sz w:val="1"/>
                <w:szCs w:val="1"/>
                <w:color w:val="auto"/>
              </w:rPr>
            </w:pPr>
          </w:p>
        </w:tc>
        <w:tc>
          <w:tcPr>
            <w:tcW w:w="4900" w:type="dxa"/>
            <w:vAlign w:val="bottom"/>
            <w:gridSpan w:val="4"/>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r>
      <w:tr>
        <w:trPr>
          <w:trHeight w:val="790"/>
        </w:trPr>
        <w:tc>
          <w:tcPr>
            <w:tcW w:w="8020" w:type="dxa"/>
            <w:vAlign w:val="bottom"/>
            <w:gridSpan w:val="8"/>
          </w:tcPr>
          <w:p>
            <w:pPr>
              <w:spacing w:after="0"/>
              <w:rPr>
                <w:sz w:val="20"/>
                <w:szCs w:val="20"/>
                <w:color w:val="auto"/>
              </w:rPr>
            </w:pPr>
            <w:r>
              <w:rPr>
                <w:rFonts w:ascii="Arial" w:cs="Arial" w:eastAsia="Arial" w:hAnsi="Arial"/>
                <w:sz w:val="18"/>
                <w:szCs w:val="18"/>
                <w:b w:val="1"/>
                <w:bCs w:val="1"/>
                <w:i w:val="1"/>
                <w:iCs w:val="1"/>
                <w:color w:val="auto"/>
                <w:w w:val="93"/>
              </w:rPr>
              <w:t>Three Months Ended September 30, 2022 Compared to the Three Months Ended September 30, 2021</w:t>
            </w:r>
          </w:p>
        </w:tc>
        <w:tc>
          <w:tcPr>
            <w:tcW w:w="6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40" w:type="dxa"/>
            <w:vAlign w:val="bottom"/>
          </w:tcPr>
          <w:p>
            <w:pPr>
              <w:spacing w:after="0"/>
              <w:rPr>
                <w:sz w:val="24"/>
                <w:szCs w:val="24"/>
                <w:color w:val="auto"/>
              </w:rPr>
            </w:pPr>
          </w:p>
        </w:tc>
      </w:tr>
      <w:tr>
        <w:trPr>
          <w:trHeight w:val="432"/>
        </w:trPr>
        <w:tc>
          <w:tcPr>
            <w:tcW w:w="4700" w:type="dxa"/>
            <w:vAlign w:val="bottom"/>
            <w:gridSpan w:val="2"/>
          </w:tcPr>
          <w:p>
            <w:pPr>
              <w:spacing w:after="0"/>
              <w:rPr>
                <w:sz w:val="20"/>
                <w:szCs w:val="20"/>
                <w:color w:val="auto"/>
              </w:rPr>
            </w:pPr>
            <w:r>
              <w:rPr>
                <w:rFonts w:ascii="Arial" w:cs="Arial" w:eastAsia="Arial" w:hAnsi="Arial"/>
                <w:sz w:val="18"/>
                <w:szCs w:val="18"/>
                <w:b w:val="1"/>
                <w:bCs w:val="1"/>
                <w:i w:val="1"/>
                <w:iCs w:val="1"/>
                <w:color w:val="auto"/>
              </w:rPr>
              <w:t>Revenue</w:t>
            </w:r>
          </w:p>
        </w:tc>
        <w:tc>
          <w:tcPr>
            <w:tcW w:w="4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40" w:type="dxa"/>
            <w:vAlign w:val="bottom"/>
          </w:tcPr>
          <w:p>
            <w:pPr>
              <w:spacing w:after="0"/>
              <w:rPr>
                <w:sz w:val="24"/>
                <w:szCs w:val="24"/>
                <w:color w:val="auto"/>
              </w:rPr>
            </w:pPr>
          </w:p>
        </w:tc>
      </w:tr>
      <w:tr>
        <w:trPr>
          <w:trHeight w:val="257"/>
        </w:trPr>
        <w:tc>
          <w:tcPr>
            <w:tcW w:w="1280" w:type="dxa"/>
            <w:vAlign w:val="bottom"/>
          </w:tcPr>
          <w:p>
            <w:pPr>
              <w:spacing w:after="0"/>
              <w:rPr>
                <w:sz w:val="22"/>
                <w:szCs w:val="22"/>
                <w:color w:val="auto"/>
              </w:rPr>
            </w:pPr>
          </w:p>
        </w:tc>
        <w:tc>
          <w:tcPr>
            <w:tcW w:w="3420" w:type="dxa"/>
            <w:vAlign w:val="bottom"/>
          </w:tcPr>
          <w:p>
            <w:pPr>
              <w:spacing w:after="0"/>
              <w:rPr>
                <w:sz w:val="22"/>
                <w:szCs w:val="22"/>
                <w:color w:val="auto"/>
              </w:rPr>
            </w:pPr>
          </w:p>
        </w:tc>
        <w:tc>
          <w:tcPr>
            <w:tcW w:w="48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spacing w:after="0"/>
              <w:rPr>
                <w:sz w:val="22"/>
                <w:szCs w:val="22"/>
                <w:color w:val="auto"/>
              </w:rPr>
            </w:pPr>
          </w:p>
        </w:tc>
        <w:tc>
          <w:tcPr>
            <w:tcW w:w="6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3160" w:type="dxa"/>
            <w:vAlign w:val="bottom"/>
            <w:tcBorders>
              <w:bottom w:val="single" w:sz="8" w:color="auto"/>
            </w:tcBorders>
            <w:gridSpan w:val="4"/>
          </w:tcPr>
          <w:p>
            <w:pPr>
              <w:jc w:val="right"/>
              <w:spacing w:after="0"/>
              <w:rPr>
                <w:sz w:val="20"/>
                <w:szCs w:val="20"/>
                <w:color w:val="auto"/>
              </w:rPr>
            </w:pPr>
            <w:r>
              <w:rPr>
                <w:rFonts w:ascii="Arial" w:cs="Arial" w:eastAsia="Arial" w:hAnsi="Arial"/>
                <w:sz w:val="18"/>
                <w:szCs w:val="18"/>
                <w:b w:val="1"/>
                <w:bCs w:val="1"/>
                <w:color w:val="auto"/>
                <w:w w:val="99"/>
              </w:rPr>
              <w:t>Three Months Ended September 30,</w:t>
            </w:r>
          </w:p>
        </w:tc>
        <w:tc>
          <w:tcPr>
            <w:tcW w:w="6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640" w:type="dxa"/>
            <w:vAlign w:val="bottom"/>
            <w:tcBorders>
              <w:bottom w:val="single" w:sz="8" w:color="auto"/>
            </w:tcBorders>
          </w:tcPr>
          <w:p>
            <w:pPr>
              <w:spacing w:after="0"/>
              <w:rPr>
                <w:sz w:val="22"/>
                <w:szCs w:val="22"/>
                <w:color w:val="auto"/>
              </w:rPr>
            </w:pPr>
          </w:p>
        </w:tc>
      </w:tr>
      <w:tr>
        <w:trPr>
          <w:trHeight w:val="223"/>
        </w:trPr>
        <w:tc>
          <w:tcPr>
            <w:tcW w:w="1280" w:type="dxa"/>
            <w:vAlign w:val="bottom"/>
          </w:tcPr>
          <w:p>
            <w:pPr>
              <w:spacing w:after="0"/>
              <w:rPr>
                <w:sz w:val="19"/>
                <w:szCs w:val="19"/>
                <w:color w:val="auto"/>
              </w:rPr>
            </w:pPr>
          </w:p>
        </w:tc>
        <w:tc>
          <w:tcPr>
            <w:tcW w:w="3420" w:type="dxa"/>
            <w:vAlign w:val="bottom"/>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spacing w:after="0"/>
              <w:rPr>
                <w:sz w:val="19"/>
                <w:szCs w:val="19"/>
                <w:color w:val="auto"/>
              </w:rPr>
            </w:pPr>
          </w:p>
        </w:tc>
        <w:tc>
          <w:tcPr>
            <w:tcW w:w="1800" w:type="dxa"/>
            <w:vAlign w:val="bottom"/>
            <w:tcBorders>
              <w:bottom w:val="single" w:sz="8" w:color="auto"/>
            </w:tcBorders>
            <w:gridSpan w:val="3"/>
          </w:tcPr>
          <w:p>
            <w:pPr>
              <w:jc w:val="right"/>
              <w:ind w:right="1330"/>
              <w:spacing w:after="0"/>
              <w:rPr>
                <w:sz w:val="20"/>
                <w:szCs w:val="20"/>
                <w:color w:val="auto"/>
              </w:rPr>
            </w:pPr>
            <w:r>
              <w:rPr>
                <w:rFonts w:ascii="Arial" w:cs="Arial" w:eastAsia="Arial" w:hAnsi="Arial"/>
                <w:sz w:val="18"/>
                <w:szCs w:val="18"/>
                <w:b w:val="1"/>
                <w:bCs w:val="1"/>
                <w:color w:val="auto"/>
                <w:w w:val="89"/>
              </w:rPr>
              <w:t>2022</w:t>
            </w:r>
          </w:p>
        </w:tc>
        <w:tc>
          <w:tcPr>
            <w:tcW w:w="100" w:type="dxa"/>
            <w:vAlign w:val="bottom"/>
          </w:tcPr>
          <w:p>
            <w:pPr>
              <w:spacing w:after="0"/>
              <w:rPr>
                <w:sz w:val="19"/>
                <w:szCs w:val="19"/>
                <w:color w:val="auto"/>
              </w:rPr>
            </w:pPr>
          </w:p>
        </w:tc>
        <w:tc>
          <w:tcPr>
            <w:tcW w:w="68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spacing w:after="0"/>
              <w:rPr>
                <w:sz w:val="19"/>
                <w:szCs w:val="19"/>
                <w:color w:val="auto"/>
              </w:rPr>
            </w:pPr>
          </w:p>
        </w:tc>
        <w:tc>
          <w:tcPr>
            <w:tcW w:w="1800" w:type="dxa"/>
            <w:vAlign w:val="bottom"/>
            <w:tcBorders>
              <w:bottom w:val="single" w:sz="8" w:color="auto"/>
            </w:tcBorders>
            <w:gridSpan w:val="3"/>
          </w:tcPr>
          <w:p>
            <w:pPr>
              <w:jc w:val="right"/>
              <w:ind w:right="1330"/>
              <w:spacing w:after="0"/>
              <w:rPr>
                <w:sz w:val="20"/>
                <w:szCs w:val="20"/>
                <w:color w:val="auto"/>
              </w:rPr>
            </w:pPr>
            <w:r>
              <w:rPr>
                <w:rFonts w:ascii="Arial" w:cs="Arial" w:eastAsia="Arial" w:hAnsi="Arial"/>
                <w:sz w:val="18"/>
                <w:szCs w:val="18"/>
                <w:b w:val="1"/>
                <w:bCs w:val="1"/>
                <w:color w:val="auto"/>
                <w:w w:val="89"/>
              </w:rPr>
              <w:t>2021</w:t>
            </w:r>
          </w:p>
        </w:tc>
      </w:tr>
      <w:tr>
        <w:trPr>
          <w:trHeight w:val="223"/>
        </w:trPr>
        <w:tc>
          <w:tcPr>
            <w:tcW w:w="1280" w:type="dxa"/>
            <w:vAlign w:val="bottom"/>
          </w:tcPr>
          <w:p>
            <w:pPr>
              <w:spacing w:after="0"/>
              <w:rPr>
                <w:sz w:val="19"/>
                <w:szCs w:val="19"/>
                <w:color w:val="auto"/>
              </w:rPr>
            </w:pPr>
          </w:p>
        </w:tc>
        <w:tc>
          <w:tcPr>
            <w:tcW w:w="3420" w:type="dxa"/>
            <w:vAlign w:val="bottom"/>
          </w:tcPr>
          <w:p>
            <w:pPr>
              <w:spacing w:after="0"/>
              <w:rPr>
                <w:sz w:val="19"/>
                <w:szCs w:val="19"/>
                <w:color w:val="auto"/>
              </w:rPr>
            </w:pPr>
          </w:p>
        </w:tc>
        <w:tc>
          <w:tcPr>
            <w:tcW w:w="142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w w:val="96"/>
              </w:rPr>
              <w:t>Revenue Dollars</w:t>
            </w:r>
          </w:p>
        </w:tc>
        <w:tc>
          <w:tcPr>
            <w:tcW w:w="6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89"/>
              </w:rPr>
              <w:t>Revenue Percentage</w:t>
            </w:r>
          </w:p>
        </w:tc>
        <w:tc>
          <w:tcPr>
            <w:tcW w:w="10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w w:val="96"/>
              </w:rPr>
              <w:t>Revenue Dollars</w:t>
            </w:r>
          </w:p>
        </w:tc>
        <w:tc>
          <w:tcPr>
            <w:tcW w:w="6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89"/>
              </w:rPr>
              <w:t>Revenue Percentage</w:t>
            </w:r>
          </w:p>
        </w:tc>
      </w:tr>
      <w:tr>
        <w:trPr>
          <w:trHeight w:val="223"/>
        </w:trPr>
        <w:tc>
          <w:tcPr>
            <w:tcW w:w="1280" w:type="dxa"/>
            <w:vAlign w:val="bottom"/>
          </w:tcPr>
          <w:p>
            <w:pPr>
              <w:spacing w:after="0"/>
              <w:rPr>
                <w:sz w:val="19"/>
                <w:szCs w:val="19"/>
                <w:color w:val="auto"/>
              </w:rPr>
            </w:pPr>
          </w:p>
        </w:tc>
        <w:tc>
          <w:tcPr>
            <w:tcW w:w="34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20" w:type="dxa"/>
            <w:vAlign w:val="bottom"/>
            <w:gridSpan w:val="3"/>
          </w:tcPr>
          <w:p>
            <w:pPr>
              <w:jc w:val="right"/>
              <w:ind w:right="70"/>
              <w:spacing w:after="0"/>
              <w:rPr>
                <w:sz w:val="20"/>
                <w:szCs w:val="20"/>
                <w:color w:val="auto"/>
              </w:rPr>
            </w:pPr>
            <w:r>
              <w:rPr>
                <w:rFonts w:ascii="Arial" w:cs="Arial" w:eastAsia="Arial" w:hAnsi="Arial"/>
                <w:sz w:val="18"/>
                <w:szCs w:val="18"/>
                <w:b w:val="1"/>
                <w:bCs w:val="1"/>
                <w:color w:val="auto"/>
              </w:rPr>
              <w:t>(In thousands)</w:t>
            </w:r>
          </w:p>
        </w:tc>
        <w:tc>
          <w:tcPr>
            <w:tcW w:w="7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40" w:type="dxa"/>
            <w:vAlign w:val="bottom"/>
          </w:tcPr>
          <w:p>
            <w:pPr>
              <w:spacing w:after="0"/>
              <w:rPr>
                <w:sz w:val="19"/>
                <w:szCs w:val="19"/>
                <w:color w:val="auto"/>
              </w:rPr>
            </w:pPr>
          </w:p>
        </w:tc>
      </w:tr>
      <w:tr>
        <w:trPr>
          <w:trHeight w:val="229"/>
        </w:trPr>
        <w:tc>
          <w:tcPr>
            <w:tcW w:w="47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Home health and hospice services</w:t>
            </w:r>
          </w:p>
        </w:tc>
        <w:tc>
          <w:tcPr>
            <w:tcW w:w="48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40" w:type="dxa"/>
            <w:vAlign w:val="bottom"/>
            <w:shd w:val="clear" w:color="auto" w:fill="CCEEFF"/>
          </w:tcPr>
          <w:p>
            <w:pPr>
              <w:spacing w:after="0"/>
              <w:rPr>
                <w:sz w:val="19"/>
                <w:szCs w:val="19"/>
                <w:color w:val="auto"/>
              </w:rPr>
            </w:pPr>
          </w:p>
        </w:tc>
      </w:tr>
      <w:tr>
        <w:trPr>
          <w:trHeight w:val="230"/>
        </w:trPr>
        <w:tc>
          <w:tcPr>
            <w:tcW w:w="4700" w:type="dxa"/>
            <w:vAlign w:val="bottom"/>
            <w:gridSpan w:val="2"/>
          </w:tcPr>
          <w:p>
            <w:pPr>
              <w:ind w:left="140"/>
              <w:spacing w:after="0"/>
              <w:rPr>
                <w:sz w:val="20"/>
                <w:szCs w:val="20"/>
                <w:color w:val="auto"/>
              </w:rPr>
            </w:pPr>
            <w:r>
              <w:rPr>
                <w:rFonts w:ascii="Arial" w:cs="Arial" w:eastAsia="Arial" w:hAnsi="Arial"/>
                <w:sz w:val="18"/>
                <w:szCs w:val="18"/>
                <w:color w:val="auto"/>
              </w:rPr>
              <w:t>Home health</w:t>
            </w:r>
          </w:p>
        </w:tc>
        <w:tc>
          <w:tcPr>
            <w:tcW w:w="480" w:type="dxa"/>
            <w:vAlign w:val="bottom"/>
          </w:tcPr>
          <w:p>
            <w:pPr>
              <w:jc w:val="right"/>
              <w:ind w:right="270"/>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39,873</w:t>
            </w:r>
          </w:p>
        </w:tc>
        <w:tc>
          <w:tcPr>
            <w:tcW w:w="1800" w:type="dxa"/>
            <w:vAlign w:val="bottom"/>
            <w:gridSpan w:val="3"/>
          </w:tcPr>
          <w:p>
            <w:pPr>
              <w:jc w:val="right"/>
              <w:spacing w:after="0"/>
              <w:rPr>
                <w:sz w:val="20"/>
                <w:szCs w:val="20"/>
                <w:color w:val="auto"/>
              </w:rPr>
            </w:pPr>
            <w:r>
              <w:rPr>
                <w:rFonts w:ascii="Arial" w:cs="Arial" w:eastAsia="Arial" w:hAnsi="Arial"/>
                <w:sz w:val="18"/>
                <w:szCs w:val="18"/>
                <w:color w:val="auto"/>
              </w:rPr>
              <w:t>33.8 %</w:t>
            </w:r>
          </w:p>
        </w:tc>
        <w:tc>
          <w:tcPr>
            <w:tcW w:w="100" w:type="dxa"/>
            <w:vAlign w:val="bottom"/>
          </w:tcPr>
          <w:p>
            <w:pPr>
              <w:spacing w:after="0"/>
              <w:rPr>
                <w:sz w:val="19"/>
                <w:szCs w:val="19"/>
                <w:color w:val="auto"/>
              </w:rPr>
            </w:pPr>
          </w:p>
        </w:tc>
        <w:tc>
          <w:tcPr>
            <w:tcW w:w="680" w:type="dxa"/>
            <w:vAlign w:val="bottom"/>
          </w:tcPr>
          <w:p>
            <w:pPr>
              <w:jc w:val="right"/>
              <w:ind w:right="470"/>
              <w:spacing w:after="0"/>
              <w:rPr>
                <w:sz w:val="20"/>
                <w:szCs w:val="20"/>
                <w:color w:val="auto"/>
              </w:rPr>
            </w:pPr>
            <w:r>
              <w:rPr>
                <w:rFonts w:ascii="Arial" w:cs="Arial" w:eastAsia="Arial" w:hAnsi="Arial"/>
                <w:sz w:val="18"/>
                <w:szCs w:val="18"/>
                <w:color w:val="auto"/>
                <w:w w:val="99"/>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34,228</w:t>
            </w:r>
          </w:p>
        </w:tc>
        <w:tc>
          <w:tcPr>
            <w:tcW w:w="1800" w:type="dxa"/>
            <w:vAlign w:val="bottom"/>
            <w:gridSpan w:val="3"/>
          </w:tcPr>
          <w:p>
            <w:pPr>
              <w:jc w:val="right"/>
              <w:spacing w:after="0"/>
              <w:rPr>
                <w:sz w:val="20"/>
                <w:szCs w:val="20"/>
                <w:color w:val="auto"/>
              </w:rPr>
            </w:pPr>
            <w:r>
              <w:rPr>
                <w:rFonts w:ascii="Arial" w:cs="Arial" w:eastAsia="Arial" w:hAnsi="Arial"/>
                <w:sz w:val="18"/>
                <w:szCs w:val="18"/>
                <w:color w:val="auto"/>
              </w:rPr>
              <w:t>30.6 %</w:t>
            </w:r>
          </w:p>
        </w:tc>
      </w:tr>
      <w:tr>
        <w:trPr>
          <w:trHeight w:val="229"/>
        </w:trPr>
        <w:tc>
          <w:tcPr>
            <w:tcW w:w="470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Hospice</w:t>
            </w:r>
          </w:p>
        </w:tc>
        <w:tc>
          <w:tcPr>
            <w:tcW w:w="4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40,522</w:t>
            </w:r>
          </w:p>
        </w:tc>
        <w:tc>
          <w:tcPr>
            <w:tcW w:w="1800" w:type="dxa"/>
            <w:vAlign w:val="bottom"/>
            <w:gridSpan w:val="3"/>
            <w:shd w:val="clear" w:color="auto" w:fill="CCEEFF"/>
          </w:tcPr>
          <w:p>
            <w:pPr>
              <w:jc w:val="right"/>
              <w:ind w:right="130"/>
              <w:spacing w:after="0"/>
              <w:rPr>
                <w:sz w:val="20"/>
                <w:szCs w:val="20"/>
                <w:color w:val="auto"/>
              </w:rPr>
            </w:pPr>
            <w:r>
              <w:rPr>
                <w:rFonts w:ascii="Arial" w:cs="Arial" w:eastAsia="Arial" w:hAnsi="Arial"/>
                <w:sz w:val="18"/>
                <w:szCs w:val="18"/>
                <w:color w:val="auto"/>
              </w:rPr>
              <w:t>34.2</w:t>
            </w:r>
          </w:p>
        </w:tc>
        <w:tc>
          <w:tcPr>
            <w:tcW w:w="10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39,069</w:t>
            </w:r>
          </w:p>
        </w:tc>
        <w:tc>
          <w:tcPr>
            <w:tcW w:w="1800" w:type="dxa"/>
            <w:vAlign w:val="bottom"/>
            <w:gridSpan w:val="3"/>
            <w:shd w:val="clear" w:color="auto" w:fill="CCEEFF"/>
          </w:tcPr>
          <w:p>
            <w:pPr>
              <w:jc w:val="right"/>
              <w:ind w:right="130"/>
              <w:spacing w:after="0"/>
              <w:rPr>
                <w:sz w:val="20"/>
                <w:szCs w:val="20"/>
                <w:color w:val="auto"/>
              </w:rPr>
            </w:pPr>
            <w:r>
              <w:rPr>
                <w:rFonts w:ascii="Arial" w:cs="Arial" w:eastAsia="Arial" w:hAnsi="Arial"/>
                <w:sz w:val="18"/>
                <w:szCs w:val="18"/>
                <w:color w:val="auto"/>
              </w:rPr>
              <w:t>34.9</w:t>
            </w:r>
          </w:p>
        </w:tc>
      </w:tr>
      <w:tr>
        <w:trPr>
          <w:trHeight w:val="229"/>
        </w:trPr>
        <w:tc>
          <w:tcPr>
            <w:tcW w:w="4700" w:type="dxa"/>
            <w:vAlign w:val="bottom"/>
            <w:gridSpan w:val="2"/>
          </w:tcPr>
          <w:p>
            <w:pPr>
              <w:ind w:left="140"/>
              <w:spacing w:after="0" w:line="230" w:lineRule="exact"/>
              <w:rPr>
                <w:sz w:val="20"/>
                <w:szCs w:val="20"/>
                <w:color w:val="auto"/>
              </w:rPr>
            </w:pPr>
            <w:r>
              <w:rPr>
                <w:rFonts w:ascii="Arial" w:cs="Arial" w:eastAsia="Arial" w:hAnsi="Arial"/>
                <w:sz w:val="18"/>
                <w:szCs w:val="18"/>
                <w:color w:val="auto"/>
              </w:rPr>
              <w:t>Home care and other</w:t>
            </w:r>
            <w:r>
              <w:rPr>
                <w:rFonts w:ascii="Arial" w:cs="Arial" w:eastAsia="Arial" w:hAnsi="Arial"/>
                <w:sz w:val="23"/>
                <w:szCs w:val="23"/>
                <w:color w:val="auto"/>
                <w:vertAlign w:val="superscript"/>
              </w:rPr>
              <w:t>(a)</w:t>
            </w:r>
          </w:p>
        </w:tc>
        <w:tc>
          <w:tcPr>
            <w:tcW w:w="4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5,384</w:t>
            </w:r>
          </w:p>
        </w:tc>
        <w:tc>
          <w:tcPr>
            <w:tcW w:w="1800" w:type="dxa"/>
            <w:vAlign w:val="bottom"/>
            <w:gridSpan w:val="3"/>
          </w:tcPr>
          <w:p>
            <w:pPr>
              <w:jc w:val="right"/>
              <w:ind w:right="130"/>
              <w:spacing w:after="0"/>
              <w:rPr>
                <w:sz w:val="20"/>
                <w:szCs w:val="20"/>
                <w:color w:val="auto"/>
              </w:rPr>
            </w:pPr>
            <w:r>
              <w:rPr>
                <w:rFonts w:ascii="Arial" w:cs="Arial" w:eastAsia="Arial" w:hAnsi="Arial"/>
                <w:sz w:val="18"/>
                <w:szCs w:val="18"/>
                <w:color w:val="auto"/>
              </w:rPr>
              <w:t>4.5</w:t>
            </w:r>
          </w:p>
        </w:tc>
        <w:tc>
          <w:tcPr>
            <w:tcW w:w="1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5,706</w:t>
            </w:r>
          </w:p>
        </w:tc>
        <w:tc>
          <w:tcPr>
            <w:tcW w:w="1800" w:type="dxa"/>
            <w:vAlign w:val="bottom"/>
            <w:gridSpan w:val="3"/>
          </w:tcPr>
          <w:p>
            <w:pPr>
              <w:jc w:val="right"/>
              <w:ind w:right="130"/>
              <w:spacing w:after="0"/>
              <w:rPr>
                <w:sz w:val="20"/>
                <w:szCs w:val="20"/>
                <w:color w:val="auto"/>
              </w:rPr>
            </w:pPr>
            <w:r>
              <w:rPr>
                <w:rFonts w:ascii="Arial" w:cs="Arial" w:eastAsia="Arial" w:hAnsi="Arial"/>
                <w:sz w:val="18"/>
                <w:szCs w:val="18"/>
                <w:color w:val="auto"/>
              </w:rPr>
              <w:t>5.1</w:t>
            </w:r>
          </w:p>
        </w:tc>
      </w:tr>
      <w:tr>
        <w:trPr>
          <w:trHeight w:val="223"/>
        </w:trPr>
        <w:tc>
          <w:tcPr>
            <w:tcW w:w="4700" w:type="dxa"/>
            <w:vAlign w:val="bottom"/>
            <w:tcBorders>
              <w:top w:val="single" w:sz="8" w:color="CCEEFF"/>
            </w:tcBorders>
            <w:gridSpan w:val="2"/>
            <w:shd w:val="clear" w:color="auto" w:fill="CCEEFF"/>
          </w:tcPr>
          <w:p>
            <w:pPr>
              <w:ind w:left="220"/>
              <w:spacing w:after="0"/>
              <w:rPr>
                <w:sz w:val="20"/>
                <w:szCs w:val="20"/>
                <w:color w:val="auto"/>
              </w:rPr>
            </w:pPr>
            <w:r>
              <w:rPr>
                <w:rFonts w:ascii="Arial" w:cs="Arial" w:eastAsia="Arial" w:hAnsi="Arial"/>
                <w:sz w:val="18"/>
                <w:szCs w:val="18"/>
                <w:color w:val="auto"/>
              </w:rPr>
              <w:t>Total home health and hospice services</w:t>
            </w:r>
          </w:p>
        </w:tc>
        <w:tc>
          <w:tcPr>
            <w:tcW w:w="480" w:type="dxa"/>
            <w:vAlign w:val="bottom"/>
            <w:tcBorders>
              <w:top w:val="single" w:sz="8" w:color="auto"/>
            </w:tcBorders>
            <w:shd w:val="clear" w:color="auto" w:fill="CCEEFF"/>
          </w:tcPr>
          <w:p>
            <w:pPr>
              <w:spacing w:after="0"/>
              <w:rPr>
                <w:sz w:val="19"/>
                <w:szCs w:val="19"/>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85,779</w:t>
            </w:r>
          </w:p>
        </w:tc>
        <w:tc>
          <w:tcPr>
            <w:tcW w:w="6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640" w:type="dxa"/>
            <w:vAlign w:val="bottom"/>
            <w:tcBorders>
              <w:top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72.5</w:t>
            </w:r>
          </w:p>
        </w:tc>
        <w:tc>
          <w:tcPr>
            <w:tcW w:w="100" w:type="dxa"/>
            <w:vAlign w:val="bottom"/>
            <w:tcBorders>
              <w:top w:val="single" w:sz="8" w:color="CCEEFF"/>
            </w:tcBorders>
            <w:shd w:val="clear" w:color="auto" w:fill="CCEEFF"/>
          </w:tcPr>
          <w:p>
            <w:pPr>
              <w:spacing w:after="0"/>
              <w:rPr>
                <w:sz w:val="19"/>
                <w:szCs w:val="19"/>
                <w:color w:val="auto"/>
              </w:rPr>
            </w:pPr>
          </w:p>
        </w:tc>
        <w:tc>
          <w:tcPr>
            <w:tcW w:w="680" w:type="dxa"/>
            <w:vAlign w:val="bottom"/>
            <w:tcBorders>
              <w:top w:val="single" w:sz="8" w:color="auto"/>
            </w:tcBorders>
            <w:shd w:val="clear" w:color="auto" w:fill="CCEEFF"/>
          </w:tcPr>
          <w:p>
            <w:pPr>
              <w:spacing w:after="0"/>
              <w:rPr>
                <w:sz w:val="19"/>
                <w:szCs w:val="19"/>
                <w:color w:val="auto"/>
              </w:rPr>
            </w:pP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79,003</w:t>
            </w:r>
          </w:p>
        </w:tc>
        <w:tc>
          <w:tcPr>
            <w:tcW w:w="6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640" w:type="dxa"/>
            <w:vAlign w:val="bottom"/>
            <w:tcBorders>
              <w:top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70.6</w:t>
            </w:r>
          </w:p>
        </w:tc>
      </w:tr>
      <w:tr>
        <w:trPr>
          <w:trHeight w:val="229"/>
        </w:trPr>
        <w:tc>
          <w:tcPr>
            <w:tcW w:w="4700" w:type="dxa"/>
            <w:vAlign w:val="bottom"/>
            <w:gridSpan w:val="2"/>
          </w:tcPr>
          <w:p>
            <w:pPr>
              <w:ind w:left="20"/>
              <w:spacing w:after="0"/>
              <w:rPr>
                <w:sz w:val="20"/>
                <w:szCs w:val="20"/>
                <w:color w:val="auto"/>
              </w:rPr>
            </w:pPr>
            <w:r>
              <w:rPr>
                <w:rFonts w:ascii="Arial" w:cs="Arial" w:eastAsia="Arial" w:hAnsi="Arial"/>
                <w:sz w:val="18"/>
                <w:szCs w:val="18"/>
                <w:color w:val="auto"/>
              </w:rPr>
              <w:t>Senior living services</w:t>
            </w:r>
          </w:p>
        </w:tc>
        <w:tc>
          <w:tcPr>
            <w:tcW w:w="4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32,571</w:t>
            </w:r>
          </w:p>
        </w:tc>
        <w:tc>
          <w:tcPr>
            <w:tcW w:w="1800" w:type="dxa"/>
            <w:vAlign w:val="bottom"/>
            <w:gridSpan w:val="3"/>
          </w:tcPr>
          <w:p>
            <w:pPr>
              <w:jc w:val="right"/>
              <w:ind w:right="130"/>
              <w:spacing w:after="0"/>
              <w:rPr>
                <w:sz w:val="20"/>
                <w:szCs w:val="20"/>
                <w:color w:val="auto"/>
              </w:rPr>
            </w:pPr>
            <w:r>
              <w:rPr>
                <w:rFonts w:ascii="Arial" w:cs="Arial" w:eastAsia="Arial" w:hAnsi="Arial"/>
                <w:sz w:val="18"/>
                <w:szCs w:val="18"/>
                <w:color w:val="auto"/>
              </w:rPr>
              <w:t>27.5</w:t>
            </w:r>
          </w:p>
        </w:tc>
        <w:tc>
          <w:tcPr>
            <w:tcW w:w="1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32,918</w:t>
            </w:r>
          </w:p>
        </w:tc>
        <w:tc>
          <w:tcPr>
            <w:tcW w:w="1800" w:type="dxa"/>
            <w:vAlign w:val="bottom"/>
            <w:gridSpan w:val="3"/>
          </w:tcPr>
          <w:p>
            <w:pPr>
              <w:jc w:val="right"/>
              <w:ind w:right="130"/>
              <w:spacing w:after="0"/>
              <w:rPr>
                <w:sz w:val="20"/>
                <w:szCs w:val="20"/>
                <w:color w:val="auto"/>
              </w:rPr>
            </w:pPr>
            <w:r>
              <w:rPr>
                <w:rFonts w:ascii="Arial" w:cs="Arial" w:eastAsia="Arial" w:hAnsi="Arial"/>
                <w:sz w:val="18"/>
                <w:szCs w:val="18"/>
                <w:color w:val="auto"/>
              </w:rPr>
              <w:t>29.4</w:t>
            </w:r>
          </w:p>
        </w:tc>
      </w:tr>
      <w:tr>
        <w:trPr>
          <w:trHeight w:val="248"/>
        </w:trPr>
        <w:tc>
          <w:tcPr>
            <w:tcW w:w="4700" w:type="dxa"/>
            <w:vAlign w:val="bottom"/>
            <w:tcBorders>
              <w:top w:val="single" w:sz="8" w:color="CCEEFF"/>
              <w:bottom w:val="single" w:sz="8" w:color="CCEEFF"/>
            </w:tcBorders>
            <w:gridSpan w:val="2"/>
            <w:shd w:val="clear" w:color="auto" w:fill="CCEEFF"/>
          </w:tcPr>
          <w:p>
            <w:pPr>
              <w:ind w:left="220"/>
              <w:spacing w:after="0"/>
              <w:rPr>
                <w:sz w:val="20"/>
                <w:szCs w:val="20"/>
                <w:color w:val="auto"/>
              </w:rPr>
            </w:pPr>
            <w:r>
              <w:rPr>
                <w:rFonts w:ascii="Arial" w:cs="Arial" w:eastAsia="Arial" w:hAnsi="Arial"/>
                <w:sz w:val="18"/>
                <w:szCs w:val="18"/>
                <w:color w:val="auto"/>
              </w:rPr>
              <w:t>Total revenue</w:t>
            </w:r>
          </w:p>
        </w:tc>
        <w:tc>
          <w:tcPr>
            <w:tcW w:w="480" w:type="dxa"/>
            <w:vAlign w:val="bottom"/>
            <w:tcBorders>
              <w:top w:val="single" w:sz="8" w:color="auto"/>
              <w:bottom w:val="single" w:sz="8" w:color="auto"/>
            </w:tcBorders>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118,350</w:t>
            </w:r>
          </w:p>
        </w:tc>
        <w:tc>
          <w:tcPr>
            <w:tcW w:w="60" w:type="dxa"/>
            <w:vAlign w:val="bottom"/>
            <w:tcBorders>
              <w:top w:val="single" w:sz="8" w:color="auto"/>
              <w:bottom w:val="single" w:sz="8" w:color="auto"/>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100.0 %</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680" w:type="dxa"/>
            <w:vAlign w:val="bottom"/>
            <w:tcBorders>
              <w:top w:val="single" w:sz="8" w:color="auto"/>
              <w:bottom w:val="single" w:sz="8" w:color="auto"/>
            </w:tcBorders>
            <w:shd w:val="clear" w:color="auto" w:fill="CCEEFF"/>
          </w:tcPr>
          <w:p>
            <w:pPr>
              <w:jc w:val="right"/>
              <w:ind w:right="470"/>
              <w:spacing w:after="0"/>
              <w:rPr>
                <w:sz w:val="20"/>
                <w:szCs w:val="20"/>
                <w:color w:val="auto"/>
              </w:rPr>
            </w:pPr>
            <w:r>
              <w:rPr>
                <w:rFonts w:ascii="Arial" w:cs="Arial" w:eastAsia="Arial" w:hAnsi="Arial"/>
                <w:sz w:val="18"/>
                <w:szCs w:val="18"/>
                <w:color w:val="auto"/>
                <w:w w:val="99"/>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111,921</w:t>
            </w:r>
          </w:p>
        </w:tc>
        <w:tc>
          <w:tcPr>
            <w:tcW w:w="60" w:type="dxa"/>
            <w:vAlign w:val="bottom"/>
            <w:tcBorders>
              <w:top w:val="single" w:sz="8" w:color="auto"/>
              <w:bottom w:val="single" w:sz="8" w:color="auto"/>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100.0 %</w:t>
            </w:r>
          </w:p>
        </w:tc>
      </w:tr>
      <w:tr>
        <w:trPr>
          <w:trHeight w:val="20"/>
        </w:trPr>
        <w:tc>
          <w:tcPr>
            <w:tcW w:w="1280" w:type="dxa"/>
            <w:vAlign w:val="bottom"/>
            <w:tcBorders>
              <w:top w:val="single" w:sz="8" w:color="CCEEFF"/>
            </w:tcBorders>
          </w:tcPr>
          <w:p>
            <w:pPr>
              <w:spacing w:after="0" w:line="20" w:lineRule="exact"/>
              <w:rPr>
                <w:sz w:val="1"/>
                <w:szCs w:val="1"/>
                <w:color w:val="auto"/>
              </w:rPr>
            </w:pPr>
          </w:p>
        </w:tc>
        <w:tc>
          <w:tcPr>
            <w:tcW w:w="342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40" w:type="dxa"/>
            <w:vAlign w:val="bottom"/>
            <w:tcBorders>
              <w:top w:val="single" w:sz="8" w:color="CCEEFF"/>
              <w:bottom w:val="single" w:sz="8" w:color="auto"/>
            </w:tcBorders>
          </w:tcPr>
          <w:p>
            <w:pPr>
              <w:spacing w:after="0" w:line="20" w:lineRule="exact"/>
              <w:rPr>
                <w:sz w:val="1"/>
                <w:szCs w:val="1"/>
                <w:color w:val="auto"/>
              </w:rPr>
            </w:pPr>
          </w:p>
        </w:tc>
      </w:tr>
    </w:tbl>
    <w:p>
      <w:pPr>
        <w:spacing w:after="0" w:line="238" w:lineRule="exact"/>
        <w:rPr>
          <w:sz w:val="20"/>
          <w:szCs w:val="20"/>
          <w:color w:val="auto"/>
        </w:rPr>
      </w:pPr>
    </w:p>
    <w:p>
      <w:pPr>
        <w:ind w:left="480" w:hanging="454"/>
        <w:spacing w:after="0"/>
        <w:tabs>
          <w:tab w:leader="none" w:pos="480" w:val="left"/>
        </w:tabs>
        <w:numPr>
          <w:ilvl w:val="0"/>
          <w:numId w:val="32"/>
        </w:numPr>
        <w:rPr>
          <w:rFonts w:ascii="Arial" w:cs="Arial" w:eastAsia="Arial" w:hAnsi="Arial"/>
          <w:sz w:val="14"/>
          <w:szCs w:val="14"/>
          <w:color w:val="auto"/>
        </w:rPr>
      </w:pPr>
      <w:r>
        <w:rPr>
          <w:rFonts w:ascii="Arial" w:cs="Arial" w:eastAsia="Arial" w:hAnsi="Arial"/>
          <w:sz w:val="14"/>
          <w:szCs w:val="14"/>
          <w:color w:val="auto"/>
        </w:rPr>
        <w:t>Home care and other revenue is included with home health revenue in other disclosures in this Quarterly Report.</w:t>
      </w:r>
    </w:p>
    <w:p>
      <w:pPr>
        <w:spacing w:after="0" w:line="370"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Our total revenue increased $6.4 million, or 5.7% during the three months ended September 30, 2022. We experienced growth of $6.8 million from increased operational performance in our Home Health and Hospice segment as detailed below. The growth in Home Health and Hospice segment revenue was offset by a decrease in Senior Living segment revenue of $0.3 million driven primarily by the transfer of senior living communities to Ensign on March 1, 2022 and April 1, 2022.</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Home Health and Hospice Services</w:t>
      </w:r>
    </w:p>
    <w:p>
      <w:pPr>
        <w:spacing w:after="0" w:line="1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940" w:type="dxa"/>
            <w:vAlign w:val="bottom"/>
          </w:tcPr>
          <w:p>
            <w:pPr>
              <w:spacing w:after="0"/>
              <w:rPr>
                <w:sz w:val="17"/>
                <w:szCs w:val="17"/>
                <w:color w:val="auto"/>
              </w:rPr>
            </w:pPr>
          </w:p>
        </w:tc>
        <w:tc>
          <w:tcPr>
            <w:tcW w:w="2660" w:type="dxa"/>
            <w:vAlign w:val="bottom"/>
            <w:gridSpan w:val="7"/>
          </w:tcPr>
          <w:p>
            <w:pPr>
              <w:ind w:left="20"/>
              <w:spacing w:after="0"/>
              <w:rPr>
                <w:sz w:val="20"/>
                <w:szCs w:val="20"/>
                <w:color w:val="auto"/>
              </w:rPr>
            </w:pPr>
            <w:r>
              <w:rPr>
                <w:rFonts w:ascii="Arial" w:cs="Arial" w:eastAsia="Arial" w:hAnsi="Arial"/>
                <w:sz w:val="18"/>
                <w:szCs w:val="18"/>
                <w:b w:val="1"/>
                <w:bCs w:val="1"/>
                <w:color w:val="auto"/>
                <w:w w:val="94"/>
              </w:rPr>
              <w:t>Three Months Ended September</w:t>
            </w:r>
          </w:p>
        </w:tc>
        <w:tc>
          <w:tcPr>
            <w:tcW w:w="2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40" w:type="dxa"/>
            <w:vAlign w:val="bottom"/>
          </w:tcPr>
          <w:p>
            <w:pPr>
              <w:spacing w:after="0"/>
              <w:rPr>
                <w:sz w:val="17"/>
                <w:szCs w:val="17"/>
                <w:color w:val="auto"/>
              </w:rPr>
            </w:pPr>
          </w:p>
        </w:tc>
      </w:tr>
      <w:tr>
        <w:trPr>
          <w:trHeight w:val="234"/>
        </w:trPr>
        <w:tc>
          <w:tcPr>
            <w:tcW w:w="594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c>
          <w:tcPr>
            <w:tcW w:w="440" w:type="dxa"/>
            <w:vAlign w:val="bottom"/>
            <w:tcBorders>
              <w:bottom w:val="single" w:sz="8" w:color="auto"/>
            </w:tcBorders>
            <w:gridSpan w:val="3"/>
          </w:tcPr>
          <w:p>
            <w:pPr>
              <w:jc w:val="right"/>
              <w:ind w:right="130"/>
              <w:spacing w:after="0"/>
              <w:rPr>
                <w:sz w:val="20"/>
                <w:szCs w:val="20"/>
                <w:color w:val="auto"/>
              </w:rPr>
            </w:pPr>
            <w:r>
              <w:rPr>
                <w:rFonts w:ascii="Arial" w:cs="Arial" w:eastAsia="Arial" w:hAnsi="Arial"/>
                <w:sz w:val="18"/>
                <w:szCs w:val="18"/>
                <w:b w:val="1"/>
                <w:bCs w:val="1"/>
                <w:color w:val="auto"/>
                <w:w w:val="79"/>
              </w:rPr>
              <w:t>30,</w:t>
            </w:r>
          </w:p>
        </w:tc>
        <w:tc>
          <w:tcPr>
            <w:tcW w:w="96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40" w:type="dxa"/>
            <w:vAlign w:val="bottom"/>
          </w:tcPr>
          <w:p>
            <w:pPr>
              <w:spacing w:after="0"/>
              <w:rPr>
                <w:sz w:val="20"/>
                <w:szCs w:val="20"/>
                <w:color w:val="auto"/>
              </w:rPr>
            </w:pPr>
          </w:p>
        </w:tc>
      </w:tr>
      <w:tr>
        <w:trPr>
          <w:trHeight w:val="223"/>
        </w:trPr>
        <w:tc>
          <w:tcPr>
            <w:tcW w:w="59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jc w:val="right"/>
              <w:ind w:right="290"/>
              <w:spacing w:after="0"/>
              <w:rPr>
                <w:sz w:val="20"/>
                <w:szCs w:val="20"/>
                <w:color w:val="auto"/>
              </w:rPr>
            </w:pPr>
            <w:r>
              <w:rPr>
                <w:rFonts w:ascii="Arial" w:cs="Arial" w:eastAsia="Arial" w:hAnsi="Arial"/>
                <w:sz w:val="18"/>
                <w:szCs w:val="18"/>
                <w:b w:val="1"/>
                <w:bCs w:val="1"/>
                <w:color w:val="auto"/>
              </w:rPr>
              <w:t>2022</w:t>
            </w: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60" w:type="dxa"/>
            <w:vAlign w:val="bottom"/>
          </w:tcPr>
          <w:p>
            <w:pPr>
              <w:jc w:val="right"/>
              <w:ind w:right="350"/>
              <w:spacing w:after="0"/>
              <w:rPr>
                <w:sz w:val="20"/>
                <w:szCs w:val="20"/>
                <w:color w:val="auto"/>
              </w:rPr>
            </w:pPr>
            <w:r>
              <w:rPr>
                <w:rFonts w:ascii="Arial" w:cs="Arial" w:eastAsia="Arial" w:hAnsi="Arial"/>
                <w:sz w:val="18"/>
                <w:szCs w:val="18"/>
                <w:b w:val="1"/>
                <w:bCs w:val="1"/>
                <w:color w:val="auto"/>
              </w:rPr>
              <w:t>2021</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80" w:type="dxa"/>
            <w:vAlign w:val="bottom"/>
            <w:gridSpan w:val="2"/>
          </w:tcPr>
          <w:p>
            <w:pPr>
              <w:ind w:left="80"/>
              <w:spacing w:after="0"/>
              <w:rPr>
                <w:sz w:val="20"/>
                <w:szCs w:val="20"/>
                <w:color w:val="auto"/>
              </w:rPr>
            </w:pPr>
            <w:r>
              <w:rPr>
                <w:rFonts w:ascii="Arial" w:cs="Arial" w:eastAsia="Arial" w:hAnsi="Arial"/>
                <w:sz w:val="18"/>
                <w:szCs w:val="18"/>
                <w:b w:val="1"/>
                <w:bCs w:val="1"/>
                <w:color w:val="auto"/>
              </w:rPr>
              <w:t>Change</w:t>
            </w:r>
          </w:p>
        </w:tc>
        <w:tc>
          <w:tcPr>
            <w:tcW w:w="1340" w:type="dxa"/>
            <w:vAlign w:val="bottom"/>
          </w:tcPr>
          <w:p>
            <w:pPr>
              <w:jc w:val="right"/>
              <w:ind w:right="170"/>
              <w:spacing w:after="0"/>
              <w:rPr>
                <w:sz w:val="20"/>
                <w:szCs w:val="20"/>
                <w:color w:val="auto"/>
              </w:rPr>
            </w:pPr>
            <w:r>
              <w:rPr>
                <w:rFonts w:ascii="Arial" w:cs="Arial" w:eastAsia="Arial" w:hAnsi="Arial"/>
                <w:sz w:val="18"/>
                <w:szCs w:val="18"/>
                <w:b w:val="1"/>
                <w:bCs w:val="1"/>
                <w:color w:val="auto"/>
              </w:rPr>
              <w:t>% Change</w:t>
            </w:r>
          </w:p>
        </w:tc>
      </w:tr>
      <w:tr>
        <w:trPr>
          <w:trHeight w:val="223"/>
        </w:trPr>
        <w:tc>
          <w:tcPr>
            <w:tcW w:w="5940" w:type="dxa"/>
            <w:vAlign w:val="bottom"/>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2300" w:type="dxa"/>
            <w:vAlign w:val="bottom"/>
            <w:tcBorders>
              <w:top w:val="single" w:sz="8" w:color="auto"/>
            </w:tcBorders>
            <w:gridSpan w:val="5"/>
          </w:tcPr>
          <w:p>
            <w:pPr>
              <w:jc w:val="right"/>
              <w:ind w:right="630"/>
              <w:spacing w:after="0"/>
              <w:rPr>
                <w:sz w:val="20"/>
                <w:szCs w:val="20"/>
                <w:color w:val="auto"/>
              </w:rPr>
            </w:pPr>
            <w:r>
              <w:rPr>
                <w:rFonts w:ascii="Arial" w:cs="Arial" w:eastAsia="Arial" w:hAnsi="Arial"/>
                <w:sz w:val="18"/>
                <w:szCs w:val="18"/>
                <w:b w:val="1"/>
                <w:bCs w:val="1"/>
                <w:color w:val="auto"/>
              </w:rPr>
              <w:t>(In thousands)</w:t>
            </w:r>
          </w:p>
        </w:tc>
        <w:tc>
          <w:tcPr>
            <w:tcW w:w="10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98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340" w:type="dxa"/>
            <w:vAlign w:val="bottom"/>
            <w:tcBorders>
              <w:top w:val="single" w:sz="8" w:color="auto"/>
            </w:tcBorders>
          </w:tcPr>
          <w:p>
            <w:pPr>
              <w:spacing w:after="0"/>
              <w:rPr>
                <w:sz w:val="19"/>
                <w:szCs w:val="19"/>
                <w:color w:val="auto"/>
              </w:rPr>
            </w:pPr>
          </w:p>
        </w:tc>
      </w:tr>
      <w:tr>
        <w:trPr>
          <w:trHeight w:val="230"/>
        </w:trPr>
        <w:tc>
          <w:tcPr>
            <w:tcW w:w="5940" w:type="dxa"/>
            <w:vAlign w:val="bottom"/>
            <w:shd w:val="clear" w:color="auto" w:fill="CCEEFF"/>
          </w:tcPr>
          <w:p>
            <w:pPr>
              <w:ind w:left="20"/>
              <w:spacing w:after="0"/>
              <w:rPr>
                <w:sz w:val="20"/>
                <w:szCs w:val="20"/>
                <w:color w:val="auto"/>
              </w:rPr>
            </w:pPr>
            <w:r>
              <w:rPr>
                <w:rFonts w:ascii="Arial" w:cs="Arial" w:eastAsia="Arial" w:hAnsi="Arial"/>
                <w:sz w:val="18"/>
                <w:szCs w:val="18"/>
                <w:color w:val="auto"/>
              </w:rPr>
              <w:t>Home health and hospice revenue</w:t>
            </w: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r>
      <w:tr>
        <w:trPr>
          <w:trHeight w:val="230"/>
        </w:trPr>
        <w:tc>
          <w:tcPr>
            <w:tcW w:w="5940" w:type="dxa"/>
            <w:vAlign w:val="bottom"/>
          </w:tcPr>
          <w:p>
            <w:pPr>
              <w:ind w:left="220"/>
              <w:spacing w:after="0"/>
              <w:rPr>
                <w:sz w:val="20"/>
                <w:szCs w:val="20"/>
                <w:color w:val="auto"/>
              </w:rPr>
            </w:pPr>
            <w:r>
              <w:rPr>
                <w:rFonts w:ascii="Arial" w:cs="Arial" w:eastAsia="Arial" w:hAnsi="Arial"/>
                <w:sz w:val="18"/>
                <w:szCs w:val="18"/>
                <w:color w:val="auto"/>
              </w:rPr>
              <w:t>Home health services</w:t>
            </w:r>
          </w:p>
        </w:tc>
        <w:tc>
          <w:tcPr>
            <w:tcW w:w="260" w:type="dxa"/>
            <w:vAlign w:val="bottom"/>
          </w:tcPr>
          <w:p>
            <w:pPr>
              <w:ind w:left="20"/>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39,873</w:t>
            </w:r>
          </w:p>
        </w:tc>
        <w:tc>
          <w:tcPr>
            <w:tcW w:w="440" w:type="dxa"/>
            <w:vAlign w:val="bottom"/>
            <w:gridSpan w:val="3"/>
          </w:tcPr>
          <w:p>
            <w:pPr>
              <w:jc w:val="right"/>
              <w:ind w:right="70"/>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34,228</w:t>
            </w:r>
          </w:p>
        </w:tc>
        <w:tc>
          <w:tcPr>
            <w:tcW w:w="100" w:type="dxa"/>
            <w:vAlign w:val="bottom"/>
          </w:tcPr>
          <w:p>
            <w:pPr>
              <w:spacing w:after="0"/>
              <w:rPr>
                <w:sz w:val="19"/>
                <w:szCs w:val="19"/>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5,645</w:t>
            </w:r>
          </w:p>
        </w:tc>
        <w:tc>
          <w:tcPr>
            <w:tcW w:w="1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16.5 %</w:t>
            </w:r>
          </w:p>
        </w:tc>
      </w:tr>
      <w:tr>
        <w:trPr>
          <w:trHeight w:val="230"/>
        </w:trPr>
        <w:tc>
          <w:tcPr>
            <w:tcW w:w="59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Hospice services</w:t>
            </w: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40,522</w:t>
            </w:r>
          </w:p>
        </w:tc>
        <w:tc>
          <w:tcPr>
            <w:tcW w:w="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39,069</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1,453</w:t>
            </w:r>
          </w:p>
        </w:tc>
        <w:tc>
          <w:tcPr>
            <w:tcW w:w="100" w:type="dxa"/>
            <w:vAlign w:val="bottom"/>
            <w:shd w:val="clear" w:color="auto" w:fill="CCEEFF"/>
          </w:tcPr>
          <w:p>
            <w:pPr>
              <w:spacing w:after="0"/>
              <w:rPr>
                <w:sz w:val="19"/>
                <w:szCs w:val="19"/>
                <w:color w:val="auto"/>
              </w:rPr>
            </w:pPr>
          </w:p>
        </w:tc>
        <w:tc>
          <w:tcPr>
            <w:tcW w:w="1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3.7</w:t>
            </w:r>
          </w:p>
        </w:tc>
      </w:tr>
      <w:tr>
        <w:trPr>
          <w:trHeight w:val="229"/>
        </w:trPr>
        <w:tc>
          <w:tcPr>
            <w:tcW w:w="594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Home care and other</w:t>
            </w:r>
          </w:p>
        </w:tc>
        <w:tc>
          <w:tcPr>
            <w:tcW w:w="2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5,384</w:t>
            </w:r>
          </w:p>
        </w:tc>
        <w:tc>
          <w:tcPr>
            <w:tcW w:w="60" w:type="dxa"/>
            <w:vAlign w:val="bottom"/>
            <w:tcBorders>
              <w:bottom w:val="single" w:sz="8" w:color="auto"/>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5,706</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(322)</w:t>
            </w:r>
          </w:p>
        </w:tc>
        <w:tc>
          <w:tcPr>
            <w:tcW w:w="100" w:type="dxa"/>
            <w:vAlign w:val="bottom"/>
            <w:tcBorders>
              <w:bottom w:val="single" w:sz="8" w:color="CCEEFF"/>
            </w:tcBorders>
          </w:tcPr>
          <w:p>
            <w:pPr>
              <w:spacing w:after="0"/>
              <w:rPr>
                <w:sz w:val="19"/>
                <w:szCs w:val="19"/>
                <w:color w:val="auto"/>
              </w:rPr>
            </w:pPr>
          </w:p>
        </w:tc>
        <w:tc>
          <w:tcPr>
            <w:tcW w:w="1340" w:type="dxa"/>
            <w:vAlign w:val="bottom"/>
            <w:tcBorders>
              <w:bottom w:val="single" w:sz="8" w:color="CCEEFF"/>
            </w:tcBorders>
          </w:tcPr>
          <w:p>
            <w:pPr>
              <w:jc w:val="right"/>
              <w:ind w:right="90"/>
              <w:spacing w:after="0"/>
              <w:rPr>
                <w:sz w:val="20"/>
                <w:szCs w:val="20"/>
                <w:color w:val="auto"/>
              </w:rPr>
            </w:pPr>
            <w:r>
              <w:rPr>
                <w:rFonts w:ascii="Arial" w:cs="Arial" w:eastAsia="Arial" w:hAnsi="Arial"/>
                <w:sz w:val="18"/>
                <w:szCs w:val="18"/>
                <w:color w:val="auto"/>
              </w:rPr>
              <w:t>(5.6)</w:t>
            </w:r>
          </w:p>
        </w:tc>
      </w:tr>
      <w:tr>
        <w:trPr>
          <w:trHeight w:val="248"/>
        </w:trPr>
        <w:tc>
          <w:tcPr>
            <w:tcW w:w="594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Total home health and hospice revenue</w:t>
            </w:r>
          </w:p>
        </w:tc>
        <w:tc>
          <w:tcPr>
            <w:tcW w:w="2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85,779</w:t>
            </w:r>
          </w:p>
        </w:tc>
        <w:tc>
          <w:tcPr>
            <w:tcW w:w="60" w:type="dxa"/>
            <w:vAlign w:val="bottom"/>
            <w:tcBorders>
              <w:bottom w:val="single" w:sz="8" w:color="auto"/>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79,003</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6,776</w:t>
            </w:r>
          </w:p>
        </w:tc>
        <w:tc>
          <w:tcPr>
            <w:tcW w:w="10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8.6 %</w:t>
            </w:r>
          </w:p>
        </w:tc>
      </w:tr>
      <w:tr>
        <w:trPr>
          <w:trHeight w:val="20"/>
        </w:trPr>
        <w:tc>
          <w:tcPr>
            <w:tcW w:w="5940" w:type="dxa"/>
            <w:vAlign w:val="bottom"/>
            <w:tcBorders>
              <w:top w:val="single" w:sz="8" w:color="CCEEFF"/>
            </w:tcBorders>
          </w:tcPr>
          <w:p>
            <w:pPr>
              <w:spacing w:after="0" w:line="20" w:lineRule="exact"/>
              <w:rPr>
                <w:sz w:val="1"/>
                <w:szCs w:val="1"/>
                <w:color w:val="auto"/>
              </w:rPr>
            </w:pPr>
          </w:p>
        </w:tc>
        <w:tc>
          <w:tcPr>
            <w:tcW w:w="1220" w:type="dxa"/>
            <w:vAlign w:val="bottom"/>
            <w:tcBorders>
              <w:top w:val="single" w:sz="8" w:color="CCEEFF"/>
              <w:bottom w:val="single" w:sz="8" w:color="auto"/>
            </w:tcBorders>
            <w:gridSpan w:val="3"/>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20" w:type="dxa"/>
            <w:vAlign w:val="bottom"/>
            <w:tcBorders>
              <w:top w:val="single" w:sz="8" w:color="CCEEFF"/>
              <w:bottom w:val="single" w:sz="8" w:color="auto"/>
            </w:tcBorders>
            <w:gridSpan w:val="2"/>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40" w:type="dxa"/>
            <w:vAlign w:val="bottom"/>
            <w:tcBorders>
              <w:top w:val="single" w:sz="8" w:color="CCEEFF"/>
            </w:tcBorders>
          </w:tcPr>
          <w:p>
            <w:pPr>
              <w:spacing w:after="0" w:line="20" w:lineRule="exact"/>
              <w:rPr>
                <w:sz w:val="1"/>
                <w:szCs w:val="1"/>
                <w:color w:val="auto"/>
              </w:rPr>
            </w:pPr>
          </w:p>
        </w:tc>
      </w:tr>
      <w:tr>
        <w:trPr>
          <w:trHeight w:val="401"/>
        </w:trPr>
        <w:tc>
          <w:tcPr>
            <w:tcW w:w="5940" w:type="dxa"/>
            <w:vAlign w:val="bottom"/>
          </w:tcPr>
          <w:p>
            <w:pPr>
              <w:spacing w:after="0"/>
              <w:rPr>
                <w:sz w:val="24"/>
                <w:szCs w:val="24"/>
                <w:color w:val="auto"/>
              </w:rPr>
            </w:pPr>
          </w:p>
        </w:tc>
        <w:tc>
          <w:tcPr>
            <w:tcW w:w="2660" w:type="dxa"/>
            <w:vAlign w:val="bottom"/>
            <w:gridSpan w:val="7"/>
          </w:tcPr>
          <w:p>
            <w:pPr>
              <w:ind w:left="20"/>
              <w:spacing w:after="0"/>
              <w:rPr>
                <w:sz w:val="20"/>
                <w:szCs w:val="20"/>
                <w:color w:val="auto"/>
              </w:rPr>
            </w:pPr>
            <w:r>
              <w:rPr>
                <w:rFonts w:ascii="Arial" w:cs="Arial" w:eastAsia="Arial" w:hAnsi="Arial"/>
                <w:sz w:val="18"/>
                <w:szCs w:val="18"/>
                <w:b w:val="1"/>
                <w:bCs w:val="1"/>
                <w:color w:val="auto"/>
                <w:w w:val="94"/>
              </w:rPr>
              <w:t>Three Months Ended September</w:t>
            </w:r>
          </w:p>
        </w:tc>
        <w:tc>
          <w:tcPr>
            <w:tcW w:w="2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40" w:type="dxa"/>
            <w:vAlign w:val="bottom"/>
          </w:tcPr>
          <w:p>
            <w:pPr>
              <w:spacing w:after="0"/>
              <w:rPr>
                <w:sz w:val="24"/>
                <w:szCs w:val="24"/>
                <w:color w:val="auto"/>
              </w:rPr>
            </w:pPr>
          </w:p>
        </w:tc>
      </w:tr>
      <w:tr>
        <w:trPr>
          <w:trHeight w:val="234"/>
        </w:trPr>
        <w:tc>
          <w:tcPr>
            <w:tcW w:w="594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c>
          <w:tcPr>
            <w:tcW w:w="440" w:type="dxa"/>
            <w:vAlign w:val="bottom"/>
            <w:tcBorders>
              <w:bottom w:val="single" w:sz="8" w:color="auto"/>
            </w:tcBorders>
            <w:gridSpan w:val="3"/>
          </w:tcPr>
          <w:p>
            <w:pPr>
              <w:jc w:val="right"/>
              <w:ind w:right="130"/>
              <w:spacing w:after="0"/>
              <w:rPr>
                <w:sz w:val="20"/>
                <w:szCs w:val="20"/>
                <w:color w:val="auto"/>
              </w:rPr>
            </w:pPr>
            <w:r>
              <w:rPr>
                <w:rFonts w:ascii="Arial" w:cs="Arial" w:eastAsia="Arial" w:hAnsi="Arial"/>
                <w:sz w:val="18"/>
                <w:szCs w:val="18"/>
                <w:b w:val="1"/>
                <w:bCs w:val="1"/>
                <w:color w:val="auto"/>
                <w:w w:val="79"/>
              </w:rPr>
              <w:t>30,</w:t>
            </w:r>
          </w:p>
        </w:tc>
        <w:tc>
          <w:tcPr>
            <w:tcW w:w="96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40" w:type="dxa"/>
            <w:vAlign w:val="bottom"/>
          </w:tcPr>
          <w:p>
            <w:pPr>
              <w:spacing w:after="0"/>
              <w:rPr>
                <w:sz w:val="20"/>
                <w:szCs w:val="20"/>
                <w:color w:val="auto"/>
              </w:rPr>
            </w:pPr>
          </w:p>
        </w:tc>
      </w:tr>
      <w:tr>
        <w:trPr>
          <w:trHeight w:val="223"/>
        </w:trPr>
        <w:tc>
          <w:tcPr>
            <w:tcW w:w="59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jc w:val="right"/>
              <w:ind w:right="290"/>
              <w:spacing w:after="0"/>
              <w:rPr>
                <w:sz w:val="20"/>
                <w:szCs w:val="20"/>
                <w:color w:val="auto"/>
              </w:rPr>
            </w:pPr>
            <w:r>
              <w:rPr>
                <w:rFonts w:ascii="Arial" w:cs="Arial" w:eastAsia="Arial" w:hAnsi="Arial"/>
                <w:sz w:val="18"/>
                <w:szCs w:val="18"/>
                <w:b w:val="1"/>
                <w:bCs w:val="1"/>
                <w:color w:val="auto"/>
              </w:rPr>
              <w:t>2022</w:t>
            </w: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60" w:type="dxa"/>
            <w:vAlign w:val="bottom"/>
          </w:tcPr>
          <w:p>
            <w:pPr>
              <w:jc w:val="right"/>
              <w:ind w:right="350"/>
              <w:spacing w:after="0"/>
              <w:rPr>
                <w:sz w:val="20"/>
                <w:szCs w:val="20"/>
                <w:color w:val="auto"/>
              </w:rPr>
            </w:pPr>
            <w:r>
              <w:rPr>
                <w:rFonts w:ascii="Arial" w:cs="Arial" w:eastAsia="Arial" w:hAnsi="Arial"/>
                <w:sz w:val="18"/>
                <w:szCs w:val="18"/>
                <w:b w:val="1"/>
                <w:bCs w:val="1"/>
                <w:color w:val="auto"/>
              </w:rPr>
              <w:t>2021</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80" w:type="dxa"/>
            <w:vAlign w:val="bottom"/>
            <w:gridSpan w:val="2"/>
          </w:tcPr>
          <w:p>
            <w:pPr>
              <w:ind w:left="80"/>
              <w:spacing w:after="0"/>
              <w:rPr>
                <w:sz w:val="20"/>
                <w:szCs w:val="20"/>
                <w:color w:val="auto"/>
              </w:rPr>
            </w:pPr>
            <w:r>
              <w:rPr>
                <w:rFonts w:ascii="Arial" w:cs="Arial" w:eastAsia="Arial" w:hAnsi="Arial"/>
                <w:sz w:val="18"/>
                <w:szCs w:val="18"/>
                <w:b w:val="1"/>
                <w:bCs w:val="1"/>
                <w:color w:val="auto"/>
              </w:rPr>
              <w:t>Change</w:t>
            </w:r>
          </w:p>
        </w:tc>
        <w:tc>
          <w:tcPr>
            <w:tcW w:w="1340" w:type="dxa"/>
            <w:vAlign w:val="bottom"/>
          </w:tcPr>
          <w:p>
            <w:pPr>
              <w:jc w:val="right"/>
              <w:ind w:right="170"/>
              <w:spacing w:after="0"/>
              <w:rPr>
                <w:sz w:val="20"/>
                <w:szCs w:val="20"/>
                <w:color w:val="auto"/>
              </w:rPr>
            </w:pPr>
            <w:r>
              <w:rPr>
                <w:rFonts w:ascii="Arial" w:cs="Arial" w:eastAsia="Arial" w:hAnsi="Arial"/>
                <w:sz w:val="18"/>
                <w:szCs w:val="18"/>
                <w:b w:val="1"/>
                <w:bCs w:val="1"/>
                <w:color w:val="auto"/>
              </w:rPr>
              <w:t>% Change</w:t>
            </w:r>
          </w:p>
        </w:tc>
      </w:tr>
      <w:tr>
        <w:trPr>
          <w:trHeight w:val="210"/>
        </w:trPr>
        <w:tc>
          <w:tcPr>
            <w:tcW w:w="59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Home health services:</w:t>
            </w:r>
          </w:p>
        </w:tc>
        <w:tc>
          <w:tcPr>
            <w:tcW w:w="26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6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340" w:type="dxa"/>
            <w:vAlign w:val="bottom"/>
            <w:tcBorders>
              <w:top w:val="single" w:sz="8" w:color="auto"/>
            </w:tcBorders>
            <w:shd w:val="clear" w:color="auto" w:fill="CCEEFF"/>
          </w:tcPr>
          <w:p>
            <w:pPr>
              <w:spacing w:after="0"/>
              <w:rPr>
                <w:sz w:val="18"/>
                <w:szCs w:val="18"/>
                <w:color w:val="auto"/>
              </w:rPr>
            </w:pPr>
          </w:p>
        </w:tc>
      </w:tr>
      <w:tr>
        <w:trPr>
          <w:trHeight w:val="229"/>
        </w:trPr>
        <w:tc>
          <w:tcPr>
            <w:tcW w:w="5940" w:type="dxa"/>
            <w:vAlign w:val="bottom"/>
          </w:tcPr>
          <w:p>
            <w:pPr>
              <w:ind w:left="360"/>
              <w:spacing w:after="0"/>
              <w:rPr>
                <w:sz w:val="20"/>
                <w:szCs w:val="20"/>
                <w:color w:val="auto"/>
              </w:rPr>
            </w:pPr>
            <w:r>
              <w:rPr>
                <w:rFonts w:ascii="Arial" w:cs="Arial" w:eastAsia="Arial" w:hAnsi="Arial"/>
                <w:sz w:val="18"/>
                <w:szCs w:val="18"/>
                <w:color w:val="auto"/>
              </w:rPr>
              <w:t>Total home health admissions</w:t>
            </w: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10,152</w:t>
            </w: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9,213</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939</w:t>
            </w:r>
          </w:p>
        </w:tc>
        <w:tc>
          <w:tcPr>
            <w:tcW w:w="1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10.2 %</w:t>
            </w:r>
          </w:p>
        </w:tc>
      </w:tr>
      <w:tr>
        <w:trPr>
          <w:trHeight w:val="230"/>
        </w:trPr>
        <w:tc>
          <w:tcPr>
            <w:tcW w:w="59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Total Medicare home health admissions</w:t>
            </w: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4,637</w:t>
            </w:r>
          </w:p>
        </w:tc>
        <w:tc>
          <w:tcPr>
            <w:tcW w:w="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4,211</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426</w:t>
            </w:r>
          </w:p>
        </w:tc>
        <w:tc>
          <w:tcPr>
            <w:tcW w:w="100" w:type="dxa"/>
            <w:vAlign w:val="bottom"/>
            <w:shd w:val="clear" w:color="auto" w:fill="CCEEFF"/>
          </w:tcPr>
          <w:p>
            <w:pPr>
              <w:spacing w:after="0"/>
              <w:rPr>
                <w:sz w:val="19"/>
                <w:szCs w:val="19"/>
                <w:color w:val="auto"/>
              </w:rPr>
            </w:pPr>
          </w:p>
        </w:tc>
        <w:tc>
          <w:tcPr>
            <w:tcW w:w="1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10.1</w:t>
            </w:r>
          </w:p>
        </w:tc>
      </w:tr>
      <w:tr>
        <w:trPr>
          <w:trHeight w:val="230"/>
        </w:trPr>
        <w:tc>
          <w:tcPr>
            <w:tcW w:w="5940" w:type="dxa"/>
            <w:vAlign w:val="bottom"/>
          </w:tcPr>
          <w:p>
            <w:pPr>
              <w:ind w:left="360"/>
              <w:spacing w:after="0"/>
              <w:rPr>
                <w:sz w:val="20"/>
                <w:szCs w:val="20"/>
                <w:color w:val="auto"/>
              </w:rPr>
            </w:pPr>
            <w:r>
              <w:rPr>
                <w:rFonts w:ascii="Arial" w:cs="Arial" w:eastAsia="Arial" w:hAnsi="Arial"/>
                <w:sz w:val="18"/>
                <w:szCs w:val="18"/>
                <w:color w:val="auto"/>
              </w:rPr>
              <w:t>Average Medicare revenue per 60-day completed episode</w:t>
            </w:r>
          </w:p>
        </w:tc>
        <w:tc>
          <w:tcPr>
            <w:tcW w:w="260" w:type="dxa"/>
            <w:vAlign w:val="bottom"/>
          </w:tcPr>
          <w:p>
            <w:pPr>
              <w:ind w:left="20"/>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3,589</w:t>
            </w:r>
          </w:p>
        </w:tc>
        <w:tc>
          <w:tcPr>
            <w:tcW w:w="440" w:type="dxa"/>
            <w:vAlign w:val="bottom"/>
            <w:gridSpan w:val="3"/>
          </w:tcPr>
          <w:p>
            <w:pPr>
              <w:jc w:val="right"/>
              <w:ind w:right="70"/>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3,388</w:t>
            </w:r>
          </w:p>
        </w:tc>
        <w:tc>
          <w:tcPr>
            <w:tcW w:w="100" w:type="dxa"/>
            <w:vAlign w:val="bottom"/>
          </w:tcPr>
          <w:p>
            <w:pPr>
              <w:spacing w:after="0"/>
              <w:rPr>
                <w:sz w:val="19"/>
                <w:szCs w:val="19"/>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201</w:t>
            </w:r>
          </w:p>
        </w:tc>
        <w:tc>
          <w:tcPr>
            <w:tcW w:w="100" w:type="dxa"/>
            <w:vAlign w:val="bottom"/>
          </w:tcPr>
          <w:p>
            <w:pPr>
              <w:spacing w:after="0"/>
              <w:rPr>
                <w:sz w:val="19"/>
                <w:szCs w:val="19"/>
                <w:color w:val="auto"/>
              </w:rPr>
            </w:pPr>
          </w:p>
        </w:tc>
        <w:tc>
          <w:tcPr>
            <w:tcW w:w="1340" w:type="dxa"/>
            <w:vAlign w:val="bottom"/>
          </w:tcPr>
          <w:p>
            <w:pPr>
              <w:jc w:val="right"/>
              <w:ind w:right="130"/>
              <w:spacing w:after="0"/>
              <w:rPr>
                <w:sz w:val="20"/>
                <w:szCs w:val="20"/>
                <w:color w:val="auto"/>
              </w:rPr>
            </w:pPr>
            <w:r>
              <w:rPr>
                <w:rFonts w:ascii="Arial" w:cs="Arial" w:eastAsia="Arial" w:hAnsi="Arial"/>
                <w:sz w:val="18"/>
                <w:szCs w:val="18"/>
                <w:color w:val="auto"/>
              </w:rPr>
              <w:t>5.9</w:t>
            </w:r>
          </w:p>
        </w:tc>
      </w:tr>
      <w:tr>
        <w:trPr>
          <w:trHeight w:val="230"/>
        </w:trPr>
        <w:tc>
          <w:tcPr>
            <w:tcW w:w="5940" w:type="dxa"/>
            <w:vAlign w:val="bottom"/>
            <w:shd w:val="clear" w:color="auto" w:fill="CCEEFF"/>
          </w:tcPr>
          <w:p>
            <w:pPr>
              <w:ind w:left="20"/>
              <w:spacing w:after="0"/>
              <w:rPr>
                <w:sz w:val="20"/>
                <w:szCs w:val="20"/>
                <w:color w:val="auto"/>
              </w:rPr>
            </w:pPr>
            <w:r>
              <w:rPr>
                <w:rFonts w:ascii="Arial" w:cs="Arial" w:eastAsia="Arial" w:hAnsi="Arial"/>
                <w:sz w:val="18"/>
                <w:szCs w:val="18"/>
                <w:color w:val="auto"/>
              </w:rPr>
              <w:t>Hospice services:</w:t>
            </w: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r>
      <w:tr>
        <w:trPr>
          <w:trHeight w:val="229"/>
        </w:trPr>
        <w:tc>
          <w:tcPr>
            <w:tcW w:w="5940" w:type="dxa"/>
            <w:vAlign w:val="bottom"/>
          </w:tcPr>
          <w:p>
            <w:pPr>
              <w:ind w:left="360"/>
              <w:spacing w:after="0"/>
              <w:rPr>
                <w:sz w:val="20"/>
                <w:szCs w:val="20"/>
                <w:color w:val="auto"/>
              </w:rPr>
            </w:pPr>
            <w:r>
              <w:rPr>
                <w:rFonts w:ascii="Arial" w:cs="Arial" w:eastAsia="Arial" w:hAnsi="Arial"/>
                <w:sz w:val="18"/>
                <w:szCs w:val="18"/>
                <w:color w:val="auto"/>
              </w:rPr>
              <w:t>Total hospice admissions</w:t>
            </w: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2,392</w:t>
            </w: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2,219</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173</w:t>
            </w:r>
          </w:p>
        </w:tc>
        <w:tc>
          <w:tcPr>
            <w:tcW w:w="100" w:type="dxa"/>
            <w:vAlign w:val="bottom"/>
          </w:tcPr>
          <w:p>
            <w:pPr>
              <w:spacing w:after="0"/>
              <w:rPr>
                <w:sz w:val="19"/>
                <w:szCs w:val="19"/>
                <w:color w:val="auto"/>
              </w:rPr>
            </w:pPr>
          </w:p>
        </w:tc>
        <w:tc>
          <w:tcPr>
            <w:tcW w:w="1340" w:type="dxa"/>
            <w:vAlign w:val="bottom"/>
          </w:tcPr>
          <w:p>
            <w:pPr>
              <w:jc w:val="right"/>
              <w:ind w:right="130"/>
              <w:spacing w:after="0"/>
              <w:rPr>
                <w:sz w:val="20"/>
                <w:szCs w:val="20"/>
                <w:color w:val="auto"/>
              </w:rPr>
            </w:pPr>
            <w:r>
              <w:rPr>
                <w:rFonts w:ascii="Arial" w:cs="Arial" w:eastAsia="Arial" w:hAnsi="Arial"/>
                <w:sz w:val="18"/>
                <w:szCs w:val="18"/>
                <w:color w:val="auto"/>
              </w:rPr>
              <w:t>7.8</w:t>
            </w:r>
          </w:p>
        </w:tc>
      </w:tr>
      <w:tr>
        <w:trPr>
          <w:trHeight w:val="230"/>
        </w:trPr>
        <w:tc>
          <w:tcPr>
            <w:tcW w:w="59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Average daily census</w:t>
            </w: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2,293</w:t>
            </w:r>
          </w:p>
        </w:tc>
        <w:tc>
          <w:tcPr>
            <w:tcW w:w="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2,337</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w:t>
            </w:r>
          </w:p>
        </w:tc>
        <w:tc>
          <w:tcPr>
            <w:tcW w:w="100" w:type="dxa"/>
            <w:vAlign w:val="bottom"/>
            <w:shd w:val="clear" w:color="auto" w:fill="CCEEFF"/>
          </w:tcPr>
          <w:p>
            <w:pPr>
              <w:spacing w:after="0"/>
              <w:rPr>
                <w:sz w:val="19"/>
                <w:szCs w:val="19"/>
                <w:color w:val="auto"/>
              </w:rPr>
            </w:pPr>
          </w:p>
        </w:tc>
        <w:tc>
          <w:tcPr>
            <w:tcW w:w="134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(1.9)</w:t>
            </w:r>
          </w:p>
        </w:tc>
      </w:tr>
      <w:tr>
        <w:trPr>
          <w:trHeight w:val="230"/>
        </w:trPr>
        <w:tc>
          <w:tcPr>
            <w:tcW w:w="5940" w:type="dxa"/>
            <w:vAlign w:val="bottom"/>
          </w:tcPr>
          <w:p>
            <w:pPr>
              <w:ind w:left="360"/>
              <w:spacing w:after="0"/>
              <w:rPr>
                <w:sz w:val="20"/>
                <w:szCs w:val="20"/>
                <w:color w:val="auto"/>
              </w:rPr>
            </w:pPr>
            <w:r>
              <w:rPr>
                <w:rFonts w:ascii="Arial" w:cs="Arial" w:eastAsia="Arial" w:hAnsi="Arial"/>
                <w:sz w:val="18"/>
                <w:szCs w:val="18"/>
                <w:color w:val="auto"/>
              </w:rPr>
              <w:t>Hospice Medicare revenue per day</w:t>
            </w:r>
          </w:p>
        </w:tc>
        <w:tc>
          <w:tcPr>
            <w:tcW w:w="260" w:type="dxa"/>
            <w:vAlign w:val="bottom"/>
          </w:tcPr>
          <w:p>
            <w:pPr>
              <w:ind w:left="20"/>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176</w:t>
            </w:r>
          </w:p>
        </w:tc>
        <w:tc>
          <w:tcPr>
            <w:tcW w:w="440" w:type="dxa"/>
            <w:vAlign w:val="bottom"/>
            <w:gridSpan w:val="3"/>
          </w:tcPr>
          <w:p>
            <w:pPr>
              <w:jc w:val="right"/>
              <w:ind w:right="70"/>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174</w:t>
            </w:r>
          </w:p>
        </w:tc>
        <w:tc>
          <w:tcPr>
            <w:tcW w:w="100" w:type="dxa"/>
            <w:vAlign w:val="bottom"/>
          </w:tcPr>
          <w:p>
            <w:pPr>
              <w:spacing w:after="0"/>
              <w:rPr>
                <w:sz w:val="19"/>
                <w:szCs w:val="19"/>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19"/>
                <w:szCs w:val="19"/>
                <w:color w:val="auto"/>
              </w:rPr>
            </w:pPr>
          </w:p>
        </w:tc>
        <w:tc>
          <w:tcPr>
            <w:tcW w:w="1340" w:type="dxa"/>
            <w:vAlign w:val="bottom"/>
          </w:tcPr>
          <w:p>
            <w:pPr>
              <w:jc w:val="right"/>
              <w:ind w:right="130"/>
              <w:spacing w:after="0"/>
              <w:rPr>
                <w:sz w:val="20"/>
                <w:szCs w:val="20"/>
                <w:color w:val="auto"/>
              </w:rPr>
            </w:pPr>
            <w:r>
              <w:rPr>
                <w:rFonts w:ascii="Arial" w:cs="Arial" w:eastAsia="Arial" w:hAnsi="Arial"/>
                <w:sz w:val="18"/>
                <w:szCs w:val="18"/>
                <w:color w:val="auto"/>
              </w:rPr>
              <w:t>1.1</w:t>
            </w:r>
          </w:p>
        </w:tc>
      </w:tr>
      <w:tr>
        <w:trPr>
          <w:trHeight w:val="230"/>
        </w:trPr>
        <w:tc>
          <w:tcPr>
            <w:tcW w:w="5940" w:type="dxa"/>
            <w:vAlign w:val="bottom"/>
            <w:shd w:val="clear" w:color="auto" w:fill="CCEEFF"/>
          </w:tcPr>
          <w:p>
            <w:pPr>
              <w:ind w:left="40"/>
              <w:spacing w:after="0"/>
              <w:rPr>
                <w:sz w:val="20"/>
                <w:szCs w:val="20"/>
                <w:color w:val="auto"/>
              </w:rPr>
            </w:pPr>
            <w:r>
              <w:rPr>
                <w:rFonts w:ascii="Arial" w:cs="Arial" w:eastAsia="Arial" w:hAnsi="Arial"/>
                <w:sz w:val="18"/>
                <w:szCs w:val="18"/>
                <w:color w:val="auto"/>
              </w:rPr>
              <w:t>Number of home health and hospice agencies at period end</w:t>
            </w: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w:t>
            </w:r>
          </w:p>
        </w:tc>
        <w:tc>
          <w:tcPr>
            <w:tcW w:w="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100" w:type="dxa"/>
            <w:vAlign w:val="bottom"/>
            <w:shd w:val="clear" w:color="auto" w:fill="CCEEFF"/>
          </w:tcPr>
          <w:p>
            <w:pPr>
              <w:spacing w:after="0"/>
              <w:rPr>
                <w:sz w:val="19"/>
                <w:szCs w:val="19"/>
                <w:color w:val="auto"/>
              </w:rPr>
            </w:pPr>
          </w:p>
        </w:tc>
        <w:tc>
          <w:tcPr>
            <w:tcW w:w="1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6.8</w:t>
            </w:r>
          </w:p>
        </w:tc>
      </w:tr>
    </w:tbl>
    <w:p>
      <w:pPr>
        <w:spacing w:after="0" w:line="323"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Home health and hospice revenue increased $6.8 million, or 8.6%. Revenue grew due to an increase in certain key performance indicators including, an increase of 10.1% in Medicare home health admissions, an increase in total hospice</w:t>
      </w: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41" w:name="page42"/>
    <w:bookmarkEnd w:id="41"/>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6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admissions of 7.8%, and an increase of 1.1% in hospice Medicare revenue per day, during the three months ended September 30, 2022 in comparison to the prior year’s quarter.</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560" w:type="dxa"/>
            <w:vAlign w:val="bottom"/>
          </w:tcPr>
          <w:p>
            <w:pPr>
              <w:spacing w:after="0"/>
              <w:rPr>
                <w:sz w:val="20"/>
                <w:szCs w:val="20"/>
                <w:color w:val="auto"/>
              </w:rPr>
            </w:pPr>
            <w:r>
              <w:rPr>
                <w:rFonts w:ascii="Arial" w:cs="Arial" w:eastAsia="Arial" w:hAnsi="Arial"/>
                <w:sz w:val="18"/>
                <w:szCs w:val="18"/>
                <w:i w:val="1"/>
                <w:iCs w:val="1"/>
                <w:color w:val="auto"/>
              </w:rPr>
              <w:t>Senior Living Services</w:t>
            </w:r>
          </w:p>
        </w:tc>
        <w:tc>
          <w:tcPr>
            <w:tcW w:w="14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60" w:type="dxa"/>
            <w:vAlign w:val="bottom"/>
          </w:tcPr>
          <w:p>
            <w:pPr>
              <w:spacing w:after="0"/>
              <w:rPr>
                <w:sz w:val="20"/>
                <w:szCs w:val="20"/>
                <w:color w:val="auto"/>
              </w:rPr>
            </w:pPr>
          </w:p>
        </w:tc>
      </w:tr>
      <w:tr>
        <w:trPr>
          <w:trHeight w:val="203"/>
        </w:trPr>
        <w:tc>
          <w:tcPr>
            <w:tcW w:w="55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760" w:type="dxa"/>
            <w:vAlign w:val="bottom"/>
            <w:gridSpan w:val="4"/>
          </w:tcPr>
          <w:p>
            <w:pPr>
              <w:spacing w:after="0" w:line="202" w:lineRule="exact"/>
              <w:rPr>
                <w:sz w:val="20"/>
                <w:szCs w:val="20"/>
                <w:color w:val="auto"/>
              </w:rPr>
            </w:pPr>
            <w:r>
              <w:rPr>
                <w:rFonts w:ascii="Arial" w:cs="Arial" w:eastAsia="Arial" w:hAnsi="Arial"/>
                <w:sz w:val="18"/>
                <w:szCs w:val="18"/>
                <w:b w:val="1"/>
                <w:bCs w:val="1"/>
                <w:color w:val="auto"/>
                <w:w w:val="99"/>
              </w:rPr>
              <w:t>Three Months Ended September</w:t>
            </w:r>
          </w:p>
        </w:tc>
        <w:tc>
          <w:tcPr>
            <w:tcW w:w="2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60" w:type="dxa"/>
            <w:vAlign w:val="bottom"/>
          </w:tcPr>
          <w:p>
            <w:pPr>
              <w:spacing w:after="0"/>
              <w:rPr>
                <w:sz w:val="17"/>
                <w:szCs w:val="17"/>
                <w:color w:val="auto"/>
              </w:rPr>
            </w:pPr>
          </w:p>
        </w:tc>
      </w:tr>
      <w:tr>
        <w:trPr>
          <w:trHeight w:val="237"/>
        </w:trPr>
        <w:tc>
          <w:tcPr>
            <w:tcW w:w="556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spacing w:after="0"/>
              <w:rPr>
                <w:sz w:val="20"/>
                <w:szCs w:val="20"/>
                <w:color w:val="auto"/>
              </w:rPr>
            </w:pPr>
          </w:p>
        </w:tc>
        <w:tc>
          <w:tcPr>
            <w:tcW w:w="5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rPr>
              <w:t>30,</w:t>
            </w:r>
          </w:p>
        </w:tc>
        <w:tc>
          <w:tcPr>
            <w:tcW w:w="10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60" w:type="dxa"/>
            <w:vAlign w:val="bottom"/>
          </w:tcPr>
          <w:p>
            <w:pPr>
              <w:spacing w:after="0"/>
              <w:rPr>
                <w:sz w:val="20"/>
                <w:szCs w:val="20"/>
                <w:color w:val="auto"/>
              </w:rPr>
            </w:pPr>
          </w:p>
        </w:tc>
      </w:tr>
      <w:tr>
        <w:trPr>
          <w:trHeight w:val="229"/>
        </w:trPr>
        <w:tc>
          <w:tcPr>
            <w:tcW w:w="55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tcPr>
          <w:p>
            <w:pPr>
              <w:jc w:val="right"/>
              <w:ind w:right="250"/>
              <w:spacing w:after="0"/>
              <w:rPr>
                <w:sz w:val="20"/>
                <w:szCs w:val="20"/>
                <w:color w:val="auto"/>
              </w:rPr>
            </w:pPr>
            <w:r>
              <w:rPr>
                <w:rFonts w:ascii="Arial" w:cs="Arial" w:eastAsia="Arial" w:hAnsi="Arial"/>
                <w:sz w:val="18"/>
                <w:szCs w:val="18"/>
                <w:b w:val="1"/>
                <w:bCs w:val="1"/>
                <w:color w:val="auto"/>
              </w:rPr>
              <w:t>2022</w:t>
            </w:r>
          </w:p>
        </w:tc>
        <w:tc>
          <w:tcPr>
            <w:tcW w:w="560" w:type="dxa"/>
            <w:vAlign w:val="bottom"/>
          </w:tcPr>
          <w:p>
            <w:pPr>
              <w:spacing w:after="0"/>
              <w:rPr>
                <w:sz w:val="19"/>
                <w:szCs w:val="19"/>
                <w:color w:val="auto"/>
              </w:rPr>
            </w:pPr>
          </w:p>
        </w:tc>
        <w:tc>
          <w:tcPr>
            <w:tcW w:w="1040" w:type="dxa"/>
            <w:vAlign w:val="bottom"/>
          </w:tcPr>
          <w:p>
            <w:pPr>
              <w:jc w:val="right"/>
              <w:ind w:right="410"/>
              <w:spacing w:after="0"/>
              <w:rPr>
                <w:sz w:val="20"/>
                <w:szCs w:val="20"/>
                <w:color w:val="auto"/>
              </w:rPr>
            </w:pPr>
            <w:r>
              <w:rPr>
                <w:rFonts w:ascii="Arial" w:cs="Arial" w:eastAsia="Arial" w:hAnsi="Arial"/>
                <w:sz w:val="18"/>
                <w:szCs w:val="18"/>
                <w:b w:val="1"/>
                <w:bCs w:val="1"/>
                <w:color w:val="auto"/>
              </w:rPr>
              <w:t>2021</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80" w:type="dxa"/>
            <w:vAlign w:val="bottom"/>
            <w:gridSpan w:val="2"/>
          </w:tcPr>
          <w:p>
            <w:pPr>
              <w:ind w:left="120"/>
              <w:spacing w:after="0"/>
              <w:rPr>
                <w:sz w:val="20"/>
                <w:szCs w:val="20"/>
                <w:color w:val="auto"/>
              </w:rPr>
            </w:pPr>
            <w:r>
              <w:rPr>
                <w:rFonts w:ascii="Arial" w:cs="Arial" w:eastAsia="Arial" w:hAnsi="Arial"/>
                <w:sz w:val="18"/>
                <w:szCs w:val="18"/>
                <w:b w:val="1"/>
                <w:bCs w:val="1"/>
                <w:color w:val="auto"/>
              </w:rPr>
              <w:t>Change</w:t>
            </w:r>
          </w:p>
        </w:tc>
        <w:tc>
          <w:tcPr>
            <w:tcW w:w="1360" w:type="dxa"/>
            <w:vAlign w:val="bottom"/>
          </w:tcPr>
          <w:p>
            <w:pPr>
              <w:ind w:left="280"/>
              <w:spacing w:after="0"/>
              <w:rPr>
                <w:sz w:val="20"/>
                <w:szCs w:val="20"/>
                <w:color w:val="auto"/>
              </w:rPr>
            </w:pPr>
            <w:r>
              <w:rPr>
                <w:rFonts w:ascii="Arial" w:cs="Arial" w:eastAsia="Arial" w:hAnsi="Arial"/>
                <w:sz w:val="18"/>
                <w:szCs w:val="18"/>
                <w:b w:val="1"/>
                <w:bCs w:val="1"/>
                <w:color w:val="auto"/>
              </w:rPr>
              <w:t>% Change</w:t>
            </w:r>
          </w:p>
        </w:tc>
      </w:tr>
      <w:tr>
        <w:trPr>
          <w:trHeight w:val="250"/>
        </w:trPr>
        <w:tc>
          <w:tcPr>
            <w:tcW w:w="5560" w:type="dxa"/>
            <w:vAlign w:val="bottom"/>
          </w:tcPr>
          <w:p>
            <w:pPr>
              <w:spacing w:after="0"/>
              <w:rPr>
                <w:sz w:val="21"/>
                <w:szCs w:val="21"/>
                <w:color w:val="auto"/>
              </w:rPr>
            </w:pPr>
          </w:p>
        </w:tc>
        <w:tc>
          <w:tcPr>
            <w:tcW w:w="140" w:type="dxa"/>
            <w:vAlign w:val="bottom"/>
            <w:tcBorders>
              <w:top w:val="single" w:sz="8" w:color="auto"/>
            </w:tcBorders>
          </w:tcPr>
          <w:p>
            <w:pPr>
              <w:spacing w:after="0"/>
              <w:rPr>
                <w:sz w:val="21"/>
                <w:szCs w:val="21"/>
                <w:color w:val="auto"/>
              </w:rPr>
            </w:pPr>
          </w:p>
        </w:tc>
        <w:tc>
          <w:tcPr>
            <w:tcW w:w="1060" w:type="dxa"/>
            <w:vAlign w:val="bottom"/>
            <w:tcBorders>
              <w:top w:val="single" w:sz="8" w:color="auto"/>
            </w:tcBorders>
          </w:tcPr>
          <w:p>
            <w:pPr>
              <w:spacing w:after="0"/>
              <w:rPr>
                <w:sz w:val="21"/>
                <w:szCs w:val="21"/>
                <w:color w:val="auto"/>
              </w:rPr>
            </w:pPr>
          </w:p>
        </w:tc>
        <w:tc>
          <w:tcPr>
            <w:tcW w:w="560" w:type="dxa"/>
            <w:vAlign w:val="bottom"/>
            <w:tcBorders>
              <w:top w:val="single" w:sz="8" w:color="auto"/>
            </w:tcBorders>
          </w:tcPr>
          <w:p>
            <w:pPr>
              <w:spacing w:after="0"/>
              <w:rPr>
                <w:sz w:val="21"/>
                <w:szCs w:val="21"/>
                <w:color w:val="auto"/>
              </w:rPr>
            </w:pPr>
          </w:p>
        </w:tc>
        <w:tc>
          <w:tcPr>
            <w:tcW w:w="104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Borders>
              <w:top w:val="single" w:sz="8" w:color="auto"/>
            </w:tcBorders>
          </w:tcPr>
          <w:p>
            <w:pPr>
              <w:spacing w:after="0"/>
              <w:rPr>
                <w:sz w:val="21"/>
                <w:szCs w:val="21"/>
                <w:color w:val="auto"/>
              </w:rPr>
            </w:pPr>
          </w:p>
        </w:tc>
        <w:tc>
          <w:tcPr>
            <w:tcW w:w="108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360" w:type="dxa"/>
            <w:vAlign w:val="bottom"/>
            <w:tcBorders>
              <w:top w:val="single" w:sz="8" w:color="auto"/>
            </w:tcBorders>
          </w:tcPr>
          <w:p>
            <w:pPr>
              <w:spacing w:after="0"/>
              <w:rPr>
                <w:sz w:val="21"/>
                <w:szCs w:val="21"/>
                <w:color w:val="auto"/>
              </w:rPr>
            </w:pPr>
          </w:p>
        </w:tc>
      </w:tr>
      <w:tr>
        <w:trPr>
          <w:trHeight w:val="229"/>
        </w:trPr>
        <w:tc>
          <w:tcPr>
            <w:tcW w:w="556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Revenue (in thousands)</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32,571</w:t>
            </w:r>
          </w:p>
        </w:tc>
        <w:tc>
          <w:tcPr>
            <w:tcW w:w="56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32,918</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(347)</w:t>
            </w:r>
          </w:p>
        </w:tc>
        <w:tc>
          <w:tcPr>
            <w:tcW w:w="100" w:type="dxa"/>
            <w:vAlign w:val="bottom"/>
            <w:shd w:val="clear" w:color="auto" w:fill="CCEEFF"/>
          </w:tcPr>
          <w:p>
            <w:pPr>
              <w:spacing w:after="0"/>
              <w:rPr>
                <w:sz w:val="19"/>
                <w:szCs w:val="19"/>
                <w:color w:val="auto"/>
              </w:rPr>
            </w:pPr>
          </w:p>
        </w:tc>
        <w:tc>
          <w:tcPr>
            <w:tcW w:w="1360" w:type="dxa"/>
            <w:vAlign w:val="bottom"/>
            <w:shd w:val="clear" w:color="auto" w:fill="CCEEFF"/>
          </w:tcPr>
          <w:p>
            <w:pPr>
              <w:ind w:left="840"/>
              <w:spacing w:after="0"/>
              <w:rPr>
                <w:sz w:val="20"/>
                <w:szCs w:val="20"/>
                <w:color w:val="auto"/>
              </w:rPr>
            </w:pPr>
            <w:r>
              <w:rPr>
                <w:rFonts w:ascii="Arial" w:cs="Arial" w:eastAsia="Arial" w:hAnsi="Arial"/>
                <w:sz w:val="18"/>
                <w:szCs w:val="18"/>
                <w:color w:val="auto"/>
                <w:w w:val="94"/>
              </w:rPr>
              <w:t>(1.1)%</w:t>
            </w:r>
          </w:p>
        </w:tc>
      </w:tr>
      <w:tr>
        <w:trPr>
          <w:trHeight w:val="230"/>
        </w:trPr>
        <w:tc>
          <w:tcPr>
            <w:tcW w:w="5560" w:type="dxa"/>
            <w:vAlign w:val="bottom"/>
          </w:tcPr>
          <w:p>
            <w:pPr>
              <w:ind w:left="20"/>
              <w:spacing w:after="0"/>
              <w:rPr>
                <w:sz w:val="20"/>
                <w:szCs w:val="20"/>
                <w:color w:val="auto"/>
              </w:rPr>
            </w:pPr>
            <w:r>
              <w:rPr>
                <w:rFonts w:ascii="Arial" w:cs="Arial" w:eastAsia="Arial" w:hAnsi="Arial"/>
                <w:sz w:val="18"/>
                <w:szCs w:val="18"/>
                <w:color w:val="auto"/>
              </w:rPr>
              <w:t>Number of communities at period end</w:t>
            </w:r>
          </w:p>
        </w:tc>
        <w:tc>
          <w:tcPr>
            <w:tcW w:w="1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49</w:t>
            </w:r>
          </w:p>
        </w:tc>
        <w:tc>
          <w:tcPr>
            <w:tcW w:w="560" w:type="dxa"/>
            <w:vAlign w:val="bottom"/>
          </w:tcPr>
          <w:p>
            <w:pPr>
              <w:spacing w:after="0"/>
              <w:rPr>
                <w:sz w:val="19"/>
                <w:szCs w:val="19"/>
                <w:color w:val="auto"/>
              </w:rPr>
            </w:pPr>
          </w:p>
        </w:tc>
        <w:tc>
          <w:tcPr>
            <w:tcW w:w="1040" w:type="dxa"/>
            <w:vAlign w:val="bottom"/>
          </w:tcPr>
          <w:p>
            <w:pPr>
              <w:jc w:val="right"/>
              <w:ind w:right="130"/>
              <w:spacing w:after="0"/>
              <w:rPr>
                <w:sz w:val="20"/>
                <w:szCs w:val="20"/>
                <w:color w:val="auto"/>
              </w:rPr>
            </w:pPr>
            <w:r>
              <w:rPr>
                <w:rFonts w:ascii="Arial" w:cs="Arial" w:eastAsia="Arial" w:hAnsi="Arial"/>
                <w:sz w:val="18"/>
                <w:szCs w:val="18"/>
                <w:color w:val="auto"/>
              </w:rPr>
              <w:t>54</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80" w:type="dxa"/>
            <w:vAlign w:val="bottom"/>
          </w:tcPr>
          <w:p>
            <w:pPr>
              <w:jc w:val="right"/>
              <w:ind w:right="90"/>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19"/>
                <w:szCs w:val="19"/>
                <w:color w:val="auto"/>
              </w:rPr>
            </w:pPr>
          </w:p>
        </w:tc>
        <w:tc>
          <w:tcPr>
            <w:tcW w:w="1360" w:type="dxa"/>
            <w:vAlign w:val="bottom"/>
          </w:tcPr>
          <w:p>
            <w:pPr>
              <w:ind w:left="840"/>
              <w:spacing w:after="0"/>
              <w:rPr>
                <w:sz w:val="20"/>
                <w:szCs w:val="20"/>
                <w:color w:val="auto"/>
              </w:rPr>
            </w:pPr>
            <w:r>
              <w:rPr>
                <w:rFonts w:ascii="Arial" w:cs="Arial" w:eastAsia="Arial" w:hAnsi="Arial"/>
                <w:sz w:val="18"/>
                <w:szCs w:val="18"/>
                <w:color w:val="auto"/>
              </w:rPr>
              <w:t>(9.3)</w:t>
            </w:r>
          </w:p>
        </w:tc>
      </w:tr>
      <w:tr>
        <w:trPr>
          <w:trHeight w:val="229"/>
        </w:trPr>
        <w:tc>
          <w:tcPr>
            <w:tcW w:w="5560" w:type="dxa"/>
            <w:vAlign w:val="bottom"/>
            <w:shd w:val="clear" w:color="auto" w:fill="CCEEFF"/>
          </w:tcPr>
          <w:p>
            <w:pPr>
              <w:ind w:left="20"/>
              <w:spacing w:after="0"/>
              <w:rPr>
                <w:sz w:val="20"/>
                <w:szCs w:val="20"/>
                <w:color w:val="auto"/>
              </w:rPr>
            </w:pPr>
            <w:r>
              <w:rPr>
                <w:rFonts w:ascii="Arial" w:cs="Arial" w:eastAsia="Arial" w:hAnsi="Arial"/>
                <w:sz w:val="18"/>
                <w:szCs w:val="18"/>
                <w:color w:val="auto"/>
              </w:rPr>
              <w:t>Occupancy</w:t>
            </w:r>
          </w:p>
        </w:tc>
        <w:tc>
          <w:tcPr>
            <w:tcW w:w="140" w:type="dxa"/>
            <w:vAlign w:val="bottom"/>
            <w:shd w:val="clear" w:color="auto" w:fill="CCEEFF"/>
          </w:tcPr>
          <w:p>
            <w:pPr>
              <w:spacing w:after="0"/>
              <w:rPr>
                <w:sz w:val="19"/>
                <w:szCs w:val="19"/>
                <w:color w:val="auto"/>
              </w:rPr>
            </w:pPr>
          </w:p>
        </w:tc>
        <w:tc>
          <w:tcPr>
            <w:tcW w:w="1620" w:type="dxa"/>
            <w:vAlign w:val="bottom"/>
            <w:gridSpan w:val="2"/>
            <w:shd w:val="clear" w:color="auto" w:fill="CCEEFF"/>
          </w:tcPr>
          <w:p>
            <w:pPr>
              <w:jc w:val="right"/>
              <w:ind w:right="350"/>
              <w:spacing w:after="0"/>
              <w:rPr>
                <w:sz w:val="20"/>
                <w:szCs w:val="20"/>
                <w:color w:val="auto"/>
              </w:rPr>
            </w:pPr>
            <w:r>
              <w:rPr>
                <w:rFonts w:ascii="Arial" w:cs="Arial" w:eastAsia="Arial" w:hAnsi="Arial"/>
                <w:sz w:val="18"/>
                <w:szCs w:val="18"/>
                <w:color w:val="auto"/>
              </w:rPr>
              <w:t>76.5 %</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73.7 %</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2.8 %</w:t>
            </w:r>
          </w:p>
        </w:tc>
        <w:tc>
          <w:tcPr>
            <w:tcW w:w="10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r>
      <w:tr>
        <w:trPr>
          <w:trHeight w:val="230"/>
        </w:trPr>
        <w:tc>
          <w:tcPr>
            <w:tcW w:w="5560" w:type="dxa"/>
            <w:vAlign w:val="bottom"/>
          </w:tcPr>
          <w:p>
            <w:pPr>
              <w:ind w:left="20"/>
              <w:spacing w:after="0"/>
              <w:rPr>
                <w:sz w:val="20"/>
                <w:szCs w:val="20"/>
                <w:color w:val="auto"/>
              </w:rPr>
            </w:pPr>
            <w:r>
              <w:rPr>
                <w:rFonts w:ascii="Arial" w:cs="Arial" w:eastAsia="Arial" w:hAnsi="Arial"/>
                <w:sz w:val="18"/>
                <w:szCs w:val="18"/>
                <w:color w:val="auto"/>
              </w:rPr>
              <w:t>Average monthly revenue per occupied unit</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3,560</w:t>
            </w:r>
          </w:p>
        </w:tc>
        <w:tc>
          <w:tcPr>
            <w:tcW w:w="56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130"/>
              <w:spacing w:after="0"/>
              <w:rPr>
                <w:sz w:val="20"/>
                <w:szCs w:val="20"/>
                <w:color w:val="auto"/>
              </w:rPr>
            </w:pPr>
            <w:r>
              <w:rPr>
                <w:rFonts w:ascii="Arial" w:cs="Arial" w:eastAsia="Arial" w:hAnsi="Arial"/>
                <w:sz w:val="18"/>
                <w:szCs w:val="18"/>
                <w:color w:val="auto"/>
              </w:rPr>
              <w:t>3,174</w:t>
            </w:r>
          </w:p>
        </w:tc>
        <w:tc>
          <w:tcPr>
            <w:tcW w:w="100" w:type="dxa"/>
            <w:vAlign w:val="bottom"/>
          </w:tcPr>
          <w:p>
            <w:pPr>
              <w:spacing w:after="0"/>
              <w:rPr>
                <w:sz w:val="20"/>
                <w:szCs w:val="20"/>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ind w:right="130"/>
              <w:spacing w:after="0"/>
              <w:rPr>
                <w:sz w:val="20"/>
                <w:szCs w:val="20"/>
                <w:color w:val="auto"/>
              </w:rPr>
            </w:pPr>
            <w:r>
              <w:rPr>
                <w:rFonts w:ascii="Arial" w:cs="Arial" w:eastAsia="Arial" w:hAnsi="Arial"/>
                <w:sz w:val="18"/>
                <w:szCs w:val="18"/>
                <w:color w:val="auto"/>
              </w:rPr>
              <w:t>386</w:t>
            </w:r>
          </w:p>
        </w:tc>
        <w:tc>
          <w:tcPr>
            <w:tcW w:w="100" w:type="dxa"/>
            <w:vAlign w:val="bottom"/>
          </w:tcPr>
          <w:p>
            <w:pPr>
              <w:spacing w:after="0"/>
              <w:rPr>
                <w:sz w:val="20"/>
                <w:szCs w:val="20"/>
                <w:color w:val="auto"/>
              </w:rPr>
            </w:pPr>
          </w:p>
        </w:tc>
        <w:tc>
          <w:tcPr>
            <w:tcW w:w="1360" w:type="dxa"/>
            <w:vAlign w:val="bottom"/>
          </w:tcPr>
          <w:p>
            <w:pPr>
              <w:ind w:left="820"/>
              <w:spacing w:after="0"/>
              <w:rPr>
                <w:sz w:val="20"/>
                <w:szCs w:val="20"/>
                <w:color w:val="auto"/>
              </w:rPr>
            </w:pPr>
            <w:r>
              <w:rPr>
                <w:rFonts w:ascii="Arial" w:cs="Arial" w:eastAsia="Arial" w:hAnsi="Arial"/>
                <w:sz w:val="18"/>
                <w:szCs w:val="18"/>
                <w:color w:val="auto"/>
              </w:rPr>
              <w:t>12.2</w:t>
            </w:r>
          </w:p>
        </w:tc>
      </w:tr>
    </w:tbl>
    <w:p>
      <w:pPr>
        <w:spacing w:after="0" w:line="322" w:lineRule="exact"/>
        <w:rPr>
          <w:sz w:val="20"/>
          <w:szCs w:val="20"/>
          <w:color w:val="auto"/>
        </w:rPr>
      </w:pPr>
    </w:p>
    <w:p>
      <w:pPr>
        <w:jc w:val="both"/>
        <w:ind w:firstLine="648"/>
        <w:spacing w:after="0" w:line="301" w:lineRule="auto"/>
        <w:rPr>
          <w:sz w:val="20"/>
          <w:szCs w:val="20"/>
          <w:color w:val="auto"/>
        </w:rPr>
      </w:pPr>
      <w:r>
        <w:rPr>
          <w:rFonts w:ascii="Arial" w:cs="Arial" w:eastAsia="Arial" w:hAnsi="Arial"/>
          <w:sz w:val="16"/>
          <w:szCs w:val="16"/>
          <w:color w:val="auto"/>
        </w:rPr>
        <w:t>Senior living revenue decreased $0.3 million, or 1.1%, for the three months ended September 30, 2022 compared to the same period in the prior year due primarily to the loss revenue from senior living communities transferred to Ensign, offset by occupancy growth of 2.8% and a 12.2% increase in average monthly revenue per occupied unit between September 30, 2021 and September 30, 2022. Occupancy includes the most recently acquired senior living operation; occupancy excluding that community would have been 77.6% for the three months ended September 30, 2022.</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Cost of Services</w:t>
      </w:r>
    </w:p>
    <w:p>
      <w:pPr>
        <w:spacing w:after="0" w:line="25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sets forth total cost of services by each of our reportable segments for the periods indicated:</w:t>
      </w:r>
    </w:p>
    <w:p>
      <w:pPr>
        <w:spacing w:after="0" w:line="26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860" w:type="dxa"/>
            <w:vAlign w:val="bottom"/>
          </w:tcPr>
          <w:p>
            <w:pPr>
              <w:spacing w:after="0"/>
              <w:rPr>
                <w:sz w:val="17"/>
                <w:szCs w:val="17"/>
                <w:color w:val="auto"/>
              </w:rPr>
            </w:pPr>
          </w:p>
        </w:tc>
        <w:tc>
          <w:tcPr>
            <w:tcW w:w="2660" w:type="dxa"/>
            <w:vAlign w:val="bottom"/>
            <w:gridSpan w:val="7"/>
          </w:tcPr>
          <w:p>
            <w:pPr>
              <w:ind w:left="40"/>
              <w:spacing w:after="0"/>
              <w:rPr>
                <w:sz w:val="20"/>
                <w:szCs w:val="20"/>
                <w:color w:val="auto"/>
              </w:rPr>
            </w:pPr>
            <w:r>
              <w:rPr>
                <w:rFonts w:ascii="Arial" w:cs="Arial" w:eastAsia="Arial" w:hAnsi="Arial"/>
                <w:sz w:val="18"/>
                <w:szCs w:val="18"/>
                <w:b w:val="1"/>
                <w:bCs w:val="1"/>
                <w:color w:val="auto"/>
                <w:w w:val="94"/>
              </w:rPr>
              <w:t>Three Months Ended September</w:t>
            </w:r>
          </w:p>
        </w:tc>
        <w:tc>
          <w:tcPr>
            <w:tcW w:w="2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80" w:type="dxa"/>
            <w:vAlign w:val="bottom"/>
          </w:tcPr>
          <w:p>
            <w:pPr>
              <w:spacing w:after="0"/>
              <w:rPr>
                <w:sz w:val="17"/>
                <w:szCs w:val="17"/>
                <w:color w:val="auto"/>
              </w:rPr>
            </w:pPr>
          </w:p>
        </w:tc>
      </w:tr>
      <w:tr>
        <w:trPr>
          <w:trHeight w:val="237"/>
        </w:trPr>
        <w:tc>
          <w:tcPr>
            <w:tcW w:w="586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c>
          <w:tcPr>
            <w:tcW w:w="440" w:type="dxa"/>
            <w:vAlign w:val="bottom"/>
            <w:tcBorders>
              <w:bottom w:val="single" w:sz="8" w:color="auto"/>
            </w:tcBorders>
            <w:gridSpan w:val="3"/>
          </w:tcPr>
          <w:p>
            <w:pPr>
              <w:jc w:val="right"/>
              <w:ind w:right="130"/>
              <w:spacing w:after="0"/>
              <w:rPr>
                <w:sz w:val="20"/>
                <w:szCs w:val="20"/>
                <w:color w:val="auto"/>
              </w:rPr>
            </w:pPr>
            <w:r>
              <w:rPr>
                <w:rFonts w:ascii="Arial" w:cs="Arial" w:eastAsia="Arial" w:hAnsi="Arial"/>
                <w:sz w:val="18"/>
                <w:szCs w:val="18"/>
                <w:b w:val="1"/>
                <w:bCs w:val="1"/>
                <w:color w:val="auto"/>
                <w:w w:val="79"/>
              </w:rPr>
              <w:t>30,</w:t>
            </w:r>
          </w:p>
        </w:tc>
        <w:tc>
          <w:tcPr>
            <w:tcW w:w="96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80" w:type="dxa"/>
            <w:vAlign w:val="bottom"/>
          </w:tcPr>
          <w:p>
            <w:pPr>
              <w:spacing w:after="0"/>
              <w:rPr>
                <w:sz w:val="20"/>
                <w:szCs w:val="20"/>
                <w:color w:val="auto"/>
              </w:rPr>
            </w:pPr>
          </w:p>
        </w:tc>
      </w:tr>
      <w:tr>
        <w:trPr>
          <w:trHeight w:val="230"/>
        </w:trPr>
        <w:tc>
          <w:tcPr>
            <w:tcW w:w="586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2022</w:t>
            </w:r>
          </w:p>
        </w:tc>
        <w:tc>
          <w:tcPr>
            <w:tcW w:w="6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2021</w:t>
            </w:r>
          </w:p>
        </w:tc>
        <w:tc>
          <w:tcPr>
            <w:tcW w:w="8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Change</w:t>
            </w:r>
          </w:p>
        </w:tc>
        <w:tc>
          <w:tcPr>
            <w:tcW w:w="100" w:type="dxa"/>
            <w:vAlign w:val="bottom"/>
          </w:tcPr>
          <w:p>
            <w:pPr>
              <w:spacing w:after="0"/>
              <w:rPr>
                <w:sz w:val="19"/>
                <w:szCs w:val="19"/>
                <w:color w:val="auto"/>
              </w:rPr>
            </w:pPr>
          </w:p>
        </w:tc>
        <w:tc>
          <w:tcPr>
            <w:tcW w:w="138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 Change</w:t>
            </w:r>
          </w:p>
        </w:tc>
      </w:tr>
      <w:tr>
        <w:trPr>
          <w:trHeight w:val="223"/>
        </w:trPr>
        <w:tc>
          <w:tcPr>
            <w:tcW w:w="58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300" w:type="dxa"/>
            <w:vAlign w:val="bottom"/>
            <w:gridSpan w:val="5"/>
          </w:tcPr>
          <w:p>
            <w:pPr>
              <w:jc w:val="right"/>
              <w:ind w:right="650"/>
              <w:spacing w:after="0"/>
              <w:rPr>
                <w:sz w:val="20"/>
                <w:szCs w:val="20"/>
                <w:color w:val="auto"/>
              </w:rPr>
            </w:pPr>
            <w:r>
              <w:rPr>
                <w:rFonts w:ascii="Arial" w:cs="Arial" w:eastAsia="Arial" w:hAnsi="Arial"/>
                <w:sz w:val="18"/>
                <w:szCs w:val="18"/>
                <w:b w:val="1"/>
                <w:bCs w:val="1"/>
                <w:color w:val="auto"/>
              </w:rPr>
              <w:t>(In thousands)</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80" w:type="dxa"/>
            <w:vAlign w:val="bottom"/>
          </w:tcPr>
          <w:p>
            <w:pPr>
              <w:spacing w:after="0"/>
              <w:rPr>
                <w:sz w:val="19"/>
                <w:szCs w:val="19"/>
                <w:color w:val="auto"/>
              </w:rPr>
            </w:pPr>
          </w:p>
        </w:tc>
      </w:tr>
      <w:tr>
        <w:trPr>
          <w:trHeight w:val="230"/>
        </w:trPr>
        <w:tc>
          <w:tcPr>
            <w:tcW w:w="5860" w:type="dxa"/>
            <w:vAlign w:val="bottom"/>
            <w:shd w:val="clear" w:color="auto" w:fill="CCEEFF"/>
          </w:tcPr>
          <w:p>
            <w:pPr>
              <w:ind w:left="20"/>
              <w:spacing w:after="0"/>
              <w:rPr>
                <w:sz w:val="20"/>
                <w:szCs w:val="20"/>
                <w:color w:val="auto"/>
              </w:rPr>
            </w:pPr>
            <w:r>
              <w:rPr>
                <w:rFonts w:ascii="Arial" w:cs="Arial" w:eastAsia="Arial" w:hAnsi="Arial"/>
                <w:sz w:val="18"/>
                <w:szCs w:val="18"/>
                <w:color w:val="auto"/>
              </w:rPr>
              <w:t>Home Health and Hospice</w:t>
            </w:r>
          </w:p>
        </w:tc>
        <w:tc>
          <w:tcPr>
            <w:tcW w:w="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71,112</w:t>
            </w:r>
          </w:p>
        </w:tc>
        <w:tc>
          <w:tcPr>
            <w:tcW w:w="440" w:type="dxa"/>
            <w:vAlign w:val="bottom"/>
            <w:gridSpan w:val="3"/>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65,606</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5,506</w:t>
            </w:r>
          </w:p>
        </w:tc>
        <w:tc>
          <w:tcPr>
            <w:tcW w:w="1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8.4 %</w:t>
            </w:r>
          </w:p>
        </w:tc>
      </w:tr>
      <w:tr>
        <w:trPr>
          <w:trHeight w:val="229"/>
        </w:trPr>
        <w:tc>
          <w:tcPr>
            <w:tcW w:w="58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Senior Living</w:t>
            </w:r>
          </w:p>
        </w:tc>
        <w:tc>
          <w:tcPr>
            <w:tcW w:w="28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23,568</w:t>
            </w:r>
          </w:p>
        </w:tc>
        <w:tc>
          <w:tcPr>
            <w:tcW w:w="6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24,013</w:t>
            </w:r>
          </w:p>
        </w:tc>
        <w:tc>
          <w:tcPr>
            <w:tcW w:w="8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(445)</w:t>
            </w:r>
          </w:p>
        </w:tc>
        <w:tc>
          <w:tcPr>
            <w:tcW w:w="1480" w:type="dxa"/>
            <w:vAlign w:val="bottom"/>
            <w:tcBorders>
              <w:bottom w:val="single" w:sz="8" w:color="CCEEFF"/>
            </w:tcBorders>
            <w:gridSpan w:val="2"/>
          </w:tcPr>
          <w:p>
            <w:pPr>
              <w:jc w:val="right"/>
              <w:ind w:right="90"/>
              <w:spacing w:after="0"/>
              <w:rPr>
                <w:sz w:val="20"/>
                <w:szCs w:val="20"/>
                <w:color w:val="auto"/>
              </w:rPr>
            </w:pPr>
            <w:r>
              <w:rPr>
                <w:rFonts w:ascii="Arial" w:cs="Arial" w:eastAsia="Arial" w:hAnsi="Arial"/>
                <w:sz w:val="18"/>
                <w:szCs w:val="18"/>
                <w:color w:val="auto"/>
              </w:rPr>
              <w:t>(1.9)</w:t>
            </w:r>
          </w:p>
        </w:tc>
      </w:tr>
      <w:tr>
        <w:trPr>
          <w:trHeight w:val="248"/>
        </w:trPr>
        <w:tc>
          <w:tcPr>
            <w:tcW w:w="586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Total cost of services</w:t>
            </w:r>
          </w:p>
        </w:tc>
        <w:tc>
          <w:tcPr>
            <w:tcW w:w="2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94,680</w:t>
            </w:r>
          </w:p>
        </w:tc>
        <w:tc>
          <w:tcPr>
            <w:tcW w:w="60" w:type="dxa"/>
            <w:vAlign w:val="bottom"/>
            <w:tcBorders>
              <w:bottom w:val="single" w:sz="8" w:color="auto"/>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89,619</w:t>
            </w:r>
          </w:p>
        </w:tc>
        <w:tc>
          <w:tcPr>
            <w:tcW w:w="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5,061</w:t>
            </w:r>
          </w:p>
        </w:tc>
        <w:tc>
          <w:tcPr>
            <w:tcW w:w="14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5.6 %</w:t>
            </w:r>
          </w:p>
        </w:tc>
      </w:tr>
      <w:tr>
        <w:trPr>
          <w:trHeight w:val="20"/>
        </w:trPr>
        <w:tc>
          <w:tcPr>
            <w:tcW w:w="586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80" w:type="dxa"/>
            <w:vAlign w:val="bottom"/>
            <w:tcBorders>
              <w:top w:val="single" w:sz="8" w:color="CCEEFF"/>
            </w:tcBorders>
          </w:tcPr>
          <w:p>
            <w:pPr>
              <w:spacing w:after="0" w:line="20" w:lineRule="exact"/>
              <w:rPr>
                <w:sz w:val="1"/>
                <w:szCs w:val="1"/>
                <w:color w:val="auto"/>
              </w:rPr>
            </w:pPr>
          </w:p>
        </w:tc>
      </w:tr>
    </w:tbl>
    <w:p>
      <w:pPr>
        <w:spacing w:after="0" w:line="310"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Total consolidated cost of services increased $5.1 million or 5.6% for the three months ended September 30, 2022 when compared to the three months ended September 30, 2021. Cost of services as a percentage of revenue decreased by 0.1% from 80.1% to 80.0% for the three months ended September 30, 2022 when compared to the three months ended September 30, 2021.</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600" w:type="dxa"/>
            <w:vAlign w:val="bottom"/>
          </w:tcPr>
          <w:p>
            <w:pPr>
              <w:spacing w:after="0"/>
              <w:rPr>
                <w:sz w:val="20"/>
                <w:szCs w:val="20"/>
                <w:color w:val="auto"/>
              </w:rPr>
            </w:pPr>
            <w:r>
              <w:rPr>
                <w:rFonts w:ascii="Arial" w:cs="Arial" w:eastAsia="Arial" w:hAnsi="Arial"/>
                <w:sz w:val="18"/>
                <w:szCs w:val="18"/>
                <w:i w:val="1"/>
                <w:iCs w:val="1"/>
                <w:color w:val="auto"/>
              </w:rPr>
              <w:t>Home Health and Hospice Services</w:t>
            </w:r>
          </w:p>
        </w:tc>
        <w:tc>
          <w:tcPr>
            <w:tcW w:w="12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00" w:type="dxa"/>
            <w:vAlign w:val="bottom"/>
          </w:tcPr>
          <w:p>
            <w:pPr>
              <w:spacing w:after="0"/>
              <w:rPr>
                <w:sz w:val="20"/>
                <w:szCs w:val="20"/>
                <w:color w:val="auto"/>
              </w:rPr>
            </w:pPr>
          </w:p>
        </w:tc>
      </w:tr>
      <w:tr>
        <w:trPr>
          <w:trHeight w:val="454"/>
        </w:trPr>
        <w:tc>
          <w:tcPr>
            <w:tcW w:w="56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760" w:type="dxa"/>
            <w:vAlign w:val="bottom"/>
            <w:gridSpan w:val="4"/>
          </w:tcPr>
          <w:p>
            <w:pPr>
              <w:jc w:val="center"/>
              <w:ind w:right="220"/>
              <w:spacing w:after="0"/>
              <w:rPr>
                <w:sz w:val="20"/>
                <w:szCs w:val="20"/>
                <w:color w:val="auto"/>
              </w:rPr>
            </w:pPr>
            <w:r>
              <w:rPr>
                <w:rFonts w:ascii="Arial" w:cs="Arial" w:eastAsia="Arial" w:hAnsi="Arial"/>
                <w:sz w:val="18"/>
                <w:szCs w:val="18"/>
                <w:b w:val="1"/>
                <w:bCs w:val="1"/>
                <w:color w:val="auto"/>
                <w:w w:val="90"/>
              </w:rPr>
              <w:t>Three Months Ended September</w:t>
            </w:r>
          </w:p>
        </w:tc>
        <w:tc>
          <w:tcPr>
            <w:tcW w:w="2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00" w:type="dxa"/>
            <w:vAlign w:val="bottom"/>
          </w:tcPr>
          <w:p>
            <w:pPr>
              <w:spacing w:after="0"/>
              <w:rPr>
                <w:sz w:val="24"/>
                <w:szCs w:val="24"/>
                <w:color w:val="auto"/>
              </w:rPr>
            </w:pPr>
          </w:p>
        </w:tc>
      </w:tr>
      <w:tr>
        <w:trPr>
          <w:trHeight w:val="234"/>
        </w:trPr>
        <w:tc>
          <w:tcPr>
            <w:tcW w:w="560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spacing w:after="0"/>
              <w:rPr>
                <w:sz w:val="20"/>
                <w:szCs w:val="20"/>
                <w:color w:val="auto"/>
              </w:rPr>
            </w:pPr>
          </w:p>
        </w:tc>
        <w:tc>
          <w:tcPr>
            <w:tcW w:w="540" w:type="dxa"/>
            <w:vAlign w:val="bottom"/>
            <w:tcBorders>
              <w:bottom w:val="single" w:sz="8" w:color="auto"/>
            </w:tcBorders>
          </w:tcPr>
          <w:p>
            <w:pPr>
              <w:jc w:val="center"/>
              <w:ind w:right="70"/>
              <w:spacing w:after="0"/>
              <w:rPr>
                <w:sz w:val="20"/>
                <w:szCs w:val="20"/>
                <w:color w:val="auto"/>
              </w:rPr>
            </w:pPr>
            <w:r>
              <w:rPr>
                <w:rFonts w:ascii="Arial" w:cs="Arial" w:eastAsia="Arial" w:hAnsi="Arial"/>
                <w:sz w:val="18"/>
                <w:szCs w:val="18"/>
                <w:b w:val="1"/>
                <w:bCs w:val="1"/>
                <w:color w:val="auto"/>
                <w:w w:val="87"/>
              </w:rPr>
              <w:t>30,</w:t>
            </w:r>
          </w:p>
        </w:tc>
        <w:tc>
          <w:tcPr>
            <w:tcW w:w="10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00" w:type="dxa"/>
            <w:vAlign w:val="bottom"/>
          </w:tcPr>
          <w:p>
            <w:pPr>
              <w:spacing w:after="0"/>
              <w:rPr>
                <w:sz w:val="20"/>
                <w:szCs w:val="20"/>
                <w:color w:val="auto"/>
              </w:rPr>
            </w:pPr>
          </w:p>
        </w:tc>
      </w:tr>
      <w:tr>
        <w:trPr>
          <w:trHeight w:val="223"/>
        </w:trPr>
        <w:tc>
          <w:tcPr>
            <w:tcW w:w="56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80" w:type="dxa"/>
            <w:vAlign w:val="bottom"/>
          </w:tcPr>
          <w:p>
            <w:pPr>
              <w:jc w:val="right"/>
              <w:ind w:right="270"/>
              <w:spacing w:after="0"/>
              <w:rPr>
                <w:sz w:val="20"/>
                <w:szCs w:val="20"/>
                <w:color w:val="auto"/>
              </w:rPr>
            </w:pPr>
            <w:r>
              <w:rPr>
                <w:rFonts w:ascii="Arial" w:cs="Arial" w:eastAsia="Arial" w:hAnsi="Arial"/>
                <w:sz w:val="18"/>
                <w:szCs w:val="18"/>
                <w:b w:val="1"/>
                <w:bCs w:val="1"/>
                <w:color w:val="auto"/>
              </w:rPr>
              <w:t>2022</w:t>
            </w:r>
          </w:p>
        </w:tc>
        <w:tc>
          <w:tcPr>
            <w:tcW w:w="540" w:type="dxa"/>
            <w:vAlign w:val="bottom"/>
          </w:tcPr>
          <w:p>
            <w:pPr>
              <w:spacing w:after="0"/>
              <w:rPr>
                <w:sz w:val="19"/>
                <w:szCs w:val="19"/>
                <w:color w:val="auto"/>
              </w:rPr>
            </w:pPr>
          </w:p>
        </w:tc>
        <w:tc>
          <w:tcPr>
            <w:tcW w:w="1040" w:type="dxa"/>
            <w:vAlign w:val="bottom"/>
          </w:tcPr>
          <w:p>
            <w:pPr>
              <w:jc w:val="right"/>
              <w:ind w:right="410"/>
              <w:spacing w:after="0"/>
              <w:rPr>
                <w:sz w:val="20"/>
                <w:szCs w:val="20"/>
                <w:color w:val="auto"/>
              </w:rPr>
            </w:pPr>
            <w:r>
              <w:rPr>
                <w:rFonts w:ascii="Arial" w:cs="Arial" w:eastAsia="Arial" w:hAnsi="Arial"/>
                <w:sz w:val="18"/>
                <w:szCs w:val="18"/>
                <w:b w:val="1"/>
                <w:bCs w:val="1"/>
                <w:color w:val="auto"/>
              </w:rPr>
              <w:t>2021</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20" w:type="dxa"/>
            <w:vAlign w:val="bottom"/>
            <w:gridSpan w:val="2"/>
          </w:tcPr>
          <w:p>
            <w:pPr>
              <w:ind w:left="140"/>
              <w:spacing w:after="0"/>
              <w:rPr>
                <w:sz w:val="20"/>
                <w:szCs w:val="20"/>
                <w:color w:val="auto"/>
              </w:rPr>
            </w:pPr>
            <w:r>
              <w:rPr>
                <w:rFonts w:ascii="Arial" w:cs="Arial" w:eastAsia="Arial" w:hAnsi="Arial"/>
                <w:sz w:val="18"/>
                <w:szCs w:val="18"/>
                <w:b w:val="1"/>
                <w:bCs w:val="1"/>
                <w:color w:val="auto"/>
              </w:rPr>
              <w:t>Change</w:t>
            </w:r>
          </w:p>
        </w:tc>
        <w:tc>
          <w:tcPr>
            <w:tcW w:w="1300" w:type="dxa"/>
            <w:vAlign w:val="bottom"/>
          </w:tcPr>
          <w:p>
            <w:pPr>
              <w:jc w:val="right"/>
              <w:ind w:right="150"/>
              <w:spacing w:after="0"/>
              <w:rPr>
                <w:sz w:val="20"/>
                <w:szCs w:val="20"/>
                <w:color w:val="auto"/>
              </w:rPr>
            </w:pPr>
            <w:r>
              <w:rPr>
                <w:rFonts w:ascii="Arial" w:cs="Arial" w:eastAsia="Arial" w:hAnsi="Arial"/>
                <w:sz w:val="18"/>
                <w:szCs w:val="18"/>
                <w:b w:val="1"/>
                <w:bCs w:val="1"/>
                <w:color w:val="auto"/>
              </w:rPr>
              <w:t>% Change</w:t>
            </w:r>
          </w:p>
        </w:tc>
      </w:tr>
      <w:tr>
        <w:trPr>
          <w:trHeight w:val="223"/>
        </w:trPr>
        <w:tc>
          <w:tcPr>
            <w:tcW w:w="560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2660" w:type="dxa"/>
            <w:vAlign w:val="bottom"/>
            <w:tcBorders>
              <w:top w:val="single" w:sz="8" w:color="auto"/>
            </w:tcBorders>
            <w:gridSpan w:val="3"/>
          </w:tcPr>
          <w:p>
            <w:pPr>
              <w:jc w:val="center"/>
              <w:ind w:right="30"/>
              <w:spacing w:after="0"/>
              <w:rPr>
                <w:sz w:val="20"/>
                <w:szCs w:val="20"/>
                <w:color w:val="auto"/>
              </w:rPr>
            </w:pPr>
            <w:r>
              <w:rPr>
                <w:rFonts w:ascii="Arial" w:cs="Arial" w:eastAsia="Arial" w:hAnsi="Arial"/>
                <w:sz w:val="18"/>
                <w:szCs w:val="18"/>
                <w:b w:val="1"/>
                <w:bCs w:val="1"/>
                <w:color w:val="auto"/>
                <w:w w:val="88"/>
              </w:rPr>
              <w:t>(In thousands)</w:t>
            </w:r>
          </w:p>
        </w:tc>
        <w:tc>
          <w:tcPr>
            <w:tcW w:w="100" w:type="dxa"/>
            <w:vAlign w:val="bottom"/>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110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300" w:type="dxa"/>
            <w:vAlign w:val="bottom"/>
            <w:tcBorders>
              <w:top w:val="single" w:sz="8" w:color="auto"/>
            </w:tcBorders>
          </w:tcPr>
          <w:p>
            <w:pPr>
              <w:spacing w:after="0"/>
              <w:rPr>
                <w:sz w:val="19"/>
                <w:szCs w:val="19"/>
                <w:color w:val="auto"/>
              </w:rPr>
            </w:pPr>
          </w:p>
        </w:tc>
      </w:tr>
      <w:tr>
        <w:trPr>
          <w:trHeight w:val="230"/>
        </w:trPr>
        <w:tc>
          <w:tcPr>
            <w:tcW w:w="5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Cost of service</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71,112</w:t>
            </w:r>
          </w:p>
        </w:tc>
        <w:tc>
          <w:tcPr>
            <w:tcW w:w="54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65,606</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5,506</w:t>
            </w:r>
          </w:p>
        </w:tc>
        <w:tc>
          <w:tcPr>
            <w:tcW w:w="1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8.4 %</w:t>
            </w:r>
          </w:p>
        </w:tc>
      </w:tr>
      <w:tr>
        <w:trPr>
          <w:trHeight w:val="230"/>
        </w:trPr>
        <w:tc>
          <w:tcPr>
            <w:tcW w:w="5600" w:type="dxa"/>
            <w:vAlign w:val="bottom"/>
          </w:tcPr>
          <w:p>
            <w:pPr>
              <w:ind w:left="20"/>
              <w:spacing w:after="0"/>
              <w:rPr>
                <w:sz w:val="20"/>
                <w:szCs w:val="20"/>
                <w:color w:val="auto"/>
              </w:rPr>
            </w:pPr>
            <w:r>
              <w:rPr>
                <w:rFonts w:ascii="Arial" w:cs="Arial" w:eastAsia="Arial" w:hAnsi="Arial"/>
                <w:sz w:val="18"/>
                <w:szCs w:val="18"/>
                <w:color w:val="auto"/>
              </w:rPr>
              <w:t>Cost of services as a percentage of revenue</w:t>
            </w:r>
          </w:p>
        </w:tc>
        <w:tc>
          <w:tcPr>
            <w:tcW w:w="120" w:type="dxa"/>
            <w:vAlign w:val="bottom"/>
          </w:tcPr>
          <w:p>
            <w:pPr>
              <w:spacing w:after="0"/>
              <w:rPr>
                <w:sz w:val="20"/>
                <w:szCs w:val="20"/>
                <w:color w:val="auto"/>
              </w:rPr>
            </w:pPr>
          </w:p>
        </w:tc>
        <w:tc>
          <w:tcPr>
            <w:tcW w:w="1620" w:type="dxa"/>
            <w:vAlign w:val="bottom"/>
            <w:gridSpan w:val="2"/>
          </w:tcPr>
          <w:p>
            <w:pPr>
              <w:jc w:val="right"/>
              <w:ind w:right="330"/>
              <w:spacing w:after="0"/>
              <w:rPr>
                <w:sz w:val="20"/>
                <w:szCs w:val="20"/>
                <w:color w:val="auto"/>
              </w:rPr>
            </w:pPr>
            <w:r>
              <w:rPr>
                <w:rFonts w:ascii="Arial" w:cs="Arial" w:eastAsia="Arial" w:hAnsi="Arial"/>
                <w:sz w:val="18"/>
                <w:szCs w:val="18"/>
                <w:color w:val="auto"/>
              </w:rPr>
              <w:t>82.9 %</w:t>
            </w:r>
          </w:p>
        </w:tc>
        <w:tc>
          <w:tcPr>
            <w:tcW w:w="1040" w:type="dxa"/>
            <w:vAlign w:val="bottom"/>
          </w:tcPr>
          <w:p>
            <w:pPr>
              <w:jc w:val="right"/>
              <w:spacing w:after="0"/>
              <w:rPr>
                <w:sz w:val="20"/>
                <w:szCs w:val="20"/>
                <w:color w:val="auto"/>
              </w:rPr>
            </w:pPr>
            <w:r>
              <w:rPr>
                <w:rFonts w:ascii="Arial" w:cs="Arial" w:eastAsia="Arial" w:hAnsi="Arial"/>
                <w:sz w:val="18"/>
                <w:szCs w:val="18"/>
                <w:color w:val="auto"/>
              </w:rPr>
              <w:t>83.0 %</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(0.1)%</w:t>
            </w:r>
          </w:p>
        </w:tc>
        <w:tc>
          <w:tcPr>
            <w:tcW w:w="120" w:type="dxa"/>
            <w:vAlign w:val="bottom"/>
          </w:tcPr>
          <w:p>
            <w:pPr>
              <w:spacing w:after="0"/>
              <w:rPr>
                <w:sz w:val="20"/>
                <w:szCs w:val="20"/>
                <w:color w:val="auto"/>
              </w:rPr>
            </w:pPr>
          </w:p>
        </w:tc>
        <w:tc>
          <w:tcPr>
            <w:tcW w:w="1300" w:type="dxa"/>
            <w:vAlign w:val="bottom"/>
          </w:tcPr>
          <w:p>
            <w:pPr>
              <w:spacing w:after="0"/>
              <w:rPr>
                <w:sz w:val="20"/>
                <w:szCs w:val="20"/>
                <w:color w:val="auto"/>
              </w:rPr>
            </w:pPr>
          </w:p>
        </w:tc>
      </w:tr>
    </w:tbl>
    <w:p>
      <w:pPr>
        <w:spacing w:after="0" w:line="322"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Cost of services related to our Home Health and Hospice services segment increased $5.5 million, or 8.4%, primarily due to increased volume of services provided. Cost of services as a percentage of revenue for the three months ended September 30, 2022 decreased 0.1% from 83.0% to 82.9% for the three months ended September 30, 2022 when compared to the three months ended September 30, 2021, primarily due to reduced insurance costs offset by increased wages and purchased services.</w:t>
      </w: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2" w:name="page43"/>
    <w:bookmarkEnd w:id="42"/>
    <w:tbl>
      <w:tblPr>
        <w:tblLayout w:type="fixed"/>
        <w:tblInd w:w="0" w:type="dxa"/>
        <w:tblCellMar>
          <w:top w:w="0" w:type="dxa"/>
          <w:left w:w="0" w:type="dxa"/>
          <w:bottom w:w="0" w:type="dxa"/>
          <w:right w:w="0" w:type="dxa"/>
        </w:tblCellMar>
      </w:tblPr>
      <w:tr>
        <w:trPr>
          <w:trHeight w:val="207"/>
        </w:trPr>
        <w:tc>
          <w:tcPr>
            <w:tcW w:w="5560" w:type="dxa"/>
            <w:vAlign w:val="bottom"/>
            <w:gridSpan w:val="2"/>
          </w:tcPr>
          <w:p>
            <w:pPr>
              <w:spacing w:after="0"/>
              <w:rPr>
                <w:sz w:val="20"/>
                <w:szCs w:val="20"/>
                <w:color w:val="auto"/>
              </w:rPr>
            </w:pPr>
            <w:r>
              <w:rPr>
                <w:rFonts w:ascii="Arial" w:cs="Arial" w:eastAsia="Arial" w:hAnsi="Arial"/>
                <w:sz w:val="18"/>
                <w:szCs w:val="18"/>
                <w:color w:val="0000FF"/>
              </w:rPr>
              <w:t>Table of Contents</w:t>
            </w:r>
          </w:p>
        </w:tc>
        <w:tc>
          <w:tcPr>
            <w:tcW w:w="1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60" w:type="dxa"/>
            <w:vAlign w:val="bottom"/>
          </w:tcPr>
          <w:p>
            <w:pPr>
              <w:spacing w:after="0"/>
              <w:rPr>
                <w:sz w:val="17"/>
                <w:szCs w:val="17"/>
                <w:color w:val="auto"/>
              </w:rPr>
            </w:pPr>
          </w:p>
        </w:tc>
      </w:tr>
      <w:tr>
        <w:trPr>
          <w:trHeight w:val="20"/>
        </w:trPr>
        <w:tc>
          <w:tcPr>
            <w:tcW w:w="1280" w:type="dxa"/>
            <w:vAlign w:val="bottom"/>
            <w:shd w:val="clear" w:color="auto" w:fill="0000FF"/>
          </w:tcPr>
          <w:p>
            <w:pPr>
              <w:spacing w:after="0" w:line="20" w:lineRule="exact"/>
              <w:rPr>
                <w:sz w:val="1"/>
                <w:szCs w:val="1"/>
                <w:color w:val="auto"/>
              </w:rPr>
            </w:pPr>
          </w:p>
        </w:tc>
        <w:tc>
          <w:tcPr>
            <w:tcW w:w="42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r>
      <w:tr>
        <w:trPr>
          <w:trHeight w:val="790"/>
        </w:trPr>
        <w:tc>
          <w:tcPr>
            <w:tcW w:w="5560" w:type="dxa"/>
            <w:vAlign w:val="bottom"/>
            <w:gridSpan w:val="2"/>
          </w:tcPr>
          <w:p>
            <w:pPr>
              <w:spacing w:after="0"/>
              <w:rPr>
                <w:sz w:val="20"/>
                <w:szCs w:val="20"/>
                <w:color w:val="auto"/>
              </w:rPr>
            </w:pPr>
            <w:r>
              <w:rPr>
                <w:rFonts w:ascii="Arial" w:cs="Arial" w:eastAsia="Arial" w:hAnsi="Arial"/>
                <w:sz w:val="18"/>
                <w:szCs w:val="18"/>
                <w:i w:val="1"/>
                <w:iCs w:val="1"/>
                <w:color w:val="auto"/>
              </w:rPr>
              <w:t>Senior Living Services</w:t>
            </w:r>
          </w:p>
        </w:tc>
        <w:tc>
          <w:tcPr>
            <w:tcW w:w="1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60" w:type="dxa"/>
            <w:vAlign w:val="bottom"/>
          </w:tcPr>
          <w:p>
            <w:pPr>
              <w:spacing w:after="0"/>
              <w:rPr>
                <w:sz w:val="24"/>
                <w:szCs w:val="24"/>
                <w:color w:val="auto"/>
              </w:rPr>
            </w:pPr>
          </w:p>
        </w:tc>
      </w:tr>
      <w:tr>
        <w:trPr>
          <w:trHeight w:val="446"/>
        </w:trPr>
        <w:tc>
          <w:tcPr>
            <w:tcW w:w="1280" w:type="dxa"/>
            <w:vAlign w:val="bottom"/>
          </w:tcPr>
          <w:p>
            <w:pPr>
              <w:spacing w:after="0"/>
              <w:rPr>
                <w:sz w:val="24"/>
                <w:szCs w:val="24"/>
                <w:color w:val="auto"/>
              </w:rPr>
            </w:pPr>
          </w:p>
        </w:tc>
        <w:tc>
          <w:tcPr>
            <w:tcW w:w="4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760" w:type="dxa"/>
            <w:vAlign w:val="bottom"/>
            <w:gridSpan w:val="4"/>
          </w:tcPr>
          <w:p>
            <w:pPr>
              <w:jc w:val="center"/>
              <w:ind w:right="240"/>
              <w:spacing w:after="0"/>
              <w:rPr>
                <w:sz w:val="20"/>
                <w:szCs w:val="20"/>
                <w:color w:val="auto"/>
              </w:rPr>
            </w:pPr>
            <w:r>
              <w:rPr>
                <w:rFonts w:ascii="Arial" w:cs="Arial" w:eastAsia="Arial" w:hAnsi="Arial"/>
                <w:sz w:val="18"/>
                <w:szCs w:val="18"/>
                <w:b w:val="1"/>
                <w:bCs w:val="1"/>
                <w:color w:val="auto"/>
                <w:w w:val="91"/>
              </w:rPr>
              <w:t>Three Months Ended September</w:t>
            </w:r>
          </w:p>
        </w:tc>
        <w:tc>
          <w:tcPr>
            <w:tcW w:w="2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60" w:type="dxa"/>
            <w:vAlign w:val="bottom"/>
          </w:tcPr>
          <w:p>
            <w:pPr>
              <w:spacing w:after="0"/>
              <w:rPr>
                <w:sz w:val="24"/>
                <w:szCs w:val="24"/>
                <w:color w:val="auto"/>
              </w:rPr>
            </w:pPr>
          </w:p>
        </w:tc>
      </w:tr>
      <w:tr>
        <w:trPr>
          <w:trHeight w:val="236"/>
        </w:trPr>
        <w:tc>
          <w:tcPr>
            <w:tcW w:w="1280" w:type="dxa"/>
            <w:vAlign w:val="bottom"/>
          </w:tcPr>
          <w:p>
            <w:pPr>
              <w:spacing w:after="0"/>
              <w:rPr>
                <w:sz w:val="20"/>
                <w:szCs w:val="20"/>
                <w:color w:val="auto"/>
              </w:rPr>
            </w:pPr>
          </w:p>
        </w:tc>
        <w:tc>
          <w:tcPr>
            <w:tcW w:w="428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spacing w:after="0"/>
              <w:rPr>
                <w:sz w:val="20"/>
                <w:szCs w:val="20"/>
                <w:color w:val="auto"/>
              </w:rPr>
            </w:pPr>
          </w:p>
        </w:tc>
        <w:tc>
          <w:tcPr>
            <w:tcW w:w="560" w:type="dxa"/>
            <w:vAlign w:val="bottom"/>
            <w:tcBorders>
              <w:bottom w:val="single" w:sz="8" w:color="auto"/>
            </w:tcBorders>
          </w:tcPr>
          <w:p>
            <w:pPr>
              <w:jc w:val="center"/>
              <w:ind w:right="70"/>
              <w:spacing w:after="0"/>
              <w:rPr>
                <w:sz w:val="20"/>
                <w:szCs w:val="20"/>
                <w:color w:val="auto"/>
              </w:rPr>
            </w:pPr>
            <w:r>
              <w:rPr>
                <w:rFonts w:ascii="Arial" w:cs="Arial" w:eastAsia="Arial" w:hAnsi="Arial"/>
                <w:sz w:val="18"/>
                <w:szCs w:val="18"/>
                <w:b w:val="1"/>
                <w:bCs w:val="1"/>
                <w:color w:val="auto"/>
                <w:w w:val="95"/>
              </w:rPr>
              <w:t>30,</w:t>
            </w:r>
          </w:p>
        </w:tc>
        <w:tc>
          <w:tcPr>
            <w:tcW w:w="10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60" w:type="dxa"/>
            <w:vAlign w:val="bottom"/>
          </w:tcPr>
          <w:p>
            <w:pPr>
              <w:spacing w:after="0"/>
              <w:rPr>
                <w:sz w:val="20"/>
                <w:szCs w:val="20"/>
                <w:color w:val="auto"/>
              </w:rPr>
            </w:pPr>
          </w:p>
        </w:tc>
      </w:tr>
      <w:tr>
        <w:trPr>
          <w:trHeight w:val="230"/>
        </w:trPr>
        <w:tc>
          <w:tcPr>
            <w:tcW w:w="1280" w:type="dxa"/>
            <w:vAlign w:val="bottom"/>
          </w:tcPr>
          <w:p>
            <w:pPr>
              <w:spacing w:after="0"/>
              <w:rPr>
                <w:sz w:val="19"/>
                <w:szCs w:val="19"/>
                <w:color w:val="auto"/>
              </w:rPr>
            </w:pPr>
          </w:p>
        </w:tc>
        <w:tc>
          <w:tcPr>
            <w:tcW w:w="42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tcPr>
          <w:p>
            <w:pPr>
              <w:jc w:val="right"/>
              <w:ind w:right="250"/>
              <w:spacing w:after="0"/>
              <w:rPr>
                <w:sz w:val="20"/>
                <w:szCs w:val="20"/>
                <w:color w:val="auto"/>
              </w:rPr>
            </w:pPr>
            <w:r>
              <w:rPr>
                <w:rFonts w:ascii="Arial" w:cs="Arial" w:eastAsia="Arial" w:hAnsi="Arial"/>
                <w:sz w:val="18"/>
                <w:szCs w:val="18"/>
                <w:b w:val="1"/>
                <w:bCs w:val="1"/>
                <w:color w:val="auto"/>
              </w:rPr>
              <w:t>2022</w:t>
            </w:r>
          </w:p>
        </w:tc>
        <w:tc>
          <w:tcPr>
            <w:tcW w:w="560" w:type="dxa"/>
            <w:vAlign w:val="bottom"/>
          </w:tcPr>
          <w:p>
            <w:pPr>
              <w:spacing w:after="0"/>
              <w:rPr>
                <w:sz w:val="19"/>
                <w:szCs w:val="19"/>
                <w:color w:val="auto"/>
              </w:rPr>
            </w:pPr>
          </w:p>
        </w:tc>
        <w:tc>
          <w:tcPr>
            <w:tcW w:w="1040" w:type="dxa"/>
            <w:vAlign w:val="bottom"/>
          </w:tcPr>
          <w:p>
            <w:pPr>
              <w:jc w:val="right"/>
              <w:ind w:right="410"/>
              <w:spacing w:after="0"/>
              <w:rPr>
                <w:sz w:val="20"/>
                <w:szCs w:val="20"/>
                <w:color w:val="auto"/>
              </w:rPr>
            </w:pPr>
            <w:r>
              <w:rPr>
                <w:rFonts w:ascii="Arial" w:cs="Arial" w:eastAsia="Arial" w:hAnsi="Arial"/>
                <w:sz w:val="18"/>
                <w:szCs w:val="18"/>
                <w:b w:val="1"/>
                <w:bCs w:val="1"/>
                <w:color w:val="auto"/>
              </w:rPr>
              <w:t>2021</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80" w:type="dxa"/>
            <w:vAlign w:val="bottom"/>
            <w:gridSpan w:val="2"/>
          </w:tcPr>
          <w:p>
            <w:pPr>
              <w:ind w:left="120"/>
              <w:spacing w:after="0"/>
              <w:rPr>
                <w:sz w:val="20"/>
                <w:szCs w:val="20"/>
                <w:color w:val="auto"/>
              </w:rPr>
            </w:pPr>
            <w:r>
              <w:rPr>
                <w:rFonts w:ascii="Arial" w:cs="Arial" w:eastAsia="Arial" w:hAnsi="Arial"/>
                <w:sz w:val="18"/>
                <w:szCs w:val="18"/>
                <w:b w:val="1"/>
                <w:bCs w:val="1"/>
                <w:color w:val="auto"/>
              </w:rPr>
              <w:t>Change</w:t>
            </w:r>
          </w:p>
        </w:tc>
        <w:tc>
          <w:tcPr>
            <w:tcW w:w="1360" w:type="dxa"/>
            <w:vAlign w:val="bottom"/>
          </w:tcPr>
          <w:p>
            <w:pPr>
              <w:jc w:val="right"/>
              <w:ind w:right="170"/>
              <w:spacing w:after="0"/>
              <w:rPr>
                <w:sz w:val="20"/>
                <w:szCs w:val="20"/>
                <w:color w:val="auto"/>
              </w:rPr>
            </w:pPr>
            <w:r>
              <w:rPr>
                <w:rFonts w:ascii="Arial" w:cs="Arial" w:eastAsia="Arial" w:hAnsi="Arial"/>
                <w:sz w:val="18"/>
                <w:szCs w:val="18"/>
                <w:b w:val="1"/>
                <w:bCs w:val="1"/>
                <w:color w:val="auto"/>
              </w:rPr>
              <w:t>% Change</w:t>
            </w:r>
          </w:p>
        </w:tc>
      </w:tr>
      <w:tr>
        <w:trPr>
          <w:trHeight w:val="223"/>
        </w:trPr>
        <w:tc>
          <w:tcPr>
            <w:tcW w:w="1280" w:type="dxa"/>
            <w:vAlign w:val="bottom"/>
          </w:tcPr>
          <w:p>
            <w:pPr>
              <w:spacing w:after="0"/>
              <w:rPr>
                <w:sz w:val="19"/>
                <w:szCs w:val="19"/>
                <w:color w:val="auto"/>
              </w:rPr>
            </w:pPr>
          </w:p>
        </w:tc>
        <w:tc>
          <w:tcPr>
            <w:tcW w:w="428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2660" w:type="dxa"/>
            <w:vAlign w:val="bottom"/>
            <w:tcBorders>
              <w:top w:val="single" w:sz="8" w:color="auto"/>
            </w:tcBorders>
            <w:gridSpan w:val="3"/>
          </w:tcPr>
          <w:p>
            <w:pPr>
              <w:jc w:val="center"/>
              <w:ind w:right="50"/>
              <w:spacing w:after="0"/>
              <w:rPr>
                <w:sz w:val="20"/>
                <w:szCs w:val="20"/>
                <w:color w:val="auto"/>
              </w:rPr>
            </w:pPr>
            <w:r>
              <w:rPr>
                <w:rFonts w:ascii="Arial" w:cs="Arial" w:eastAsia="Arial" w:hAnsi="Arial"/>
                <w:sz w:val="18"/>
                <w:szCs w:val="18"/>
                <w:b w:val="1"/>
                <w:bCs w:val="1"/>
                <w:color w:val="auto"/>
                <w:w w:val="90"/>
              </w:rPr>
              <w:t>(In thousands)</w:t>
            </w:r>
          </w:p>
        </w:tc>
        <w:tc>
          <w:tcPr>
            <w:tcW w:w="100" w:type="dxa"/>
            <w:vAlign w:val="bottom"/>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108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360" w:type="dxa"/>
            <w:vAlign w:val="bottom"/>
            <w:tcBorders>
              <w:top w:val="single" w:sz="8" w:color="auto"/>
            </w:tcBorders>
          </w:tcPr>
          <w:p>
            <w:pPr>
              <w:spacing w:after="0"/>
              <w:rPr>
                <w:sz w:val="19"/>
                <w:szCs w:val="19"/>
                <w:color w:val="auto"/>
              </w:rPr>
            </w:pPr>
          </w:p>
        </w:tc>
      </w:tr>
      <w:tr>
        <w:trPr>
          <w:trHeight w:val="230"/>
        </w:trPr>
        <w:tc>
          <w:tcPr>
            <w:tcW w:w="55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Cost of service</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23,568</w:t>
            </w:r>
          </w:p>
        </w:tc>
        <w:tc>
          <w:tcPr>
            <w:tcW w:w="56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24,013</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(445)</w:t>
            </w:r>
          </w:p>
        </w:tc>
        <w:tc>
          <w:tcPr>
            <w:tcW w:w="1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w:t>
            </w:r>
          </w:p>
        </w:tc>
      </w:tr>
      <w:tr>
        <w:trPr>
          <w:trHeight w:val="230"/>
        </w:trPr>
        <w:tc>
          <w:tcPr>
            <w:tcW w:w="5560" w:type="dxa"/>
            <w:vAlign w:val="bottom"/>
            <w:gridSpan w:val="2"/>
          </w:tcPr>
          <w:p>
            <w:pPr>
              <w:ind w:left="20"/>
              <w:spacing w:after="0"/>
              <w:rPr>
                <w:sz w:val="20"/>
                <w:szCs w:val="20"/>
                <w:color w:val="auto"/>
              </w:rPr>
            </w:pPr>
            <w:r>
              <w:rPr>
                <w:rFonts w:ascii="Arial" w:cs="Arial" w:eastAsia="Arial" w:hAnsi="Arial"/>
                <w:sz w:val="18"/>
                <w:szCs w:val="18"/>
                <w:color w:val="auto"/>
              </w:rPr>
              <w:t>Cost of services as a percentage of revenue</w:t>
            </w:r>
          </w:p>
        </w:tc>
        <w:tc>
          <w:tcPr>
            <w:tcW w:w="140" w:type="dxa"/>
            <w:vAlign w:val="bottom"/>
          </w:tcPr>
          <w:p>
            <w:pPr>
              <w:spacing w:after="0"/>
              <w:rPr>
                <w:sz w:val="20"/>
                <w:szCs w:val="20"/>
                <w:color w:val="auto"/>
              </w:rPr>
            </w:pPr>
          </w:p>
        </w:tc>
        <w:tc>
          <w:tcPr>
            <w:tcW w:w="1620" w:type="dxa"/>
            <w:vAlign w:val="bottom"/>
            <w:gridSpan w:val="2"/>
          </w:tcPr>
          <w:p>
            <w:pPr>
              <w:jc w:val="right"/>
              <w:ind w:right="350"/>
              <w:spacing w:after="0"/>
              <w:rPr>
                <w:sz w:val="20"/>
                <w:szCs w:val="20"/>
                <w:color w:val="auto"/>
              </w:rPr>
            </w:pPr>
            <w:r>
              <w:rPr>
                <w:rFonts w:ascii="Arial" w:cs="Arial" w:eastAsia="Arial" w:hAnsi="Arial"/>
                <w:sz w:val="18"/>
                <w:szCs w:val="18"/>
                <w:color w:val="auto"/>
              </w:rPr>
              <w:t>72.4 %</w:t>
            </w:r>
          </w:p>
        </w:tc>
        <w:tc>
          <w:tcPr>
            <w:tcW w:w="1040" w:type="dxa"/>
            <w:vAlign w:val="bottom"/>
          </w:tcPr>
          <w:p>
            <w:pPr>
              <w:jc w:val="right"/>
              <w:spacing w:after="0"/>
              <w:rPr>
                <w:sz w:val="20"/>
                <w:szCs w:val="20"/>
                <w:color w:val="auto"/>
              </w:rPr>
            </w:pPr>
            <w:r>
              <w:rPr>
                <w:rFonts w:ascii="Arial" w:cs="Arial" w:eastAsia="Arial" w:hAnsi="Arial"/>
                <w:sz w:val="18"/>
                <w:szCs w:val="18"/>
                <w:color w:val="auto"/>
              </w:rPr>
              <w:t>72.9 %</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(0.5)%</w:t>
            </w:r>
          </w:p>
        </w:tc>
        <w:tc>
          <w:tcPr>
            <w:tcW w:w="100" w:type="dxa"/>
            <w:vAlign w:val="bottom"/>
          </w:tcPr>
          <w:p>
            <w:pPr>
              <w:spacing w:after="0"/>
              <w:rPr>
                <w:sz w:val="20"/>
                <w:szCs w:val="20"/>
                <w:color w:val="auto"/>
              </w:rPr>
            </w:pPr>
          </w:p>
        </w:tc>
        <w:tc>
          <w:tcPr>
            <w:tcW w:w="1360" w:type="dxa"/>
            <w:vAlign w:val="bottom"/>
          </w:tcPr>
          <w:p>
            <w:pPr>
              <w:spacing w:after="0"/>
              <w:rPr>
                <w:sz w:val="20"/>
                <w:szCs w:val="20"/>
                <w:color w:val="auto"/>
              </w:rPr>
            </w:pPr>
          </w:p>
        </w:tc>
      </w:tr>
    </w:tbl>
    <w:p>
      <w:pPr>
        <w:spacing w:after="0" w:line="322"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Cost of services related to our Senior Living services segment decreased $0.4 million, or 1.9%. As a percentage of revenue, costs of service decreased by 0.5% from 72.9% to 72.4% for the three months ended September 30, 2022 when compared to the three months ended September 30, 2021, due primarily to decreased wages and insurance expenses.</w:t>
      </w:r>
    </w:p>
    <w:p>
      <w:pPr>
        <w:spacing w:after="0" w:line="211" w:lineRule="exact"/>
        <w:rPr>
          <w:sz w:val="20"/>
          <w:szCs w:val="20"/>
          <w:color w:val="auto"/>
        </w:rPr>
      </w:pPr>
    </w:p>
    <w:p>
      <w:pPr>
        <w:jc w:val="both"/>
        <w:ind w:firstLine="648"/>
        <w:spacing w:after="0" w:line="311" w:lineRule="auto"/>
        <w:rPr>
          <w:sz w:val="20"/>
          <w:szCs w:val="20"/>
          <w:color w:val="auto"/>
        </w:rPr>
      </w:pPr>
      <w:r>
        <w:rPr>
          <w:rFonts w:ascii="Arial" w:cs="Arial" w:eastAsia="Arial" w:hAnsi="Arial"/>
          <w:sz w:val="16"/>
          <w:szCs w:val="16"/>
          <w:i w:val="1"/>
          <w:iCs w:val="1"/>
          <w:color w:val="auto"/>
        </w:rPr>
        <w:t>Rent—Cost of Services</w:t>
      </w:r>
      <w:r>
        <w:rPr>
          <w:rFonts w:ascii="Arial" w:cs="Arial" w:eastAsia="Arial" w:hAnsi="Arial"/>
          <w:sz w:val="16"/>
          <w:szCs w:val="16"/>
          <w:color w:val="auto"/>
        </w:rPr>
        <w:t>. Rent expense decreased 9.1% from $10.3 million to $9.4 million in the three months ended September 30, 2022 compared</w:t>
      </w:r>
      <w:r>
        <w:rPr>
          <w:rFonts w:ascii="Arial" w:cs="Arial" w:eastAsia="Arial" w:hAnsi="Arial"/>
          <w:sz w:val="16"/>
          <w:szCs w:val="16"/>
          <w:i w:val="1"/>
          <w:iCs w:val="1"/>
          <w:color w:val="auto"/>
        </w:rPr>
        <w:t xml:space="preserve"> </w:t>
      </w:r>
      <w:r>
        <w:rPr>
          <w:rFonts w:ascii="Arial" w:cs="Arial" w:eastAsia="Arial" w:hAnsi="Arial"/>
          <w:sz w:val="16"/>
          <w:szCs w:val="16"/>
          <w:color w:val="auto"/>
        </w:rPr>
        <w:t>to the three months ended September 30, 2021, primarily as a result of the transfer of senior living communities to Ensign. Rent as a percentage of total revenue decreased 1.3% from 9.2% to 7.9% for the three months ended September 30, 2022 compared to the three months ended September 30, 2021.</w:t>
      </w:r>
    </w:p>
    <w:p>
      <w:pPr>
        <w:spacing w:after="0" w:line="176"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i w:val="1"/>
          <w:iCs w:val="1"/>
          <w:color w:val="auto"/>
        </w:rPr>
        <w:t xml:space="preserve">General and Administrative Expense. </w:t>
      </w:r>
      <w:r>
        <w:rPr>
          <w:rFonts w:ascii="Arial" w:cs="Arial" w:eastAsia="Arial" w:hAnsi="Arial"/>
          <w:sz w:val="18"/>
          <w:szCs w:val="18"/>
          <w:color w:val="auto"/>
        </w:rPr>
        <w:t>Our general and administrative expense decreased $3.2 million or 35.2% from $9.1 million to $5.9 million</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for the three months ended September 30, 2022 when compared to the three months ended September 30, 2021. General and administrative expense as a percentage of revenue decreased 3.1% from 8.1% to 5.0%. The primary driver of the decrease in general and administrative expense was the decrease in share-based compensation of $5.2 million due primarily to the modification of certain outstanding RSUs granted in connection with the spin-off as described above in Note 12, </w:t>
      </w:r>
      <w:r>
        <w:rPr>
          <w:rFonts w:ascii="Arial" w:cs="Arial" w:eastAsia="Arial" w:hAnsi="Arial"/>
          <w:sz w:val="18"/>
          <w:szCs w:val="18"/>
          <w:i w:val="1"/>
          <w:iCs w:val="1"/>
          <w:color w:val="auto"/>
        </w:rPr>
        <w:t>Options and Awards</w:t>
      </w:r>
      <w:r>
        <w:rPr>
          <w:rFonts w:ascii="Arial" w:cs="Arial" w:eastAsia="Arial" w:hAnsi="Arial"/>
          <w:sz w:val="18"/>
          <w:szCs w:val="18"/>
          <w:color w:val="auto"/>
        </w:rPr>
        <w:t xml:space="preserve"> to the Interim Financial Statements included elsewhere in this Quarterly Report, during the three months ended September 30, 2022 when compared to the three months ended September 30, 2021. Increases in wages and information systems costs offset the decrease from share-based compensation.</w:t>
      </w:r>
    </w:p>
    <w:p>
      <w:pPr>
        <w:spacing w:after="0" w:line="222" w:lineRule="exact"/>
        <w:rPr>
          <w:sz w:val="20"/>
          <w:szCs w:val="20"/>
          <w:color w:val="auto"/>
        </w:rPr>
      </w:pPr>
    </w:p>
    <w:p>
      <w:pPr>
        <w:jc w:val="both"/>
        <w:ind w:firstLine="648"/>
        <w:spacing w:after="0" w:line="342" w:lineRule="auto"/>
        <w:rPr>
          <w:sz w:val="20"/>
          <w:szCs w:val="20"/>
          <w:color w:val="auto"/>
        </w:rPr>
      </w:pPr>
      <w:r>
        <w:rPr>
          <w:rFonts w:ascii="Arial" w:cs="Arial" w:eastAsia="Arial" w:hAnsi="Arial"/>
          <w:sz w:val="16"/>
          <w:szCs w:val="16"/>
          <w:i w:val="1"/>
          <w:iCs w:val="1"/>
          <w:color w:val="auto"/>
        </w:rPr>
        <w:t xml:space="preserve">Depreciation and Amortization. </w:t>
      </w:r>
      <w:r>
        <w:rPr>
          <w:rFonts w:ascii="Arial" w:cs="Arial" w:eastAsia="Arial" w:hAnsi="Arial"/>
          <w:sz w:val="16"/>
          <w:szCs w:val="16"/>
          <w:color w:val="auto"/>
        </w:rPr>
        <w:t>Depreciation and amortization expense was essentially flat as a percentage of total revenue. The impact of</w:t>
      </w:r>
      <w:r>
        <w:rPr>
          <w:rFonts w:ascii="Arial" w:cs="Arial" w:eastAsia="Arial" w:hAnsi="Arial"/>
          <w:sz w:val="16"/>
          <w:szCs w:val="16"/>
          <w:i w:val="1"/>
          <w:iCs w:val="1"/>
          <w:color w:val="auto"/>
        </w:rPr>
        <w:t xml:space="preserve"> </w:t>
      </w:r>
      <w:r>
        <w:rPr>
          <w:rFonts w:ascii="Arial" w:cs="Arial" w:eastAsia="Arial" w:hAnsi="Arial"/>
          <w:sz w:val="16"/>
          <w:szCs w:val="16"/>
          <w:color w:val="auto"/>
        </w:rPr>
        <w:t>increased capital expenditures on depreciation was offset by the prior year impairment of assets that were transferred to Ensign during the current year.</w:t>
      </w:r>
    </w:p>
    <w:p>
      <w:pPr>
        <w:spacing w:after="0" w:line="151"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i w:val="1"/>
          <w:iCs w:val="1"/>
          <w:color w:val="auto"/>
        </w:rPr>
        <w:t>Provision for Income Taxes</w:t>
      </w:r>
      <w:r>
        <w:rPr>
          <w:rFonts w:ascii="Arial" w:cs="Arial" w:eastAsia="Arial" w:hAnsi="Arial"/>
          <w:sz w:val="18"/>
          <w:szCs w:val="18"/>
          <w:color w:val="auto"/>
        </w:rPr>
        <w:t>. We recorded income tax expense of $1.1 million and $0.1 million or 17.7% and 5.8% of earnings before income taxes</w:t>
      </w:r>
      <w:r>
        <w:rPr>
          <w:rFonts w:ascii="Arial" w:cs="Arial" w:eastAsia="Arial" w:hAnsi="Arial"/>
          <w:sz w:val="18"/>
          <w:szCs w:val="18"/>
          <w:i w:val="1"/>
          <w:iCs w:val="1"/>
          <w:color w:val="auto"/>
        </w:rPr>
        <w:t xml:space="preserve"> </w:t>
      </w:r>
      <w:r>
        <w:rPr>
          <w:rFonts w:ascii="Arial" w:cs="Arial" w:eastAsia="Arial" w:hAnsi="Arial"/>
          <w:sz w:val="18"/>
          <w:szCs w:val="18"/>
          <w:color w:val="auto"/>
        </w:rPr>
        <w:t>for the three months ended September 30, 2022 and 2021, respectively. The increase in tax is primarily due to less excess tax benefits on equity compensation.</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Nine Months Ended September 30, 2022 Compared to the Nine Months Ended September 30, 2021</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700" w:type="dxa"/>
            <w:vAlign w:val="bottom"/>
          </w:tcPr>
          <w:p>
            <w:pPr>
              <w:spacing w:after="0"/>
              <w:rPr>
                <w:sz w:val="20"/>
                <w:szCs w:val="20"/>
                <w:color w:val="auto"/>
              </w:rPr>
            </w:pPr>
            <w:r>
              <w:rPr>
                <w:rFonts w:ascii="Arial" w:cs="Arial" w:eastAsia="Arial" w:hAnsi="Arial"/>
                <w:sz w:val="18"/>
                <w:szCs w:val="18"/>
                <w:b w:val="1"/>
                <w:bCs w:val="1"/>
                <w:i w:val="1"/>
                <w:iCs w:val="1"/>
                <w:color w:val="auto"/>
              </w:rPr>
              <w:t>Revenue</w:t>
            </w:r>
          </w:p>
        </w:tc>
        <w:tc>
          <w:tcPr>
            <w:tcW w:w="4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40" w:type="dxa"/>
            <w:vAlign w:val="bottom"/>
          </w:tcPr>
          <w:p>
            <w:pPr>
              <w:spacing w:after="0"/>
              <w:rPr>
                <w:sz w:val="20"/>
                <w:szCs w:val="20"/>
                <w:color w:val="auto"/>
              </w:rPr>
            </w:pPr>
          </w:p>
        </w:tc>
      </w:tr>
      <w:tr>
        <w:trPr>
          <w:trHeight w:val="500"/>
        </w:trPr>
        <w:tc>
          <w:tcPr>
            <w:tcW w:w="4700" w:type="dxa"/>
            <w:vAlign w:val="bottom"/>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3160" w:type="dxa"/>
            <w:vAlign w:val="bottom"/>
            <w:tcBorders>
              <w:bottom w:val="single" w:sz="8" w:color="auto"/>
            </w:tcBorders>
            <w:gridSpan w:val="4"/>
          </w:tcPr>
          <w:p>
            <w:pPr>
              <w:jc w:val="right"/>
              <w:ind w:right="30"/>
              <w:spacing w:after="0"/>
              <w:rPr>
                <w:sz w:val="20"/>
                <w:szCs w:val="20"/>
                <w:color w:val="auto"/>
              </w:rPr>
            </w:pPr>
            <w:r>
              <w:rPr>
                <w:rFonts w:ascii="Arial" w:cs="Arial" w:eastAsia="Arial" w:hAnsi="Arial"/>
                <w:sz w:val="18"/>
                <w:szCs w:val="18"/>
                <w:b w:val="1"/>
                <w:bCs w:val="1"/>
                <w:color w:val="auto"/>
              </w:rPr>
              <w:t>Nine Months Ended September 30,</w:t>
            </w:r>
          </w:p>
        </w:tc>
        <w:tc>
          <w:tcPr>
            <w:tcW w:w="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640" w:type="dxa"/>
            <w:vAlign w:val="bottom"/>
            <w:tcBorders>
              <w:bottom w:val="single" w:sz="8" w:color="auto"/>
            </w:tcBorders>
          </w:tcPr>
          <w:p>
            <w:pPr>
              <w:spacing w:after="0"/>
              <w:rPr>
                <w:sz w:val="24"/>
                <w:szCs w:val="24"/>
                <w:color w:val="auto"/>
              </w:rPr>
            </w:pPr>
          </w:p>
        </w:tc>
      </w:tr>
      <w:tr>
        <w:trPr>
          <w:trHeight w:val="223"/>
        </w:trPr>
        <w:tc>
          <w:tcPr>
            <w:tcW w:w="4700" w:type="dxa"/>
            <w:vAlign w:val="bottom"/>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spacing w:after="0"/>
              <w:rPr>
                <w:sz w:val="19"/>
                <w:szCs w:val="19"/>
                <w:color w:val="auto"/>
              </w:rPr>
            </w:pPr>
          </w:p>
        </w:tc>
        <w:tc>
          <w:tcPr>
            <w:tcW w:w="1800" w:type="dxa"/>
            <w:vAlign w:val="bottom"/>
            <w:tcBorders>
              <w:bottom w:val="single" w:sz="8" w:color="auto"/>
            </w:tcBorders>
            <w:gridSpan w:val="3"/>
          </w:tcPr>
          <w:p>
            <w:pPr>
              <w:jc w:val="right"/>
              <w:ind w:right="1330"/>
              <w:spacing w:after="0"/>
              <w:rPr>
                <w:sz w:val="20"/>
                <w:szCs w:val="20"/>
                <w:color w:val="auto"/>
              </w:rPr>
            </w:pPr>
            <w:r>
              <w:rPr>
                <w:rFonts w:ascii="Arial" w:cs="Arial" w:eastAsia="Arial" w:hAnsi="Arial"/>
                <w:sz w:val="18"/>
                <w:szCs w:val="18"/>
                <w:b w:val="1"/>
                <w:bCs w:val="1"/>
                <w:color w:val="auto"/>
                <w:w w:val="89"/>
              </w:rPr>
              <w:t>2022</w:t>
            </w:r>
          </w:p>
        </w:tc>
        <w:tc>
          <w:tcPr>
            <w:tcW w:w="100" w:type="dxa"/>
            <w:vAlign w:val="bottom"/>
          </w:tcPr>
          <w:p>
            <w:pPr>
              <w:spacing w:after="0"/>
              <w:rPr>
                <w:sz w:val="19"/>
                <w:szCs w:val="19"/>
                <w:color w:val="auto"/>
              </w:rPr>
            </w:pPr>
          </w:p>
        </w:tc>
        <w:tc>
          <w:tcPr>
            <w:tcW w:w="66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spacing w:after="0"/>
              <w:rPr>
                <w:sz w:val="19"/>
                <w:szCs w:val="19"/>
                <w:color w:val="auto"/>
              </w:rPr>
            </w:pPr>
          </w:p>
        </w:tc>
        <w:tc>
          <w:tcPr>
            <w:tcW w:w="1800" w:type="dxa"/>
            <w:vAlign w:val="bottom"/>
            <w:tcBorders>
              <w:bottom w:val="single" w:sz="8" w:color="auto"/>
            </w:tcBorders>
            <w:gridSpan w:val="3"/>
          </w:tcPr>
          <w:p>
            <w:pPr>
              <w:jc w:val="right"/>
              <w:ind w:right="1330"/>
              <w:spacing w:after="0"/>
              <w:rPr>
                <w:sz w:val="20"/>
                <w:szCs w:val="20"/>
                <w:color w:val="auto"/>
              </w:rPr>
            </w:pPr>
            <w:r>
              <w:rPr>
                <w:rFonts w:ascii="Arial" w:cs="Arial" w:eastAsia="Arial" w:hAnsi="Arial"/>
                <w:sz w:val="18"/>
                <w:szCs w:val="18"/>
                <w:b w:val="1"/>
                <w:bCs w:val="1"/>
                <w:color w:val="auto"/>
                <w:w w:val="89"/>
              </w:rPr>
              <w:t>2021</w:t>
            </w:r>
          </w:p>
        </w:tc>
      </w:tr>
      <w:tr>
        <w:trPr>
          <w:trHeight w:val="223"/>
        </w:trPr>
        <w:tc>
          <w:tcPr>
            <w:tcW w:w="4700" w:type="dxa"/>
            <w:vAlign w:val="bottom"/>
          </w:tcPr>
          <w:p>
            <w:pPr>
              <w:spacing w:after="0"/>
              <w:rPr>
                <w:sz w:val="19"/>
                <w:szCs w:val="19"/>
                <w:color w:val="auto"/>
              </w:rPr>
            </w:pPr>
          </w:p>
        </w:tc>
        <w:tc>
          <w:tcPr>
            <w:tcW w:w="142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w w:val="96"/>
              </w:rPr>
              <w:t>Revenue Dollars</w:t>
            </w:r>
          </w:p>
        </w:tc>
        <w:tc>
          <w:tcPr>
            <w:tcW w:w="6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89"/>
              </w:rPr>
              <w:t>Revenue Percentage</w:t>
            </w:r>
          </w:p>
        </w:tc>
        <w:tc>
          <w:tcPr>
            <w:tcW w:w="10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w w:val="96"/>
              </w:rPr>
              <w:t>Revenue Dollars</w:t>
            </w:r>
          </w:p>
        </w:tc>
        <w:tc>
          <w:tcPr>
            <w:tcW w:w="6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89"/>
              </w:rPr>
              <w:t>Revenue Percentage</w:t>
            </w:r>
          </w:p>
        </w:tc>
      </w:tr>
      <w:tr>
        <w:trPr>
          <w:trHeight w:val="223"/>
        </w:trPr>
        <w:tc>
          <w:tcPr>
            <w:tcW w:w="47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0" w:type="dxa"/>
            <w:vAlign w:val="bottom"/>
            <w:gridSpan w:val="3"/>
          </w:tcPr>
          <w:p>
            <w:pPr>
              <w:jc w:val="right"/>
              <w:ind w:right="50"/>
              <w:spacing w:after="0"/>
              <w:rPr>
                <w:sz w:val="20"/>
                <w:szCs w:val="20"/>
                <w:color w:val="auto"/>
              </w:rPr>
            </w:pPr>
            <w:r>
              <w:rPr>
                <w:rFonts w:ascii="Arial" w:cs="Arial" w:eastAsia="Arial" w:hAnsi="Arial"/>
                <w:sz w:val="18"/>
                <w:szCs w:val="18"/>
                <w:b w:val="1"/>
                <w:bCs w:val="1"/>
                <w:color w:val="auto"/>
              </w:rPr>
              <w:t>(In thousands)</w:t>
            </w:r>
          </w:p>
        </w:tc>
        <w:tc>
          <w:tcPr>
            <w:tcW w:w="7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40" w:type="dxa"/>
            <w:vAlign w:val="bottom"/>
          </w:tcPr>
          <w:p>
            <w:pPr>
              <w:spacing w:after="0"/>
              <w:rPr>
                <w:sz w:val="19"/>
                <w:szCs w:val="19"/>
                <w:color w:val="auto"/>
              </w:rPr>
            </w:pPr>
          </w:p>
        </w:tc>
      </w:tr>
      <w:tr>
        <w:trPr>
          <w:trHeight w:val="230"/>
        </w:trPr>
        <w:tc>
          <w:tcPr>
            <w:tcW w:w="4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Home health and hospice services</w:t>
            </w:r>
          </w:p>
        </w:tc>
        <w:tc>
          <w:tcPr>
            <w:tcW w:w="46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40" w:type="dxa"/>
            <w:vAlign w:val="bottom"/>
            <w:shd w:val="clear" w:color="auto" w:fill="CCEEFF"/>
          </w:tcPr>
          <w:p>
            <w:pPr>
              <w:spacing w:after="0"/>
              <w:rPr>
                <w:sz w:val="19"/>
                <w:szCs w:val="19"/>
                <w:color w:val="auto"/>
              </w:rPr>
            </w:pPr>
          </w:p>
        </w:tc>
      </w:tr>
      <w:tr>
        <w:trPr>
          <w:trHeight w:val="230"/>
        </w:trPr>
        <w:tc>
          <w:tcPr>
            <w:tcW w:w="4700" w:type="dxa"/>
            <w:vAlign w:val="bottom"/>
          </w:tcPr>
          <w:p>
            <w:pPr>
              <w:ind w:left="140"/>
              <w:spacing w:after="0"/>
              <w:rPr>
                <w:sz w:val="20"/>
                <w:szCs w:val="20"/>
                <w:color w:val="auto"/>
              </w:rPr>
            </w:pPr>
            <w:r>
              <w:rPr>
                <w:rFonts w:ascii="Arial" w:cs="Arial" w:eastAsia="Arial" w:hAnsi="Arial"/>
                <w:sz w:val="18"/>
                <w:szCs w:val="18"/>
                <w:color w:val="auto"/>
              </w:rPr>
              <w:t>Home health</w:t>
            </w:r>
          </w:p>
        </w:tc>
        <w:tc>
          <w:tcPr>
            <w:tcW w:w="460" w:type="dxa"/>
            <w:vAlign w:val="bottom"/>
          </w:tcPr>
          <w:p>
            <w:pPr>
              <w:jc w:val="right"/>
              <w:ind w:right="25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117,962</w:t>
            </w:r>
          </w:p>
        </w:tc>
        <w:tc>
          <w:tcPr>
            <w:tcW w:w="1800" w:type="dxa"/>
            <w:vAlign w:val="bottom"/>
            <w:gridSpan w:val="3"/>
          </w:tcPr>
          <w:p>
            <w:pPr>
              <w:jc w:val="right"/>
              <w:spacing w:after="0"/>
              <w:rPr>
                <w:sz w:val="20"/>
                <w:szCs w:val="20"/>
                <w:color w:val="auto"/>
              </w:rPr>
            </w:pPr>
            <w:r>
              <w:rPr>
                <w:rFonts w:ascii="Arial" w:cs="Arial" w:eastAsia="Arial" w:hAnsi="Arial"/>
                <w:sz w:val="18"/>
                <w:szCs w:val="18"/>
                <w:color w:val="auto"/>
              </w:rPr>
              <w:t>33.8 %</w:t>
            </w:r>
          </w:p>
        </w:tc>
        <w:tc>
          <w:tcPr>
            <w:tcW w:w="100" w:type="dxa"/>
            <w:vAlign w:val="bottom"/>
          </w:tcPr>
          <w:p>
            <w:pPr>
              <w:spacing w:after="0"/>
              <w:rPr>
                <w:sz w:val="19"/>
                <w:szCs w:val="19"/>
                <w:color w:val="auto"/>
              </w:rPr>
            </w:pPr>
          </w:p>
        </w:tc>
        <w:tc>
          <w:tcPr>
            <w:tcW w:w="660" w:type="dxa"/>
            <w:vAlign w:val="bottom"/>
          </w:tcPr>
          <w:p>
            <w:pPr>
              <w:jc w:val="right"/>
              <w:ind w:right="450"/>
              <w:spacing w:after="0"/>
              <w:rPr>
                <w:sz w:val="20"/>
                <w:szCs w:val="20"/>
                <w:color w:val="auto"/>
              </w:rPr>
            </w:pPr>
            <w:r>
              <w:rPr>
                <w:rFonts w:ascii="Arial" w:cs="Arial" w:eastAsia="Arial" w:hAnsi="Arial"/>
                <w:sz w:val="18"/>
                <w:szCs w:val="18"/>
                <w:color w:val="auto"/>
                <w:w w:val="99"/>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102,719</w:t>
            </w:r>
          </w:p>
        </w:tc>
        <w:tc>
          <w:tcPr>
            <w:tcW w:w="1800" w:type="dxa"/>
            <w:vAlign w:val="bottom"/>
            <w:gridSpan w:val="3"/>
          </w:tcPr>
          <w:p>
            <w:pPr>
              <w:jc w:val="right"/>
              <w:spacing w:after="0"/>
              <w:rPr>
                <w:sz w:val="20"/>
                <w:szCs w:val="20"/>
                <w:color w:val="auto"/>
              </w:rPr>
            </w:pPr>
            <w:r>
              <w:rPr>
                <w:rFonts w:ascii="Arial" w:cs="Arial" w:eastAsia="Arial" w:hAnsi="Arial"/>
                <w:sz w:val="18"/>
                <w:szCs w:val="18"/>
                <w:color w:val="auto"/>
              </w:rPr>
              <w:t>31.3 %</w:t>
            </w:r>
          </w:p>
        </w:tc>
      </w:tr>
      <w:tr>
        <w:trPr>
          <w:trHeight w:val="230"/>
        </w:trPr>
        <w:tc>
          <w:tcPr>
            <w:tcW w:w="47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Hospice</w:t>
            </w:r>
          </w:p>
        </w:tc>
        <w:tc>
          <w:tcPr>
            <w:tcW w:w="4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117,704</w:t>
            </w:r>
          </w:p>
        </w:tc>
        <w:tc>
          <w:tcPr>
            <w:tcW w:w="1800" w:type="dxa"/>
            <w:vAlign w:val="bottom"/>
            <w:gridSpan w:val="3"/>
            <w:shd w:val="clear" w:color="auto" w:fill="CCEEFF"/>
          </w:tcPr>
          <w:p>
            <w:pPr>
              <w:jc w:val="right"/>
              <w:ind w:right="130"/>
              <w:spacing w:after="0"/>
              <w:rPr>
                <w:sz w:val="20"/>
                <w:szCs w:val="20"/>
                <w:color w:val="auto"/>
              </w:rPr>
            </w:pPr>
            <w:r>
              <w:rPr>
                <w:rFonts w:ascii="Arial" w:cs="Arial" w:eastAsia="Arial" w:hAnsi="Arial"/>
                <w:sz w:val="18"/>
                <w:szCs w:val="18"/>
                <w:color w:val="auto"/>
              </w:rPr>
              <w:t>33.8</w:t>
            </w:r>
          </w:p>
        </w:tc>
        <w:tc>
          <w:tcPr>
            <w:tcW w:w="10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112,821</w:t>
            </w:r>
          </w:p>
        </w:tc>
        <w:tc>
          <w:tcPr>
            <w:tcW w:w="1800" w:type="dxa"/>
            <w:vAlign w:val="bottom"/>
            <w:gridSpan w:val="3"/>
            <w:shd w:val="clear" w:color="auto" w:fill="CCEEFF"/>
          </w:tcPr>
          <w:p>
            <w:pPr>
              <w:jc w:val="right"/>
              <w:ind w:right="130"/>
              <w:spacing w:after="0"/>
              <w:rPr>
                <w:sz w:val="20"/>
                <w:szCs w:val="20"/>
                <w:color w:val="auto"/>
              </w:rPr>
            </w:pPr>
            <w:r>
              <w:rPr>
                <w:rFonts w:ascii="Arial" w:cs="Arial" w:eastAsia="Arial" w:hAnsi="Arial"/>
                <w:sz w:val="18"/>
                <w:szCs w:val="18"/>
                <w:color w:val="auto"/>
              </w:rPr>
              <w:t>34.4</w:t>
            </w:r>
          </w:p>
        </w:tc>
      </w:tr>
      <w:tr>
        <w:trPr>
          <w:trHeight w:val="229"/>
        </w:trPr>
        <w:tc>
          <w:tcPr>
            <w:tcW w:w="4700" w:type="dxa"/>
            <w:vAlign w:val="bottom"/>
          </w:tcPr>
          <w:p>
            <w:pPr>
              <w:ind w:left="140"/>
              <w:spacing w:after="0" w:line="230" w:lineRule="exact"/>
              <w:rPr>
                <w:sz w:val="20"/>
                <w:szCs w:val="20"/>
                <w:color w:val="auto"/>
              </w:rPr>
            </w:pPr>
            <w:r>
              <w:rPr>
                <w:rFonts w:ascii="Arial" w:cs="Arial" w:eastAsia="Arial" w:hAnsi="Arial"/>
                <w:sz w:val="18"/>
                <w:szCs w:val="18"/>
                <w:color w:val="auto"/>
              </w:rPr>
              <w:t>Home care and other</w:t>
            </w:r>
            <w:r>
              <w:rPr>
                <w:rFonts w:ascii="Arial" w:cs="Arial" w:eastAsia="Arial" w:hAnsi="Arial"/>
                <w:sz w:val="23"/>
                <w:szCs w:val="23"/>
                <w:color w:val="auto"/>
                <w:vertAlign w:val="superscript"/>
              </w:rPr>
              <w:t>(a)</w:t>
            </w:r>
          </w:p>
        </w:tc>
        <w:tc>
          <w:tcPr>
            <w:tcW w:w="4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15,932</w:t>
            </w:r>
          </w:p>
        </w:tc>
        <w:tc>
          <w:tcPr>
            <w:tcW w:w="1800" w:type="dxa"/>
            <w:vAlign w:val="bottom"/>
            <w:gridSpan w:val="3"/>
          </w:tcPr>
          <w:p>
            <w:pPr>
              <w:jc w:val="right"/>
              <w:ind w:right="130"/>
              <w:spacing w:after="0"/>
              <w:rPr>
                <w:sz w:val="20"/>
                <w:szCs w:val="20"/>
                <w:color w:val="auto"/>
              </w:rPr>
            </w:pPr>
            <w:r>
              <w:rPr>
                <w:rFonts w:ascii="Arial" w:cs="Arial" w:eastAsia="Arial" w:hAnsi="Arial"/>
                <w:sz w:val="18"/>
                <w:szCs w:val="18"/>
                <w:color w:val="auto"/>
              </w:rPr>
              <w:t>4.6</w:t>
            </w:r>
          </w:p>
        </w:tc>
        <w:tc>
          <w:tcPr>
            <w:tcW w:w="1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16,175</w:t>
            </w:r>
          </w:p>
        </w:tc>
        <w:tc>
          <w:tcPr>
            <w:tcW w:w="1800" w:type="dxa"/>
            <w:vAlign w:val="bottom"/>
            <w:gridSpan w:val="3"/>
          </w:tcPr>
          <w:p>
            <w:pPr>
              <w:jc w:val="right"/>
              <w:ind w:right="130"/>
              <w:spacing w:after="0"/>
              <w:rPr>
                <w:sz w:val="20"/>
                <w:szCs w:val="20"/>
                <w:color w:val="auto"/>
              </w:rPr>
            </w:pPr>
            <w:r>
              <w:rPr>
                <w:rFonts w:ascii="Arial" w:cs="Arial" w:eastAsia="Arial" w:hAnsi="Arial"/>
                <w:sz w:val="18"/>
                <w:szCs w:val="18"/>
                <w:color w:val="auto"/>
              </w:rPr>
              <w:t>5.0</w:t>
            </w:r>
          </w:p>
        </w:tc>
      </w:tr>
      <w:tr>
        <w:trPr>
          <w:trHeight w:val="223"/>
        </w:trPr>
        <w:tc>
          <w:tcPr>
            <w:tcW w:w="4700" w:type="dxa"/>
            <w:vAlign w:val="bottom"/>
            <w:tcBorders>
              <w:top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Total home health and hospice services</w:t>
            </w:r>
          </w:p>
        </w:tc>
        <w:tc>
          <w:tcPr>
            <w:tcW w:w="460" w:type="dxa"/>
            <w:vAlign w:val="bottom"/>
            <w:tcBorders>
              <w:top w:val="single" w:sz="8" w:color="auto"/>
            </w:tcBorders>
            <w:shd w:val="clear" w:color="auto" w:fill="CCEEFF"/>
          </w:tcPr>
          <w:p>
            <w:pPr>
              <w:spacing w:after="0"/>
              <w:rPr>
                <w:sz w:val="19"/>
                <w:szCs w:val="19"/>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251,598</w:t>
            </w:r>
          </w:p>
        </w:tc>
        <w:tc>
          <w:tcPr>
            <w:tcW w:w="6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640" w:type="dxa"/>
            <w:vAlign w:val="bottom"/>
            <w:tcBorders>
              <w:top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72.2</w:t>
            </w:r>
          </w:p>
        </w:tc>
        <w:tc>
          <w:tcPr>
            <w:tcW w:w="100" w:type="dxa"/>
            <w:vAlign w:val="bottom"/>
            <w:tcBorders>
              <w:top w:val="single" w:sz="8" w:color="auto"/>
            </w:tcBorders>
            <w:shd w:val="clear" w:color="auto" w:fill="CCEEFF"/>
          </w:tcPr>
          <w:p>
            <w:pPr>
              <w:spacing w:after="0"/>
              <w:rPr>
                <w:sz w:val="19"/>
                <w:szCs w:val="19"/>
                <w:color w:val="auto"/>
              </w:rPr>
            </w:pPr>
          </w:p>
        </w:tc>
        <w:tc>
          <w:tcPr>
            <w:tcW w:w="660" w:type="dxa"/>
            <w:vAlign w:val="bottom"/>
            <w:tcBorders>
              <w:top w:val="single" w:sz="8" w:color="auto"/>
            </w:tcBorders>
            <w:shd w:val="clear" w:color="auto" w:fill="CCEEFF"/>
          </w:tcPr>
          <w:p>
            <w:pPr>
              <w:spacing w:after="0"/>
              <w:rPr>
                <w:sz w:val="19"/>
                <w:szCs w:val="19"/>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231,715</w:t>
            </w:r>
          </w:p>
        </w:tc>
        <w:tc>
          <w:tcPr>
            <w:tcW w:w="6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640" w:type="dxa"/>
            <w:vAlign w:val="bottom"/>
            <w:tcBorders>
              <w:top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70.7</w:t>
            </w:r>
          </w:p>
        </w:tc>
      </w:tr>
      <w:tr>
        <w:trPr>
          <w:trHeight w:val="230"/>
        </w:trPr>
        <w:tc>
          <w:tcPr>
            <w:tcW w:w="4700" w:type="dxa"/>
            <w:vAlign w:val="bottom"/>
          </w:tcPr>
          <w:p>
            <w:pPr>
              <w:ind w:left="20"/>
              <w:spacing w:after="0"/>
              <w:rPr>
                <w:sz w:val="20"/>
                <w:szCs w:val="20"/>
                <w:color w:val="auto"/>
              </w:rPr>
            </w:pPr>
            <w:r>
              <w:rPr>
                <w:rFonts w:ascii="Arial" w:cs="Arial" w:eastAsia="Arial" w:hAnsi="Arial"/>
                <w:sz w:val="18"/>
                <w:szCs w:val="18"/>
                <w:color w:val="auto"/>
              </w:rPr>
              <w:t>Senior living services</w:t>
            </w:r>
          </w:p>
        </w:tc>
        <w:tc>
          <w:tcPr>
            <w:tcW w:w="4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96,978</w:t>
            </w:r>
          </w:p>
        </w:tc>
        <w:tc>
          <w:tcPr>
            <w:tcW w:w="1800" w:type="dxa"/>
            <w:vAlign w:val="bottom"/>
            <w:gridSpan w:val="3"/>
          </w:tcPr>
          <w:p>
            <w:pPr>
              <w:jc w:val="right"/>
              <w:ind w:right="130"/>
              <w:spacing w:after="0"/>
              <w:rPr>
                <w:sz w:val="20"/>
                <w:szCs w:val="20"/>
                <w:color w:val="auto"/>
              </w:rPr>
            </w:pPr>
            <w:r>
              <w:rPr>
                <w:rFonts w:ascii="Arial" w:cs="Arial" w:eastAsia="Arial" w:hAnsi="Arial"/>
                <w:sz w:val="18"/>
                <w:szCs w:val="18"/>
                <w:color w:val="auto"/>
              </w:rPr>
              <w:t>27.8</w:t>
            </w:r>
          </w:p>
        </w:tc>
        <w:tc>
          <w:tcPr>
            <w:tcW w:w="1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96,214</w:t>
            </w:r>
          </w:p>
        </w:tc>
        <w:tc>
          <w:tcPr>
            <w:tcW w:w="1800" w:type="dxa"/>
            <w:vAlign w:val="bottom"/>
            <w:gridSpan w:val="3"/>
          </w:tcPr>
          <w:p>
            <w:pPr>
              <w:jc w:val="right"/>
              <w:ind w:right="130"/>
              <w:spacing w:after="0"/>
              <w:rPr>
                <w:sz w:val="20"/>
                <w:szCs w:val="20"/>
                <w:color w:val="auto"/>
              </w:rPr>
            </w:pPr>
            <w:r>
              <w:rPr>
                <w:rFonts w:ascii="Arial" w:cs="Arial" w:eastAsia="Arial" w:hAnsi="Arial"/>
                <w:sz w:val="18"/>
                <w:szCs w:val="18"/>
                <w:color w:val="auto"/>
              </w:rPr>
              <w:t>29.3</w:t>
            </w:r>
          </w:p>
        </w:tc>
      </w:tr>
      <w:tr>
        <w:trPr>
          <w:trHeight w:val="248"/>
        </w:trPr>
        <w:tc>
          <w:tcPr>
            <w:tcW w:w="4700" w:type="dxa"/>
            <w:vAlign w:val="bottom"/>
            <w:tcBorders>
              <w:top w:val="single" w:sz="8" w:color="CCEEFF"/>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Total revenue</w:t>
            </w:r>
          </w:p>
        </w:tc>
        <w:tc>
          <w:tcPr>
            <w:tcW w:w="460" w:type="dxa"/>
            <w:vAlign w:val="bottom"/>
            <w:tcBorders>
              <w:top w:val="single" w:sz="8" w:color="auto"/>
              <w:bottom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348,576</w:t>
            </w:r>
          </w:p>
        </w:tc>
        <w:tc>
          <w:tcPr>
            <w:tcW w:w="60" w:type="dxa"/>
            <w:vAlign w:val="bottom"/>
            <w:tcBorders>
              <w:top w:val="single" w:sz="8" w:color="auto"/>
              <w:bottom w:val="single" w:sz="8" w:color="auto"/>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100.0 %</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660" w:type="dxa"/>
            <w:vAlign w:val="bottom"/>
            <w:tcBorders>
              <w:top w:val="single" w:sz="8" w:color="auto"/>
              <w:bottom w:val="single" w:sz="8" w:color="auto"/>
            </w:tcBorders>
            <w:shd w:val="clear" w:color="auto" w:fill="CCEEFF"/>
          </w:tcPr>
          <w:p>
            <w:pPr>
              <w:jc w:val="right"/>
              <w:ind w:right="450"/>
              <w:spacing w:after="0"/>
              <w:rPr>
                <w:sz w:val="20"/>
                <w:szCs w:val="20"/>
                <w:color w:val="auto"/>
              </w:rPr>
            </w:pPr>
            <w:r>
              <w:rPr>
                <w:rFonts w:ascii="Arial" w:cs="Arial" w:eastAsia="Arial" w:hAnsi="Arial"/>
                <w:sz w:val="18"/>
                <w:szCs w:val="18"/>
                <w:color w:val="auto"/>
                <w:w w:val="99"/>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327,929</w:t>
            </w:r>
          </w:p>
        </w:tc>
        <w:tc>
          <w:tcPr>
            <w:tcW w:w="60" w:type="dxa"/>
            <w:vAlign w:val="bottom"/>
            <w:tcBorders>
              <w:top w:val="single" w:sz="8" w:color="auto"/>
              <w:bottom w:val="single" w:sz="8" w:color="auto"/>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100.0 %</w:t>
            </w:r>
          </w:p>
        </w:tc>
      </w:tr>
      <w:tr>
        <w:trPr>
          <w:trHeight w:val="20"/>
        </w:trPr>
        <w:tc>
          <w:tcPr>
            <w:tcW w:w="470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40" w:type="dxa"/>
            <w:vAlign w:val="bottom"/>
            <w:tcBorders>
              <w:top w:val="single" w:sz="8" w:color="CCEEFF"/>
              <w:bottom w:val="single" w:sz="8" w:color="auto"/>
            </w:tcBorders>
          </w:tcPr>
          <w:p>
            <w:pPr>
              <w:spacing w:after="0" w:line="20" w:lineRule="exact"/>
              <w:rPr>
                <w:sz w:val="1"/>
                <w:szCs w:val="1"/>
                <w:color w:val="auto"/>
              </w:rPr>
            </w:pPr>
          </w:p>
        </w:tc>
      </w:tr>
    </w:tbl>
    <w:p>
      <w:pPr>
        <w:spacing w:after="0" w:line="103" w:lineRule="exact"/>
        <w:rPr>
          <w:sz w:val="20"/>
          <w:szCs w:val="20"/>
          <w:color w:val="auto"/>
        </w:rPr>
      </w:pPr>
    </w:p>
    <w:p>
      <w:pPr>
        <w:ind w:left="480" w:hanging="454"/>
        <w:spacing w:after="0"/>
        <w:tabs>
          <w:tab w:leader="none" w:pos="480" w:val="left"/>
        </w:tabs>
        <w:numPr>
          <w:ilvl w:val="0"/>
          <w:numId w:val="33"/>
        </w:numPr>
        <w:rPr>
          <w:rFonts w:ascii="Arial" w:cs="Arial" w:eastAsia="Arial" w:hAnsi="Arial"/>
          <w:sz w:val="14"/>
          <w:szCs w:val="14"/>
          <w:color w:val="auto"/>
        </w:rPr>
      </w:pPr>
      <w:r>
        <w:rPr>
          <w:rFonts w:ascii="Arial" w:cs="Arial" w:eastAsia="Arial" w:hAnsi="Arial"/>
          <w:sz w:val="14"/>
          <w:szCs w:val="14"/>
          <w:color w:val="auto"/>
        </w:rPr>
        <w:t>Home care and other revenue is included with home health revenue in other disclosures in this Quarterly Report.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43" w:name="page44"/>
    <w:bookmarkEnd w:id="43"/>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63"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Our total revenue increased $20.6 million, or 6.3%, during the nine months ended September 30, 2022. The increase in revenue was driven by increases in all key home health metrics, hospice admissions, hospice revenue per day, senior living occupancy, and senior living revenue per occupied room, partially offset by a decrease in hospice average daily census.</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820" w:type="dxa"/>
            <w:vAlign w:val="bottom"/>
          </w:tcPr>
          <w:p>
            <w:pPr>
              <w:spacing w:after="0"/>
              <w:rPr>
                <w:sz w:val="20"/>
                <w:szCs w:val="20"/>
                <w:color w:val="auto"/>
              </w:rPr>
            </w:pPr>
            <w:r>
              <w:rPr>
                <w:rFonts w:ascii="Arial" w:cs="Arial" w:eastAsia="Arial" w:hAnsi="Arial"/>
                <w:sz w:val="18"/>
                <w:szCs w:val="18"/>
                <w:i w:val="1"/>
                <w:iCs w:val="1"/>
                <w:color w:val="auto"/>
              </w:rPr>
              <w:t>Home Health and Hospice Services</w:t>
            </w:r>
          </w:p>
        </w:tc>
        <w:tc>
          <w:tcPr>
            <w:tcW w:w="1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40" w:type="dxa"/>
            <w:vAlign w:val="bottom"/>
          </w:tcPr>
          <w:p>
            <w:pPr>
              <w:spacing w:after="0"/>
              <w:rPr>
                <w:sz w:val="20"/>
                <w:szCs w:val="20"/>
                <w:color w:val="auto"/>
              </w:rPr>
            </w:pPr>
          </w:p>
        </w:tc>
      </w:tr>
      <w:tr>
        <w:trPr>
          <w:trHeight w:val="446"/>
        </w:trPr>
        <w:tc>
          <w:tcPr>
            <w:tcW w:w="58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80" w:type="dxa"/>
            <w:vAlign w:val="bottom"/>
            <w:gridSpan w:val="6"/>
          </w:tcPr>
          <w:p>
            <w:pPr>
              <w:jc w:val="center"/>
              <w:ind w:right="220"/>
              <w:spacing w:after="0"/>
              <w:rPr>
                <w:sz w:val="20"/>
                <w:szCs w:val="20"/>
                <w:color w:val="auto"/>
              </w:rPr>
            </w:pPr>
            <w:r>
              <w:rPr>
                <w:rFonts w:ascii="Arial" w:cs="Arial" w:eastAsia="Arial" w:hAnsi="Arial"/>
                <w:sz w:val="18"/>
                <w:szCs w:val="18"/>
                <w:b w:val="1"/>
                <w:bCs w:val="1"/>
                <w:color w:val="auto"/>
                <w:w w:val="90"/>
              </w:rPr>
              <w:t>Nine Months Ended September</w:t>
            </w:r>
          </w:p>
        </w:tc>
        <w:tc>
          <w:tcPr>
            <w:tcW w:w="2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40" w:type="dxa"/>
            <w:vAlign w:val="bottom"/>
          </w:tcPr>
          <w:p>
            <w:pPr>
              <w:spacing w:after="0"/>
              <w:rPr>
                <w:sz w:val="24"/>
                <w:szCs w:val="24"/>
                <w:color w:val="auto"/>
              </w:rPr>
            </w:pPr>
          </w:p>
        </w:tc>
      </w:tr>
      <w:tr>
        <w:trPr>
          <w:trHeight w:val="236"/>
        </w:trPr>
        <w:tc>
          <w:tcPr>
            <w:tcW w:w="58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spacing w:after="0"/>
              <w:rPr>
                <w:sz w:val="20"/>
                <w:szCs w:val="20"/>
                <w:color w:val="auto"/>
              </w:rPr>
            </w:pPr>
          </w:p>
        </w:tc>
        <w:tc>
          <w:tcPr>
            <w:tcW w:w="440" w:type="dxa"/>
            <w:vAlign w:val="bottom"/>
            <w:tcBorders>
              <w:bottom w:val="single" w:sz="8" w:color="auto"/>
            </w:tcBorders>
            <w:gridSpan w:val="3"/>
          </w:tcPr>
          <w:p>
            <w:pPr>
              <w:jc w:val="center"/>
              <w:ind w:right="130"/>
              <w:spacing w:after="0"/>
              <w:rPr>
                <w:sz w:val="20"/>
                <w:szCs w:val="20"/>
                <w:color w:val="auto"/>
              </w:rPr>
            </w:pPr>
            <w:r>
              <w:rPr>
                <w:rFonts w:ascii="Arial" w:cs="Arial" w:eastAsia="Arial" w:hAnsi="Arial"/>
                <w:sz w:val="18"/>
                <w:szCs w:val="18"/>
                <w:b w:val="1"/>
                <w:bCs w:val="1"/>
                <w:color w:val="auto"/>
                <w:w w:val="87"/>
              </w:rPr>
              <w:t>30,</w:t>
            </w:r>
          </w:p>
        </w:tc>
        <w:tc>
          <w:tcPr>
            <w:tcW w:w="10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40" w:type="dxa"/>
            <w:vAlign w:val="bottom"/>
          </w:tcPr>
          <w:p>
            <w:pPr>
              <w:spacing w:after="0"/>
              <w:rPr>
                <w:sz w:val="20"/>
                <w:szCs w:val="20"/>
                <w:color w:val="auto"/>
              </w:rPr>
            </w:pPr>
          </w:p>
        </w:tc>
      </w:tr>
      <w:tr>
        <w:trPr>
          <w:trHeight w:val="230"/>
        </w:trPr>
        <w:tc>
          <w:tcPr>
            <w:tcW w:w="58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tcPr>
          <w:p>
            <w:pPr>
              <w:jc w:val="right"/>
              <w:ind w:right="330"/>
              <w:spacing w:after="0"/>
              <w:rPr>
                <w:sz w:val="20"/>
                <w:szCs w:val="20"/>
                <w:color w:val="auto"/>
              </w:rPr>
            </w:pPr>
            <w:r>
              <w:rPr>
                <w:rFonts w:ascii="Arial" w:cs="Arial" w:eastAsia="Arial" w:hAnsi="Arial"/>
                <w:sz w:val="18"/>
                <w:szCs w:val="18"/>
                <w:b w:val="1"/>
                <w:bCs w:val="1"/>
                <w:color w:val="auto"/>
              </w:rPr>
              <w:t>2022</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20" w:type="dxa"/>
            <w:vAlign w:val="bottom"/>
          </w:tcPr>
          <w:p>
            <w:pPr>
              <w:jc w:val="right"/>
              <w:ind w:right="370"/>
              <w:spacing w:after="0"/>
              <w:rPr>
                <w:sz w:val="20"/>
                <w:szCs w:val="20"/>
                <w:color w:val="auto"/>
              </w:rPr>
            </w:pPr>
            <w:r>
              <w:rPr>
                <w:rFonts w:ascii="Arial" w:cs="Arial" w:eastAsia="Arial" w:hAnsi="Arial"/>
                <w:sz w:val="18"/>
                <w:szCs w:val="18"/>
                <w:b w:val="1"/>
                <w:bCs w:val="1"/>
                <w:color w:val="auto"/>
              </w:rPr>
              <w:t>2021</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80" w:type="dxa"/>
            <w:vAlign w:val="bottom"/>
            <w:gridSpan w:val="2"/>
          </w:tcPr>
          <w:p>
            <w:pPr>
              <w:ind w:left="100"/>
              <w:spacing w:after="0"/>
              <w:rPr>
                <w:sz w:val="20"/>
                <w:szCs w:val="20"/>
                <w:color w:val="auto"/>
              </w:rPr>
            </w:pPr>
            <w:r>
              <w:rPr>
                <w:rFonts w:ascii="Arial" w:cs="Arial" w:eastAsia="Arial" w:hAnsi="Arial"/>
                <w:sz w:val="18"/>
                <w:szCs w:val="18"/>
                <w:b w:val="1"/>
                <w:bCs w:val="1"/>
                <w:color w:val="auto"/>
              </w:rPr>
              <w:t>Change</w:t>
            </w:r>
          </w:p>
        </w:tc>
        <w:tc>
          <w:tcPr>
            <w:tcW w:w="1340" w:type="dxa"/>
            <w:vAlign w:val="bottom"/>
          </w:tcPr>
          <w:p>
            <w:pPr>
              <w:jc w:val="right"/>
              <w:ind w:right="170"/>
              <w:spacing w:after="0"/>
              <w:rPr>
                <w:sz w:val="20"/>
                <w:szCs w:val="20"/>
                <w:color w:val="auto"/>
              </w:rPr>
            </w:pPr>
            <w:r>
              <w:rPr>
                <w:rFonts w:ascii="Arial" w:cs="Arial" w:eastAsia="Arial" w:hAnsi="Arial"/>
                <w:sz w:val="18"/>
                <w:szCs w:val="18"/>
                <w:b w:val="1"/>
                <w:bCs w:val="1"/>
                <w:color w:val="auto"/>
              </w:rPr>
              <w:t>% Change</w:t>
            </w:r>
          </w:p>
        </w:tc>
      </w:tr>
      <w:tr>
        <w:trPr>
          <w:trHeight w:val="223"/>
        </w:trPr>
        <w:tc>
          <w:tcPr>
            <w:tcW w:w="582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2580" w:type="dxa"/>
            <w:vAlign w:val="bottom"/>
            <w:tcBorders>
              <w:top w:val="single" w:sz="8" w:color="auto"/>
            </w:tcBorders>
            <w:gridSpan w:val="5"/>
          </w:tcPr>
          <w:p>
            <w:pPr>
              <w:jc w:val="center"/>
              <w:ind w:right="30"/>
              <w:spacing w:after="0"/>
              <w:rPr>
                <w:sz w:val="20"/>
                <w:szCs w:val="20"/>
                <w:color w:val="auto"/>
              </w:rPr>
            </w:pPr>
            <w:r>
              <w:rPr>
                <w:rFonts w:ascii="Arial" w:cs="Arial" w:eastAsia="Arial" w:hAnsi="Arial"/>
                <w:sz w:val="18"/>
                <w:szCs w:val="18"/>
                <w:b w:val="1"/>
                <w:bCs w:val="1"/>
                <w:color w:val="auto"/>
                <w:w w:val="88"/>
              </w:rPr>
              <w:t>(In thousands)</w:t>
            </w:r>
          </w:p>
        </w:tc>
        <w:tc>
          <w:tcPr>
            <w:tcW w:w="10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98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340" w:type="dxa"/>
            <w:vAlign w:val="bottom"/>
            <w:tcBorders>
              <w:top w:val="single" w:sz="8" w:color="auto"/>
            </w:tcBorders>
          </w:tcPr>
          <w:p>
            <w:pPr>
              <w:spacing w:after="0"/>
              <w:rPr>
                <w:sz w:val="19"/>
                <w:szCs w:val="19"/>
                <w:color w:val="auto"/>
              </w:rPr>
            </w:pPr>
          </w:p>
        </w:tc>
      </w:tr>
      <w:tr>
        <w:trPr>
          <w:trHeight w:val="230"/>
        </w:trPr>
        <w:tc>
          <w:tcPr>
            <w:tcW w:w="5820" w:type="dxa"/>
            <w:vAlign w:val="bottom"/>
            <w:shd w:val="clear" w:color="auto" w:fill="CCEEFF"/>
          </w:tcPr>
          <w:p>
            <w:pPr>
              <w:ind w:left="20"/>
              <w:spacing w:after="0"/>
              <w:rPr>
                <w:sz w:val="20"/>
                <w:szCs w:val="20"/>
                <w:color w:val="auto"/>
              </w:rPr>
            </w:pPr>
            <w:r>
              <w:rPr>
                <w:rFonts w:ascii="Arial" w:cs="Arial" w:eastAsia="Arial" w:hAnsi="Arial"/>
                <w:sz w:val="18"/>
                <w:szCs w:val="18"/>
                <w:color w:val="auto"/>
              </w:rPr>
              <w:t>Home health and hospice revenue</w:t>
            </w:r>
          </w:p>
        </w:tc>
        <w:tc>
          <w:tcPr>
            <w:tcW w:w="12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r>
      <w:tr>
        <w:trPr>
          <w:trHeight w:val="229"/>
        </w:trPr>
        <w:tc>
          <w:tcPr>
            <w:tcW w:w="5820" w:type="dxa"/>
            <w:vAlign w:val="bottom"/>
          </w:tcPr>
          <w:p>
            <w:pPr>
              <w:ind w:left="220"/>
              <w:spacing w:after="0"/>
              <w:rPr>
                <w:sz w:val="20"/>
                <w:szCs w:val="20"/>
                <w:color w:val="auto"/>
              </w:rPr>
            </w:pPr>
            <w:r>
              <w:rPr>
                <w:rFonts w:ascii="Arial" w:cs="Arial" w:eastAsia="Arial" w:hAnsi="Arial"/>
                <w:sz w:val="18"/>
                <w:szCs w:val="18"/>
                <w:color w:val="auto"/>
              </w:rPr>
              <w:t>Home health services</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117,962</w:t>
            </w:r>
          </w:p>
        </w:tc>
        <w:tc>
          <w:tcPr>
            <w:tcW w:w="440" w:type="dxa"/>
            <w:vAlign w:val="bottom"/>
            <w:gridSpan w:val="3"/>
          </w:tcPr>
          <w:p>
            <w:pPr>
              <w:jc w:val="right"/>
              <w:ind w:right="90"/>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102,719</w:t>
            </w:r>
          </w:p>
        </w:tc>
        <w:tc>
          <w:tcPr>
            <w:tcW w:w="100" w:type="dxa"/>
            <w:vAlign w:val="bottom"/>
          </w:tcPr>
          <w:p>
            <w:pPr>
              <w:spacing w:after="0"/>
              <w:rPr>
                <w:sz w:val="19"/>
                <w:szCs w:val="19"/>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15,243</w:t>
            </w:r>
          </w:p>
        </w:tc>
        <w:tc>
          <w:tcPr>
            <w:tcW w:w="1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14.8 %</w:t>
            </w:r>
          </w:p>
        </w:tc>
      </w:tr>
      <w:tr>
        <w:trPr>
          <w:trHeight w:val="230"/>
        </w:trPr>
        <w:tc>
          <w:tcPr>
            <w:tcW w:w="58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Hospice services</w:t>
            </w:r>
          </w:p>
        </w:tc>
        <w:tc>
          <w:tcPr>
            <w:tcW w:w="1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117,704</w:t>
            </w: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112,821</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4,883</w:t>
            </w:r>
          </w:p>
        </w:tc>
        <w:tc>
          <w:tcPr>
            <w:tcW w:w="100" w:type="dxa"/>
            <w:vAlign w:val="bottom"/>
            <w:shd w:val="clear" w:color="auto" w:fill="CCEEFF"/>
          </w:tcPr>
          <w:p>
            <w:pPr>
              <w:spacing w:after="0"/>
              <w:rPr>
                <w:sz w:val="19"/>
                <w:szCs w:val="19"/>
                <w:color w:val="auto"/>
              </w:rPr>
            </w:pPr>
          </w:p>
        </w:tc>
        <w:tc>
          <w:tcPr>
            <w:tcW w:w="1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4.3</w:t>
            </w:r>
          </w:p>
        </w:tc>
      </w:tr>
      <w:tr>
        <w:trPr>
          <w:trHeight w:val="229"/>
        </w:trPr>
        <w:tc>
          <w:tcPr>
            <w:tcW w:w="582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Home care and other</w:t>
            </w:r>
          </w:p>
        </w:tc>
        <w:tc>
          <w:tcPr>
            <w:tcW w:w="1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15,932</w:t>
            </w:r>
          </w:p>
        </w:tc>
        <w:tc>
          <w:tcPr>
            <w:tcW w:w="6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16,175</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(243)</w:t>
            </w:r>
          </w:p>
        </w:tc>
        <w:tc>
          <w:tcPr>
            <w:tcW w:w="100" w:type="dxa"/>
            <w:vAlign w:val="bottom"/>
            <w:tcBorders>
              <w:bottom w:val="single" w:sz="8" w:color="CCEEFF"/>
            </w:tcBorders>
          </w:tcPr>
          <w:p>
            <w:pPr>
              <w:spacing w:after="0"/>
              <w:rPr>
                <w:sz w:val="19"/>
                <w:szCs w:val="19"/>
                <w:color w:val="auto"/>
              </w:rPr>
            </w:pPr>
          </w:p>
        </w:tc>
        <w:tc>
          <w:tcPr>
            <w:tcW w:w="1340" w:type="dxa"/>
            <w:vAlign w:val="bottom"/>
            <w:tcBorders>
              <w:bottom w:val="single" w:sz="8" w:color="CCEEFF"/>
            </w:tcBorders>
          </w:tcPr>
          <w:p>
            <w:pPr>
              <w:jc w:val="right"/>
              <w:ind w:right="90"/>
              <w:spacing w:after="0"/>
              <w:rPr>
                <w:sz w:val="20"/>
                <w:szCs w:val="20"/>
                <w:color w:val="auto"/>
              </w:rPr>
            </w:pPr>
            <w:r>
              <w:rPr>
                <w:rFonts w:ascii="Arial" w:cs="Arial" w:eastAsia="Arial" w:hAnsi="Arial"/>
                <w:sz w:val="18"/>
                <w:szCs w:val="18"/>
                <w:color w:val="auto"/>
              </w:rPr>
              <w:t>(1.5)</w:t>
            </w:r>
          </w:p>
        </w:tc>
      </w:tr>
      <w:tr>
        <w:trPr>
          <w:trHeight w:val="248"/>
        </w:trPr>
        <w:tc>
          <w:tcPr>
            <w:tcW w:w="582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Total home health and hospice revenue</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251,598</w:t>
            </w:r>
          </w:p>
        </w:tc>
        <w:tc>
          <w:tcPr>
            <w:tcW w:w="60" w:type="dxa"/>
            <w:vAlign w:val="bottom"/>
            <w:tcBorders>
              <w:bottom w:val="single" w:sz="8" w:color="auto"/>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231,715</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19,883</w:t>
            </w:r>
          </w:p>
        </w:tc>
        <w:tc>
          <w:tcPr>
            <w:tcW w:w="10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8.6 %</w:t>
            </w:r>
          </w:p>
        </w:tc>
      </w:tr>
      <w:tr>
        <w:trPr>
          <w:trHeight w:val="20"/>
        </w:trPr>
        <w:tc>
          <w:tcPr>
            <w:tcW w:w="58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gridSpan w:val="2"/>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00" w:type="dxa"/>
            <w:vAlign w:val="bottom"/>
            <w:tcBorders>
              <w:top w:val="single" w:sz="8" w:color="CCEEFF"/>
              <w:bottom w:val="single" w:sz="8" w:color="auto"/>
            </w:tcBorders>
            <w:gridSpan w:val="2"/>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40" w:type="dxa"/>
            <w:vAlign w:val="bottom"/>
            <w:tcBorders>
              <w:top w:val="single" w:sz="8" w:color="CCEEFF"/>
            </w:tcBorders>
          </w:tcPr>
          <w:p>
            <w:pPr>
              <w:spacing w:after="0" w:line="20" w:lineRule="exact"/>
              <w:rPr>
                <w:sz w:val="1"/>
                <w:szCs w:val="1"/>
                <w:color w:val="auto"/>
              </w:rPr>
            </w:pPr>
          </w:p>
        </w:tc>
      </w:tr>
      <w:tr>
        <w:trPr>
          <w:trHeight w:val="393"/>
        </w:trPr>
        <w:tc>
          <w:tcPr>
            <w:tcW w:w="58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80" w:type="dxa"/>
            <w:vAlign w:val="bottom"/>
            <w:gridSpan w:val="6"/>
          </w:tcPr>
          <w:p>
            <w:pPr>
              <w:jc w:val="center"/>
              <w:ind w:right="220"/>
              <w:spacing w:after="0"/>
              <w:rPr>
                <w:sz w:val="20"/>
                <w:szCs w:val="20"/>
                <w:color w:val="auto"/>
              </w:rPr>
            </w:pPr>
            <w:r>
              <w:rPr>
                <w:rFonts w:ascii="Arial" w:cs="Arial" w:eastAsia="Arial" w:hAnsi="Arial"/>
                <w:sz w:val="18"/>
                <w:szCs w:val="18"/>
                <w:b w:val="1"/>
                <w:bCs w:val="1"/>
                <w:color w:val="auto"/>
                <w:w w:val="90"/>
              </w:rPr>
              <w:t>Nine Months Ended September</w:t>
            </w:r>
          </w:p>
        </w:tc>
        <w:tc>
          <w:tcPr>
            <w:tcW w:w="2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40" w:type="dxa"/>
            <w:vAlign w:val="bottom"/>
          </w:tcPr>
          <w:p>
            <w:pPr>
              <w:spacing w:after="0"/>
              <w:rPr>
                <w:sz w:val="24"/>
                <w:szCs w:val="24"/>
                <w:color w:val="auto"/>
              </w:rPr>
            </w:pPr>
          </w:p>
        </w:tc>
      </w:tr>
      <w:tr>
        <w:trPr>
          <w:trHeight w:val="237"/>
        </w:trPr>
        <w:tc>
          <w:tcPr>
            <w:tcW w:w="58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spacing w:after="0"/>
              <w:rPr>
                <w:sz w:val="20"/>
                <w:szCs w:val="20"/>
                <w:color w:val="auto"/>
              </w:rPr>
            </w:pPr>
          </w:p>
        </w:tc>
        <w:tc>
          <w:tcPr>
            <w:tcW w:w="440" w:type="dxa"/>
            <w:vAlign w:val="bottom"/>
            <w:tcBorders>
              <w:bottom w:val="single" w:sz="8" w:color="auto"/>
            </w:tcBorders>
            <w:gridSpan w:val="3"/>
          </w:tcPr>
          <w:p>
            <w:pPr>
              <w:jc w:val="center"/>
              <w:ind w:right="130"/>
              <w:spacing w:after="0"/>
              <w:rPr>
                <w:sz w:val="20"/>
                <w:szCs w:val="20"/>
                <w:color w:val="auto"/>
              </w:rPr>
            </w:pPr>
            <w:r>
              <w:rPr>
                <w:rFonts w:ascii="Arial" w:cs="Arial" w:eastAsia="Arial" w:hAnsi="Arial"/>
                <w:sz w:val="18"/>
                <w:szCs w:val="18"/>
                <w:b w:val="1"/>
                <w:bCs w:val="1"/>
                <w:color w:val="auto"/>
                <w:w w:val="87"/>
              </w:rPr>
              <w:t>30,</w:t>
            </w:r>
          </w:p>
        </w:tc>
        <w:tc>
          <w:tcPr>
            <w:tcW w:w="10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40" w:type="dxa"/>
            <w:vAlign w:val="bottom"/>
          </w:tcPr>
          <w:p>
            <w:pPr>
              <w:spacing w:after="0"/>
              <w:rPr>
                <w:sz w:val="20"/>
                <w:szCs w:val="20"/>
                <w:color w:val="auto"/>
              </w:rPr>
            </w:pPr>
          </w:p>
        </w:tc>
      </w:tr>
      <w:tr>
        <w:trPr>
          <w:trHeight w:val="230"/>
        </w:trPr>
        <w:tc>
          <w:tcPr>
            <w:tcW w:w="58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tcPr>
          <w:p>
            <w:pPr>
              <w:jc w:val="right"/>
              <w:ind w:right="330"/>
              <w:spacing w:after="0"/>
              <w:rPr>
                <w:sz w:val="20"/>
                <w:szCs w:val="20"/>
                <w:color w:val="auto"/>
              </w:rPr>
            </w:pPr>
            <w:r>
              <w:rPr>
                <w:rFonts w:ascii="Arial" w:cs="Arial" w:eastAsia="Arial" w:hAnsi="Arial"/>
                <w:sz w:val="18"/>
                <w:szCs w:val="18"/>
                <w:b w:val="1"/>
                <w:bCs w:val="1"/>
                <w:color w:val="auto"/>
              </w:rPr>
              <w:t>2022</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20" w:type="dxa"/>
            <w:vAlign w:val="bottom"/>
          </w:tcPr>
          <w:p>
            <w:pPr>
              <w:jc w:val="right"/>
              <w:ind w:right="370"/>
              <w:spacing w:after="0"/>
              <w:rPr>
                <w:sz w:val="20"/>
                <w:szCs w:val="20"/>
                <w:color w:val="auto"/>
              </w:rPr>
            </w:pPr>
            <w:r>
              <w:rPr>
                <w:rFonts w:ascii="Arial" w:cs="Arial" w:eastAsia="Arial" w:hAnsi="Arial"/>
                <w:sz w:val="18"/>
                <w:szCs w:val="18"/>
                <w:b w:val="1"/>
                <w:bCs w:val="1"/>
                <w:color w:val="auto"/>
              </w:rPr>
              <w:t>2021</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80" w:type="dxa"/>
            <w:vAlign w:val="bottom"/>
            <w:gridSpan w:val="2"/>
          </w:tcPr>
          <w:p>
            <w:pPr>
              <w:ind w:left="100"/>
              <w:spacing w:after="0"/>
              <w:rPr>
                <w:sz w:val="20"/>
                <w:szCs w:val="20"/>
                <w:color w:val="auto"/>
              </w:rPr>
            </w:pPr>
            <w:r>
              <w:rPr>
                <w:rFonts w:ascii="Arial" w:cs="Arial" w:eastAsia="Arial" w:hAnsi="Arial"/>
                <w:sz w:val="18"/>
                <w:szCs w:val="18"/>
                <w:b w:val="1"/>
                <w:bCs w:val="1"/>
                <w:color w:val="auto"/>
              </w:rPr>
              <w:t>Change</w:t>
            </w:r>
          </w:p>
        </w:tc>
        <w:tc>
          <w:tcPr>
            <w:tcW w:w="1340" w:type="dxa"/>
            <w:vAlign w:val="bottom"/>
          </w:tcPr>
          <w:p>
            <w:pPr>
              <w:jc w:val="right"/>
              <w:ind w:right="170"/>
              <w:spacing w:after="0"/>
              <w:rPr>
                <w:sz w:val="20"/>
                <w:szCs w:val="20"/>
                <w:color w:val="auto"/>
              </w:rPr>
            </w:pPr>
            <w:r>
              <w:rPr>
                <w:rFonts w:ascii="Arial" w:cs="Arial" w:eastAsia="Arial" w:hAnsi="Arial"/>
                <w:sz w:val="18"/>
                <w:szCs w:val="18"/>
                <w:b w:val="1"/>
                <w:bCs w:val="1"/>
                <w:color w:val="auto"/>
              </w:rPr>
              <w:t>% Change</w:t>
            </w:r>
          </w:p>
        </w:tc>
      </w:tr>
      <w:tr>
        <w:trPr>
          <w:trHeight w:val="209"/>
        </w:trPr>
        <w:tc>
          <w:tcPr>
            <w:tcW w:w="58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Home health services:</w:t>
            </w:r>
          </w:p>
        </w:tc>
        <w:tc>
          <w:tcPr>
            <w:tcW w:w="120" w:type="dxa"/>
            <w:vAlign w:val="bottom"/>
            <w:tcBorders>
              <w:top w:val="single" w:sz="8" w:color="auto"/>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340" w:type="dxa"/>
            <w:vAlign w:val="bottom"/>
            <w:tcBorders>
              <w:top w:val="single" w:sz="8" w:color="auto"/>
            </w:tcBorders>
            <w:shd w:val="clear" w:color="auto" w:fill="CCEEFF"/>
          </w:tcPr>
          <w:p>
            <w:pPr>
              <w:spacing w:after="0"/>
              <w:rPr>
                <w:sz w:val="18"/>
                <w:szCs w:val="18"/>
                <w:color w:val="auto"/>
              </w:rPr>
            </w:pPr>
          </w:p>
        </w:tc>
      </w:tr>
      <w:tr>
        <w:trPr>
          <w:trHeight w:val="229"/>
        </w:trPr>
        <w:tc>
          <w:tcPr>
            <w:tcW w:w="5820" w:type="dxa"/>
            <w:vAlign w:val="bottom"/>
          </w:tcPr>
          <w:p>
            <w:pPr>
              <w:ind w:left="360"/>
              <w:spacing w:after="0"/>
              <w:rPr>
                <w:sz w:val="20"/>
                <w:szCs w:val="20"/>
                <w:color w:val="auto"/>
              </w:rPr>
            </w:pPr>
            <w:r>
              <w:rPr>
                <w:rFonts w:ascii="Arial" w:cs="Arial" w:eastAsia="Arial" w:hAnsi="Arial"/>
                <w:sz w:val="18"/>
                <w:szCs w:val="18"/>
                <w:color w:val="auto"/>
              </w:rPr>
              <w:t>Total home health admissions</w:t>
            </w:r>
          </w:p>
        </w:tc>
        <w:tc>
          <w:tcPr>
            <w:tcW w:w="1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30,389</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28,079</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2,310</w:t>
            </w:r>
          </w:p>
        </w:tc>
        <w:tc>
          <w:tcPr>
            <w:tcW w:w="1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8.2 %</w:t>
            </w:r>
          </w:p>
        </w:tc>
      </w:tr>
      <w:tr>
        <w:trPr>
          <w:trHeight w:val="230"/>
        </w:trPr>
        <w:tc>
          <w:tcPr>
            <w:tcW w:w="58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Total Medicare home health admissions</w:t>
            </w:r>
          </w:p>
        </w:tc>
        <w:tc>
          <w:tcPr>
            <w:tcW w:w="1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13,952</w:t>
            </w: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13,115</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837</w:t>
            </w:r>
          </w:p>
        </w:tc>
        <w:tc>
          <w:tcPr>
            <w:tcW w:w="100" w:type="dxa"/>
            <w:vAlign w:val="bottom"/>
            <w:shd w:val="clear" w:color="auto" w:fill="CCEEFF"/>
          </w:tcPr>
          <w:p>
            <w:pPr>
              <w:spacing w:after="0"/>
              <w:rPr>
                <w:sz w:val="19"/>
                <w:szCs w:val="19"/>
                <w:color w:val="auto"/>
              </w:rPr>
            </w:pPr>
          </w:p>
        </w:tc>
        <w:tc>
          <w:tcPr>
            <w:tcW w:w="1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6.4</w:t>
            </w:r>
          </w:p>
        </w:tc>
      </w:tr>
      <w:tr>
        <w:trPr>
          <w:trHeight w:val="229"/>
        </w:trPr>
        <w:tc>
          <w:tcPr>
            <w:tcW w:w="5820" w:type="dxa"/>
            <w:vAlign w:val="bottom"/>
          </w:tcPr>
          <w:p>
            <w:pPr>
              <w:ind w:left="360"/>
              <w:spacing w:after="0" w:line="230" w:lineRule="exact"/>
              <w:rPr>
                <w:sz w:val="20"/>
                <w:szCs w:val="20"/>
                <w:color w:val="auto"/>
              </w:rPr>
            </w:pPr>
            <w:r>
              <w:rPr>
                <w:rFonts w:ascii="Arial" w:cs="Arial" w:eastAsia="Arial" w:hAnsi="Arial"/>
                <w:sz w:val="18"/>
                <w:szCs w:val="18"/>
                <w:color w:val="auto"/>
              </w:rPr>
              <w:t>Average Medicare revenue per 60-day completed episode</w:t>
            </w:r>
            <w:r>
              <w:rPr>
                <w:rFonts w:ascii="Arial" w:cs="Arial" w:eastAsia="Arial" w:hAnsi="Arial"/>
                <w:sz w:val="23"/>
                <w:szCs w:val="23"/>
                <w:color w:val="auto"/>
                <w:vertAlign w:val="superscript"/>
              </w:rPr>
              <w:t>(a)</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3,548</w:t>
            </w:r>
          </w:p>
        </w:tc>
        <w:tc>
          <w:tcPr>
            <w:tcW w:w="440" w:type="dxa"/>
            <w:vAlign w:val="bottom"/>
            <w:gridSpan w:val="3"/>
          </w:tcPr>
          <w:p>
            <w:pPr>
              <w:jc w:val="right"/>
              <w:ind w:right="90"/>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3,383</w:t>
            </w:r>
          </w:p>
        </w:tc>
        <w:tc>
          <w:tcPr>
            <w:tcW w:w="100" w:type="dxa"/>
            <w:vAlign w:val="bottom"/>
          </w:tcPr>
          <w:p>
            <w:pPr>
              <w:spacing w:after="0"/>
              <w:rPr>
                <w:sz w:val="19"/>
                <w:szCs w:val="19"/>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165</w:t>
            </w:r>
          </w:p>
        </w:tc>
        <w:tc>
          <w:tcPr>
            <w:tcW w:w="100" w:type="dxa"/>
            <w:vAlign w:val="bottom"/>
          </w:tcPr>
          <w:p>
            <w:pPr>
              <w:spacing w:after="0"/>
              <w:rPr>
                <w:sz w:val="19"/>
                <w:szCs w:val="19"/>
                <w:color w:val="auto"/>
              </w:rPr>
            </w:pPr>
          </w:p>
        </w:tc>
        <w:tc>
          <w:tcPr>
            <w:tcW w:w="1340" w:type="dxa"/>
            <w:vAlign w:val="bottom"/>
          </w:tcPr>
          <w:p>
            <w:pPr>
              <w:jc w:val="right"/>
              <w:ind w:right="130"/>
              <w:spacing w:after="0"/>
              <w:rPr>
                <w:sz w:val="20"/>
                <w:szCs w:val="20"/>
                <w:color w:val="auto"/>
              </w:rPr>
            </w:pPr>
            <w:r>
              <w:rPr>
                <w:rFonts w:ascii="Arial" w:cs="Arial" w:eastAsia="Arial" w:hAnsi="Arial"/>
                <w:sz w:val="18"/>
                <w:szCs w:val="18"/>
                <w:color w:val="auto"/>
              </w:rPr>
              <w:t>4.9</w:t>
            </w:r>
          </w:p>
        </w:tc>
      </w:tr>
      <w:tr>
        <w:trPr>
          <w:trHeight w:val="229"/>
        </w:trPr>
        <w:tc>
          <w:tcPr>
            <w:tcW w:w="5820" w:type="dxa"/>
            <w:vAlign w:val="bottom"/>
            <w:shd w:val="clear" w:color="auto" w:fill="CCEEFF"/>
          </w:tcPr>
          <w:p>
            <w:pPr>
              <w:ind w:left="20"/>
              <w:spacing w:after="0"/>
              <w:rPr>
                <w:sz w:val="20"/>
                <w:szCs w:val="20"/>
                <w:color w:val="auto"/>
              </w:rPr>
            </w:pPr>
            <w:r>
              <w:rPr>
                <w:rFonts w:ascii="Arial" w:cs="Arial" w:eastAsia="Arial" w:hAnsi="Arial"/>
                <w:sz w:val="18"/>
                <w:szCs w:val="18"/>
                <w:color w:val="auto"/>
              </w:rPr>
              <w:t>Hospice services:</w:t>
            </w:r>
          </w:p>
        </w:tc>
        <w:tc>
          <w:tcPr>
            <w:tcW w:w="12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r>
      <w:tr>
        <w:trPr>
          <w:trHeight w:val="230"/>
        </w:trPr>
        <w:tc>
          <w:tcPr>
            <w:tcW w:w="5820" w:type="dxa"/>
            <w:vAlign w:val="bottom"/>
          </w:tcPr>
          <w:p>
            <w:pPr>
              <w:ind w:left="360"/>
              <w:spacing w:after="0"/>
              <w:rPr>
                <w:sz w:val="20"/>
                <w:szCs w:val="20"/>
                <w:color w:val="auto"/>
              </w:rPr>
            </w:pPr>
            <w:r>
              <w:rPr>
                <w:rFonts w:ascii="Arial" w:cs="Arial" w:eastAsia="Arial" w:hAnsi="Arial"/>
                <w:sz w:val="18"/>
                <w:szCs w:val="18"/>
                <w:color w:val="auto"/>
              </w:rPr>
              <w:t>Total hospice admissions</w:t>
            </w:r>
          </w:p>
        </w:tc>
        <w:tc>
          <w:tcPr>
            <w:tcW w:w="1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6,920</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6,420</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500</w:t>
            </w:r>
          </w:p>
        </w:tc>
        <w:tc>
          <w:tcPr>
            <w:tcW w:w="100" w:type="dxa"/>
            <w:vAlign w:val="bottom"/>
          </w:tcPr>
          <w:p>
            <w:pPr>
              <w:spacing w:after="0"/>
              <w:rPr>
                <w:sz w:val="19"/>
                <w:szCs w:val="19"/>
                <w:color w:val="auto"/>
              </w:rPr>
            </w:pPr>
          </w:p>
        </w:tc>
        <w:tc>
          <w:tcPr>
            <w:tcW w:w="1340" w:type="dxa"/>
            <w:vAlign w:val="bottom"/>
          </w:tcPr>
          <w:p>
            <w:pPr>
              <w:jc w:val="right"/>
              <w:ind w:right="130"/>
              <w:spacing w:after="0"/>
              <w:rPr>
                <w:sz w:val="20"/>
                <w:szCs w:val="20"/>
                <w:color w:val="auto"/>
              </w:rPr>
            </w:pPr>
            <w:r>
              <w:rPr>
                <w:rFonts w:ascii="Arial" w:cs="Arial" w:eastAsia="Arial" w:hAnsi="Arial"/>
                <w:sz w:val="18"/>
                <w:szCs w:val="18"/>
                <w:color w:val="auto"/>
              </w:rPr>
              <w:t>7.8</w:t>
            </w:r>
          </w:p>
        </w:tc>
      </w:tr>
      <w:tr>
        <w:trPr>
          <w:trHeight w:val="229"/>
        </w:trPr>
        <w:tc>
          <w:tcPr>
            <w:tcW w:w="58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Average daily census</w:t>
            </w:r>
          </w:p>
        </w:tc>
        <w:tc>
          <w:tcPr>
            <w:tcW w:w="1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2,270</w:t>
            </w: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2,313</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w:t>
            </w:r>
          </w:p>
        </w:tc>
        <w:tc>
          <w:tcPr>
            <w:tcW w:w="100" w:type="dxa"/>
            <w:vAlign w:val="bottom"/>
            <w:shd w:val="clear" w:color="auto" w:fill="CCEEFF"/>
          </w:tcPr>
          <w:p>
            <w:pPr>
              <w:spacing w:after="0"/>
              <w:rPr>
                <w:sz w:val="19"/>
                <w:szCs w:val="19"/>
                <w:color w:val="auto"/>
              </w:rPr>
            </w:pPr>
          </w:p>
        </w:tc>
        <w:tc>
          <w:tcPr>
            <w:tcW w:w="134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(1.9)</w:t>
            </w:r>
          </w:p>
        </w:tc>
      </w:tr>
      <w:tr>
        <w:trPr>
          <w:trHeight w:val="230"/>
        </w:trPr>
        <w:tc>
          <w:tcPr>
            <w:tcW w:w="5820" w:type="dxa"/>
            <w:vAlign w:val="bottom"/>
          </w:tcPr>
          <w:p>
            <w:pPr>
              <w:ind w:left="360"/>
              <w:spacing w:after="0"/>
              <w:rPr>
                <w:sz w:val="20"/>
                <w:szCs w:val="20"/>
                <w:color w:val="auto"/>
              </w:rPr>
            </w:pPr>
            <w:r>
              <w:rPr>
                <w:rFonts w:ascii="Arial" w:cs="Arial" w:eastAsia="Arial" w:hAnsi="Arial"/>
                <w:sz w:val="18"/>
                <w:szCs w:val="18"/>
                <w:color w:val="auto"/>
              </w:rPr>
              <w:t>Hospice Medicare revenue per day</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177</w:t>
            </w:r>
          </w:p>
        </w:tc>
        <w:tc>
          <w:tcPr>
            <w:tcW w:w="440" w:type="dxa"/>
            <w:vAlign w:val="bottom"/>
            <w:gridSpan w:val="3"/>
          </w:tcPr>
          <w:p>
            <w:pPr>
              <w:jc w:val="right"/>
              <w:ind w:right="90"/>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173</w:t>
            </w:r>
          </w:p>
        </w:tc>
        <w:tc>
          <w:tcPr>
            <w:tcW w:w="100" w:type="dxa"/>
            <w:vAlign w:val="bottom"/>
          </w:tcPr>
          <w:p>
            <w:pPr>
              <w:spacing w:after="0"/>
              <w:rPr>
                <w:sz w:val="19"/>
                <w:szCs w:val="19"/>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19"/>
                <w:szCs w:val="19"/>
                <w:color w:val="auto"/>
              </w:rPr>
            </w:pPr>
          </w:p>
        </w:tc>
        <w:tc>
          <w:tcPr>
            <w:tcW w:w="1340" w:type="dxa"/>
            <w:vAlign w:val="bottom"/>
          </w:tcPr>
          <w:p>
            <w:pPr>
              <w:jc w:val="right"/>
              <w:ind w:right="130"/>
              <w:spacing w:after="0"/>
              <w:rPr>
                <w:sz w:val="20"/>
                <w:szCs w:val="20"/>
                <w:color w:val="auto"/>
              </w:rPr>
            </w:pPr>
            <w:r>
              <w:rPr>
                <w:rFonts w:ascii="Arial" w:cs="Arial" w:eastAsia="Arial" w:hAnsi="Arial"/>
                <w:sz w:val="18"/>
                <w:szCs w:val="18"/>
                <w:color w:val="auto"/>
              </w:rPr>
              <w:t>2.3</w:t>
            </w:r>
          </w:p>
        </w:tc>
      </w:tr>
      <w:tr>
        <w:trPr>
          <w:trHeight w:val="230"/>
        </w:trPr>
        <w:tc>
          <w:tcPr>
            <w:tcW w:w="5820" w:type="dxa"/>
            <w:vAlign w:val="bottom"/>
            <w:shd w:val="clear" w:color="auto" w:fill="CCEEFF"/>
          </w:tcPr>
          <w:p>
            <w:pPr>
              <w:ind w:left="40"/>
              <w:spacing w:after="0"/>
              <w:rPr>
                <w:sz w:val="20"/>
                <w:szCs w:val="20"/>
                <w:color w:val="auto"/>
              </w:rPr>
            </w:pPr>
            <w:r>
              <w:rPr>
                <w:rFonts w:ascii="Arial" w:cs="Arial" w:eastAsia="Arial" w:hAnsi="Arial"/>
                <w:sz w:val="18"/>
                <w:szCs w:val="18"/>
                <w:color w:val="auto"/>
              </w:rPr>
              <w:t>Number of home health and hospice agencies at period end</w:t>
            </w:r>
          </w:p>
        </w:tc>
        <w:tc>
          <w:tcPr>
            <w:tcW w:w="12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94</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100" w:type="dxa"/>
            <w:vAlign w:val="bottom"/>
            <w:shd w:val="clear" w:color="auto" w:fill="CCEEFF"/>
          </w:tcPr>
          <w:p>
            <w:pPr>
              <w:spacing w:after="0"/>
              <w:rPr>
                <w:sz w:val="19"/>
                <w:szCs w:val="19"/>
                <w:color w:val="auto"/>
              </w:rPr>
            </w:pPr>
          </w:p>
        </w:tc>
        <w:tc>
          <w:tcPr>
            <w:tcW w:w="1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6.8</w:t>
            </w:r>
          </w:p>
        </w:tc>
      </w:tr>
    </w:tbl>
    <w:p>
      <w:pPr>
        <w:spacing w:after="0" w:line="116" w:lineRule="exact"/>
        <w:rPr>
          <w:sz w:val="20"/>
          <w:szCs w:val="20"/>
          <w:color w:val="auto"/>
        </w:rPr>
      </w:pPr>
    </w:p>
    <w:p>
      <w:pPr>
        <w:ind w:left="480" w:hanging="454"/>
        <w:spacing w:after="0"/>
        <w:tabs>
          <w:tab w:leader="none" w:pos="480" w:val="left"/>
        </w:tabs>
        <w:numPr>
          <w:ilvl w:val="0"/>
          <w:numId w:val="34"/>
        </w:numPr>
        <w:rPr>
          <w:rFonts w:ascii="Arial" w:cs="Arial" w:eastAsia="Arial" w:hAnsi="Arial"/>
          <w:sz w:val="14"/>
          <w:szCs w:val="14"/>
          <w:color w:val="auto"/>
        </w:rPr>
      </w:pPr>
      <w:r>
        <w:rPr>
          <w:rFonts w:ascii="Arial" w:cs="Arial" w:eastAsia="Arial" w:hAnsi="Arial"/>
          <w:sz w:val="14"/>
          <w:szCs w:val="14"/>
          <w:color w:val="auto"/>
        </w:rPr>
        <w:t>The year to date average for Medicare revenue per 60-day completed episode includes post period claim adjustments for prior periods.</w:t>
      </w:r>
    </w:p>
    <w:p>
      <w:pPr>
        <w:spacing w:after="0" w:line="356"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Home health and hospice revenue increased $19.9 million, or 8.6% during the nine months ended September 30, 2022. Revenue grew primarily due to an increase in total hospice admissions of 7.8%, an increase of 8.2% in home health admissions, inclusive of an increase in total Medicare home health admissions of 6.4%, offset by a decrease of 1.9% in hospice average daily census during the nine months ended September 30, 2022 when compared to the nine months ended September 30, 2021.</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440" w:type="dxa"/>
            <w:vAlign w:val="bottom"/>
          </w:tcPr>
          <w:p>
            <w:pPr>
              <w:spacing w:after="0"/>
              <w:rPr>
                <w:sz w:val="20"/>
                <w:szCs w:val="20"/>
                <w:color w:val="auto"/>
              </w:rPr>
            </w:pPr>
            <w:r>
              <w:rPr>
                <w:rFonts w:ascii="Arial" w:cs="Arial" w:eastAsia="Arial" w:hAnsi="Arial"/>
                <w:sz w:val="18"/>
                <w:szCs w:val="18"/>
                <w:i w:val="1"/>
                <w:iCs w:val="1"/>
                <w:color w:val="auto"/>
              </w:rPr>
              <w:t>Senior Living Services</w:t>
            </w:r>
          </w:p>
        </w:tc>
        <w:tc>
          <w:tcPr>
            <w:tcW w:w="12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360" w:type="dxa"/>
            <w:vAlign w:val="bottom"/>
          </w:tcPr>
          <w:p>
            <w:pPr>
              <w:spacing w:after="0"/>
              <w:rPr>
                <w:sz w:val="20"/>
                <w:szCs w:val="20"/>
                <w:color w:val="auto"/>
              </w:rPr>
            </w:pPr>
          </w:p>
        </w:tc>
      </w:tr>
      <w:tr>
        <w:trPr>
          <w:trHeight w:val="500"/>
        </w:trPr>
        <w:tc>
          <w:tcPr>
            <w:tcW w:w="54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900" w:type="dxa"/>
            <w:vAlign w:val="bottom"/>
            <w:gridSpan w:val="4"/>
          </w:tcPr>
          <w:p>
            <w:pPr>
              <w:spacing w:after="0"/>
              <w:rPr>
                <w:sz w:val="20"/>
                <w:szCs w:val="20"/>
                <w:color w:val="auto"/>
              </w:rPr>
            </w:pPr>
            <w:r>
              <w:rPr>
                <w:rFonts w:ascii="Arial" w:cs="Arial" w:eastAsia="Arial" w:hAnsi="Arial"/>
                <w:sz w:val="18"/>
                <w:szCs w:val="18"/>
                <w:b w:val="1"/>
                <w:bCs w:val="1"/>
                <w:color w:val="auto"/>
                <w:w w:val="97"/>
              </w:rPr>
              <w:t>Nine Months Ended September 30,</w:t>
            </w:r>
          </w:p>
        </w:tc>
        <w:tc>
          <w:tcPr>
            <w:tcW w:w="2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360" w:type="dxa"/>
            <w:vAlign w:val="bottom"/>
          </w:tcPr>
          <w:p>
            <w:pPr>
              <w:spacing w:after="0"/>
              <w:rPr>
                <w:sz w:val="24"/>
                <w:szCs w:val="24"/>
                <w:color w:val="auto"/>
              </w:rPr>
            </w:pPr>
          </w:p>
        </w:tc>
      </w:tr>
      <w:tr>
        <w:trPr>
          <w:trHeight w:val="223"/>
        </w:trPr>
        <w:tc>
          <w:tcPr>
            <w:tcW w:w="544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1340" w:type="dxa"/>
            <w:vAlign w:val="bottom"/>
            <w:tcBorders>
              <w:top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2022</w:t>
            </w:r>
          </w:p>
        </w:tc>
        <w:tc>
          <w:tcPr>
            <w:tcW w:w="360" w:type="dxa"/>
            <w:vAlign w:val="bottom"/>
            <w:tcBorders>
              <w:top w:val="single" w:sz="8" w:color="auto"/>
            </w:tcBorders>
          </w:tcPr>
          <w:p>
            <w:pPr>
              <w:spacing w:after="0"/>
              <w:rPr>
                <w:sz w:val="19"/>
                <w:szCs w:val="19"/>
                <w:color w:val="auto"/>
              </w:rPr>
            </w:pPr>
          </w:p>
        </w:tc>
        <w:tc>
          <w:tcPr>
            <w:tcW w:w="1100" w:type="dxa"/>
            <w:vAlign w:val="bottom"/>
            <w:tcBorders>
              <w:top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2021</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80" w:type="dxa"/>
            <w:vAlign w:val="bottom"/>
            <w:gridSpan w:val="2"/>
          </w:tcPr>
          <w:p>
            <w:pPr>
              <w:ind w:left="140"/>
              <w:spacing w:after="0"/>
              <w:rPr>
                <w:sz w:val="20"/>
                <w:szCs w:val="20"/>
                <w:color w:val="auto"/>
              </w:rPr>
            </w:pPr>
            <w:r>
              <w:rPr>
                <w:rFonts w:ascii="Arial" w:cs="Arial" w:eastAsia="Arial" w:hAnsi="Arial"/>
                <w:sz w:val="18"/>
                <w:szCs w:val="18"/>
                <w:b w:val="1"/>
                <w:bCs w:val="1"/>
                <w:color w:val="auto"/>
              </w:rPr>
              <w:t>Change</w:t>
            </w:r>
          </w:p>
        </w:tc>
        <w:tc>
          <w:tcPr>
            <w:tcW w:w="1360" w:type="dxa"/>
            <w:vAlign w:val="bottom"/>
          </w:tcPr>
          <w:p>
            <w:pPr>
              <w:ind w:left="280"/>
              <w:spacing w:after="0"/>
              <w:rPr>
                <w:sz w:val="20"/>
                <w:szCs w:val="20"/>
                <w:color w:val="auto"/>
              </w:rPr>
            </w:pPr>
            <w:r>
              <w:rPr>
                <w:rFonts w:ascii="Arial" w:cs="Arial" w:eastAsia="Arial" w:hAnsi="Arial"/>
                <w:sz w:val="18"/>
                <w:szCs w:val="18"/>
                <w:b w:val="1"/>
                <w:bCs w:val="1"/>
                <w:color w:val="auto"/>
              </w:rPr>
              <w:t>% Change</w:t>
            </w:r>
          </w:p>
        </w:tc>
      </w:tr>
      <w:tr>
        <w:trPr>
          <w:trHeight w:val="250"/>
        </w:trPr>
        <w:tc>
          <w:tcPr>
            <w:tcW w:w="5440" w:type="dxa"/>
            <w:vAlign w:val="bottom"/>
          </w:tcPr>
          <w:p>
            <w:pPr>
              <w:spacing w:after="0"/>
              <w:rPr>
                <w:sz w:val="21"/>
                <w:szCs w:val="21"/>
                <w:color w:val="auto"/>
              </w:rPr>
            </w:pPr>
          </w:p>
        </w:tc>
        <w:tc>
          <w:tcPr>
            <w:tcW w:w="120" w:type="dxa"/>
            <w:vAlign w:val="bottom"/>
            <w:tcBorders>
              <w:top w:val="single" w:sz="8" w:color="auto"/>
            </w:tcBorders>
          </w:tcPr>
          <w:p>
            <w:pPr>
              <w:spacing w:after="0"/>
              <w:rPr>
                <w:sz w:val="21"/>
                <w:szCs w:val="21"/>
                <w:color w:val="auto"/>
              </w:rPr>
            </w:pPr>
          </w:p>
        </w:tc>
        <w:tc>
          <w:tcPr>
            <w:tcW w:w="1340" w:type="dxa"/>
            <w:vAlign w:val="bottom"/>
            <w:tcBorders>
              <w:top w:val="single" w:sz="8" w:color="auto"/>
            </w:tcBorders>
          </w:tcPr>
          <w:p>
            <w:pPr>
              <w:spacing w:after="0"/>
              <w:rPr>
                <w:sz w:val="21"/>
                <w:szCs w:val="21"/>
                <w:color w:val="auto"/>
              </w:rPr>
            </w:pPr>
          </w:p>
        </w:tc>
        <w:tc>
          <w:tcPr>
            <w:tcW w:w="360" w:type="dxa"/>
            <w:vAlign w:val="bottom"/>
            <w:tcBorders>
              <w:top w:val="single" w:sz="8" w:color="auto"/>
            </w:tcBorders>
          </w:tcPr>
          <w:p>
            <w:pPr>
              <w:spacing w:after="0"/>
              <w:rPr>
                <w:sz w:val="21"/>
                <w:szCs w:val="21"/>
                <w:color w:val="auto"/>
              </w:rPr>
            </w:pPr>
          </w:p>
        </w:tc>
        <w:tc>
          <w:tcPr>
            <w:tcW w:w="110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Borders>
              <w:top w:val="single" w:sz="8" w:color="auto"/>
            </w:tcBorders>
          </w:tcPr>
          <w:p>
            <w:pPr>
              <w:spacing w:after="0"/>
              <w:rPr>
                <w:sz w:val="21"/>
                <w:szCs w:val="21"/>
                <w:color w:val="auto"/>
              </w:rPr>
            </w:pPr>
          </w:p>
        </w:tc>
        <w:tc>
          <w:tcPr>
            <w:tcW w:w="1100" w:type="dxa"/>
            <w:vAlign w:val="bottom"/>
            <w:tcBorders>
              <w:top w:val="single" w:sz="8" w:color="auto"/>
            </w:tcBorders>
          </w:tcPr>
          <w:p>
            <w:pPr>
              <w:spacing w:after="0"/>
              <w:rPr>
                <w:sz w:val="21"/>
                <w:szCs w:val="21"/>
                <w:color w:val="auto"/>
              </w:rPr>
            </w:pPr>
          </w:p>
        </w:tc>
        <w:tc>
          <w:tcPr>
            <w:tcW w:w="80" w:type="dxa"/>
            <w:vAlign w:val="bottom"/>
          </w:tcPr>
          <w:p>
            <w:pPr>
              <w:spacing w:after="0"/>
              <w:rPr>
                <w:sz w:val="21"/>
                <w:szCs w:val="21"/>
                <w:color w:val="auto"/>
              </w:rPr>
            </w:pPr>
          </w:p>
        </w:tc>
        <w:tc>
          <w:tcPr>
            <w:tcW w:w="1360" w:type="dxa"/>
            <w:vAlign w:val="bottom"/>
            <w:tcBorders>
              <w:top w:val="single" w:sz="8" w:color="auto"/>
            </w:tcBorders>
          </w:tcPr>
          <w:p>
            <w:pPr>
              <w:spacing w:after="0"/>
              <w:rPr>
                <w:sz w:val="21"/>
                <w:szCs w:val="21"/>
                <w:color w:val="auto"/>
              </w:rPr>
            </w:pPr>
          </w:p>
        </w:tc>
      </w:tr>
      <w:tr>
        <w:trPr>
          <w:trHeight w:val="230"/>
        </w:trPr>
        <w:tc>
          <w:tcPr>
            <w:tcW w:w="5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Revenue (in thousands)</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96,978</w:t>
            </w:r>
          </w:p>
        </w:tc>
        <w:tc>
          <w:tcPr>
            <w:tcW w:w="36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96,214</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764</w:t>
            </w:r>
          </w:p>
        </w:tc>
        <w:tc>
          <w:tcPr>
            <w:tcW w:w="80" w:type="dxa"/>
            <w:vAlign w:val="bottom"/>
            <w:shd w:val="clear" w:color="auto" w:fill="CCEEFF"/>
          </w:tcPr>
          <w:p>
            <w:pPr>
              <w:spacing w:after="0"/>
              <w:rPr>
                <w:sz w:val="19"/>
                <w:szCs w:val="19"/>
                <w:color w:val="auto"/>
              </w:rPr>
            </w:pPr>
          </w:p>
        </w:tc>
        <w:tc>
          <w:tcPr>
            <w:tcW w:w="1360" w:type="dxa"/>
            <w:vAlign w:val="bottom"/>
            <w:shd w:val="clear" w:color="auto" w:fill="CCEEFF"/>
          </w:tcPr>
          <w:p>
            <w:pPr>
              <w:ind w:left="920"/>
              <w:spacing w:after="0"/>
              <w:rPr>
                <w:sz w:val="20"/>
                <w:szCs w:val="20"/>
                <w:color w:val="auto"/>
              </w:rPr>
            </w:pPr>
            <w:r>
              <w:rPr>
                <w:rFonts w:ascii="Arial" w:cs="Arial" w:eastAsia="Arial" w:hAnsi="Arial"/>
                <w:sz w:val="18"/>
                <w:szCs w:val="18"/>
                <w:color w:val="auto"/>
                <w:w w:val="91"/>
              </w:rPr>
              <w:t>0.8 %</w:t>
            </w:r>
          </w:p>
        </w:tc>
      </w:tr>
      <w:tr>
        <w:trPr>
          <w:trHeight w:val="229"/>
        </w:trPr>
        <w:tc>
          <w:tcPr>
            <w:tcW w:w="5440" w:type="dxa"/>
            <w:vAlign w:val="bottom"/>
          </w:tcPr>
          <w:p>
            <w:pPr>
              <w:ind w:left="20"/>
              <w:spacing w:after="0"/>
              <w:rPr>
                <w:sz w:val="20"/>
                <w:szCs w:val="20"/>
                <w:color w:val="auto"/>
              </w:rPr>
            </w:pPr>
            <w:r>
              <w:rPr>
                <w:rFonts w:ascii="Arial" w:cs="Arial" w:eastAsia="Arial" w:hAnsi="Arial"/>
                <w:sz w:val="18"/>
                <w:szCs w:val="18"/>
                <w:color w:val="auto"/>
              </w:rPr>
              <w:t>Number of communities at period end</w:t>
            </w:r>
          </w:p>
        </w:tc>
        <w:tc>
          <w:tcPr>
            <w:tcW w:w="120" w:type="dxa"/>
            <w:vAlign w:val="bottom"/>
          </w:tcPr>
          <w:p>
            <w:pPr>
              <w:spacing w:after="0"/>
              <w:rPr>
                <w:sz w:val="19"/>
                <w:szCs w:val="19"/>
                <w:color w:val="auto"/>
              </w:rPr>
            </w:pPr>
          </w:p>
        </w:tc>
        <w:tc>
          <w:tcPr>
            <w:tcW w:w="1340" w:type="dxa"/>
            <w:vAlign w:val="bottom"/>
          </w:tcPr>
          <w:p>
            <w:pPr>
              <w:jc w:val="right"/>
              <w:ind w:right="170"/>
              <w:spacing w:after="0"/>
              <w:rPr>
                <w:sz w:val="20"/>
                <w:szCs w:val="20"/>
                <w:color w:val="auto"/>
              </w:rPr>
            </w:pPr>
            <w:r>
              <w:rPr>
                <w:rFonts w:ascii="Arial" w:cs="Arial" w:eastAsia="Arial" w:hAnsi="Arial"/>
                <w:sz w:val="18"/>
                <w:szCs w:val="18"/>
                <w:color w:val="auto"/>
              </w:rPr>
              <w:t>49</w:t>
            </w:r>
          </w:p>
        </w:tc>
        <w:tc>
          <w:tcPr>
            <w:tcW w:w="360" w:type="dxa"/>
            <w:vAlign w:val="bottom"/>
          </w:tcPr>
          <w:p>
            <w:pPr>
              <w:spacing w:after="0"/>
              <w:rPr>
                <w:sz w:val="19"/>
                <w:szCs w:val="19"/>
                <w:color w:val="auto"/>
              </w:rPr>
            </w:pPr>
          </w:p>
        </w:tc>
        <w:tc>
          <w:tcPr>
            <w:tcW w:w="1100" w:type="dxa"/>
            <w:vAlign w:val="bottom"/>
          </w:tcPr>
          <w:p>
            <w:pPr>
              <w:jc w:val="right"/>
              <w:ind w:right="130"/>
              <w:spacing w:after="0"/>
              <w:rPr>
                <w:sz w:val="20"/>
                <w:szCs w:val="20"/>
                <w:color w:val="auto"/>
              </w:rPr>
            </w:pPr>
            <w:r>
              <w:rPr>
                <w:rFonts w:ascii="Arial" w:cs="Arial" w:eastAsia="Arial" w:hAnsi="Arial"/>
                <w:sz w:val="18"/>
                <w:szCs w:val="18"/>
                <w:color w:val="auto"/>
              </w:rPr>
              <w:t>54</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00" w:type="dxa"/>
            <w:vAlign w:val="bottom"/>
          </w:tcPr>
          <w:p>
            <w:pPr>
              <w:jc w:val="right"/>
              <w:ind w:right="90"/>
              <w:spacing w:after="0"/>
              <w:rPr>
                <w:sz w:val="20"/>
                <w:szCs w:val="20"/>
                <w:color w:val="auto"/>
              </w:rPr>
            </w:pPr>
            <w:r>
              <w:rPr>
                <w:rFonts w:ascii="Arial" w:cs="Arial" w:eastAsia="Arial" w:hAnsi="Arial"/>
                <w:sz w:val="18"/>
                <w:szCs w:val="18"/>
                <w:color w:val="auto"/>
              </w:rPr>
              <w:t>(5)</w:t>
            </w:r>
          </w:p>
        </w:tc>
        <w:tc>
          <w:tcPr>
            <w:tcW w:w="80" w:type="dxa"/>
            <w:vAlign w:val="bottom"/>
          </w:tcPr>
          <w:p>
            <w:pPr>
              <w:spacing w:after="0"/>
              <w:rPr>
                <w:sz w:val="19"/>
                <w:szCs w:val="19"/>
                <w:color w:val="auto"/>
              </w:rPr>
            </w:pPr>
          </w:p>
        </w:tc>
        <w:tc>
          <w:tcPr>
            <w:tcW w:w="1360" w:type="dxa"/>
            <w:vAlign w:val="bottom"/>
          </w:tcPr>
          <w:p>
            <w:pPr>
              <w:jc w:val="right"/>
              <w:ind w:right="90"/>
              <w:spacing w:after="0"/>
              <w:rPr>
                <w:sz w:val="20"/>
                <w:szCs w:val="20"/>
                <w:color w:val="auto"/>
              </w:rPr>
            </w:pPr>
            <w:r>
              <w:rPr>
                <w:rFonts w:ascii="Arial" w:cs="Arial" w:eastAsia="Arial" w:hAnsi="Arial"/>
                <w:sz w:val="18"/>
                <w:szCs w:val="18"/>
                <w:color w:val="auto"/>
              </w:rPr>
              <w:t>(9.3)</w:t>
            </w:r>
          </w:p>
        </w:tc>
      </w:tr>
      <w:tr>
        <w:trPr>
          <w:trHeight w:val="230"/>
        </w:trPr>
        <w:tc>
          <w:tcPr>
            <w:tcW w:w="5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Occupancy</w:t>
            </w:r>
          </w:p>
        </w:tc>
        <w:tc>
          <w:tcPr>
            <w:tcW w:w="1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75.1 %</w:t>
            </w:r>
          </w:p>
        </w:tc>
        <w:tc>
          <w:tcPr>
            <w:tcW w:w="3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72.8 %</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2.3 %</w:t>
            </w:r>
          </w:p>
        </w:tc>
        <w:tc>
          <w:tcPr>
            <w:tcW w:w="8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r>
      <w:tr>
        <w:trPr>
          <w:trHeight w:val="230"/>
        </w:trPr>
        <w:tc>
          <w:tcPr>
            <w:tcW w:w="5440" w:type="dxa"/>
            <w:vAlign w:val="bottom"/>
          </w:tcPr>
          <w:p>
            <w:pPr>
              <w:ind w:left="20"/>
              <w:spacing w:after="0"/>
              <w:rPr>
                <w:sz w:val="20"/>
                <w:szCs w:val="20"/>
                <w:color w:val="auto"/>
              </w:rPr>
            </w:pPr>
            <w:r>
              <w:rPr>
                <w:rFonts w:ascii="Arial" w:cs="Arial" w:eastAsia="Arial" w:hAnsi="Arial"/>
                <w:sz w:val="18"/>
                <w:szCs w:val="18"/>
                <w:color w:val="auto"/>
              </w:rPr>
              <w:t>Average monthly revenue per occupied unit</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tcPr>
          <w:p>
            <w:pPr>
              <w:jc w:val="right"/>
              <w:ind w:right="170"/>
              <w:spacing w:after="0"/>
              <w:rPr>
                <w:sz w:val="20"/>
                <w:szCs w:val="20"/>
                <w:color w:val="auto"/>
              </w:rPr>
            </w:pPr>
            <w:r>
              <w:rPr>
                <w:rFonts w:ascii="Arial" w:cs="Arial" w:eastAsia="Arial" w:hAnsi="Arial"/>
                <w:sz w:val="18"/>
                <w:szCs w:val="18"/>
                <w:color w:val="auto"/>
              </w:rPr>
              <w:t>3,465</w:t>
            </w:r>
          </w:p>
        </w:tc>
        <w:tc>
          <w:tcPr>
            <w:tcW w:w="36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130"/>
              <w:spacing w:after="0"/>
              <w:rPr>
                <w:sz w:val="20"/>
                <w:szCs w:val="20"/>
                <w:color w:val="auto"/>
              </w:rPr>
            </w:pPr>
            <w:r>
              <w:rPr>
                <w:rFonts w:ascii="Arial" w:cs="Arial" w:eastAsia="Arial" w:hAnsi="Arial"/>
                <w:sz w:val="18"/>
                <w:szCs w:val="18"/>
                <w:color w:val="auto"/>
              </w:rPr>
              <w:t>3,179</w:t>
            </w:r>
          </w:p>
        </w:tc>
        <w:tc>
          <w:tcPr>
            <w:tcW w:w="100" w:type="dxa"/>
            <w:vAlign w:val="bottom"/>
          </w:tcPr>
          <w:p>
            <w:pPr>
              <w:spacing w:after="0"/>
              <w:rPr>
                <w:sz w:val="20"/>
                <w:szCs w:val="20"/>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100" w:type="dxa"/>
            <w:vAlign w:val="bottom"/>
          </w:tcPr>
          <w:p>
            <w:pPr>
              <w:jc w:val="right"/>
              <w:ind w:right="130"/>
              <w:spacing w:after="0"/>
              <w:rPr>
                <w:sz w:val="20"/>
                <w:szCs w:val="20"/>
                <w:color w:val="auto"/>
              </w:rPr>
            </w:pPr>
            <w:r>
              <w:rPr>
                <w:rFonts w:ascii="Arial" w:cs="Arial" w:eastAsia="Arial" w:hAnsi="Arial"/>
                <w:sz w:val="18"/>
                <w:szCs w:val="18"/>
                <w:color w:val="auto"/>
              </w:rPr>
              <w:t>286</w:t>
            </w:r>
          </w:p>
        </w:tc>
        <w:tc>
          <w:tcPr>
            <w:tcW w:w="80" w:type="dxa"/>
            <w:vAlign w:val="bottom"/>
          </w:tcPr>
          <w:p>
            <w:pPr>
              <w:spacing w:after="0"/>
              <w:rPr>
                <w:sz w:val="20"/>
                <w:szCs w:val="20"/>
                <w:color w:val="auto"/>
              </w:rPr>
            </w:pPr>
          </w:p>
        </w:tc>
        <w:tc>
          <w:tcPr>
            <w:tcW w:w="1360" w:type="dxa"/>
            <w:vAlign w:val="bottom"/>
          </w:tcPr>
          <w:p>
            <w:pPr>
              <w:ind w:left="920"/>
              <w:spacing w:after="0"/>
              <w:rPr>
                <w:sz w:val="20"/>
                <w:szCs w:val="20"/>
                <w:color w:val="auto"/>
              </w:rPr>
            </w:pPr>
            <w:r>
              <w:rPr>
                <w:rFonts w:ascii="Arial" w:cs="Arial" w:eastAsia="Arial" w:hAnsi="Arial"/>
                <w:sz w:val="18"/>
                <w:szCs w:val="18"/>
                <w:color w:val="auto"/>
              </w:rPr>
              <w:t>9.0</w:t>
            </w:r>
          </w:p>
        </w:tc>
      </w:tr>
    </w:tbl>
    <w:p>
      <w:pPr>
        <w:spacing w:after="0" w:line="322"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Senior living revenue increased $0.8 million, or 0.8%, for the nine months ended September 30, 2022 compared to the same period in the prior year primarily due to an increase of 9.0% in average monthly revenue per occupied unit and an addition of 2.3% in the occupancy rate between September 30, 2021 and September 30, 2022. The increases were offset by the loss of revenue from the senior living communities transferred to Ensign. Occupancy includes the most recently acquired</w:t>
      </w:r>
    </w:p>
    <w:p>
      <w:pPr>
        <w:spacing w:after="0" w:line="200" w:lineRule="exact"/>
        <w:rPr>
          <w:sz w:val="20"/>
          <w:szCs w:val="20"/>
          <w:color w:val="auto"/>
        </w:rPr>
      </w:pPr>
    </w:p>
    <w:p>
      <w:pPr>
        <w:spacing w:after="0" w:line="3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4" w:name="page45"/>
    <w:bookmarkEnd w:id="44"/>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63" w:lineRule="exact"/>
        <w:rPr>
          <w:sz w:val="20"/>
          <w:szCs w:val="20"/>
          <w:color w:val="auto"/>
        </w:rPr>
      </w:pPr>
    </w:p>
    <w:p>
      <w:pPr>
        <w:spacing w:after="0"/>
        <w:rPr>
          <w:sz w:val="20"/>
          <w:szCs w:val="20"/>
          <w:color w:val="auto"/>
        </w:rPr>
      </w:pPr>
      <w:r>
        <w:rPr>
          <w:rFonts w:ascii="Arial" w:cs="Arial" w:eastAsia="Arial" w:hAnsi="Arial"/>
          <w:sz w:val="18"/>
          <w:szCs w:val="18"/>
          <w:color w:val="auto"/>
        </w:rPr>
        <w:t>senior living operation; occupancy excluding that community would have been 75.4% for the nine months ended September 30, 2022.</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740" w:type="dxa"/>
            <w:vAlign w:val="bottom"/>
          </w:tcPr>
          <w:p>
            <w:pPr>
              <w:spacing w:after="0"/>
              <w:rPr>
                <w:sz w:val="20"/>
                <w:szCs w:val="20"/>
                <w:color w:val="auto"/>
              </w:rPr>
            </w:pPr>
            <w:r>
              <w:rPr>
                <w:rFonts w:ascii="Arial" w:cs="Arial" w:eastAsia="Arial" w:hAnsi="Arial"/>
                <w:sz w:val="18"/>
                <w:szCs w:val="18"/>
                <w:b w:val="1"/>
                <w:bCs w:val="1"/>
                <w:i w:val="1"/>
                <w:iCs w:val="1"/>
                <w:color w:val="auto"/>
              </w:rPr>
              <w:t>Cost of Services</w:t>
            </w:r>
          </w:p>
        </w:tc>
        <w:tc>
          <w:tcPr>
            <w:tcW w:w="1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80" w:type="dxa"/>
            <w:vAlign w:val="bottom"/>
          </w:tcPr>
          <w:p>
            <w:pPr>
              <w:spacing w:after="0"/>
              <w:rPr>
                <w:sz w:val="20"/>
                <w:szCs w:val="20"/>
                <w:color w:val="auto"/>
              </w:rPr>
            </w:pPr>
          </w:p>
        </w:tc>
      </w:tr>
      <w:tr>
        <w:trPr>
          <w:trHeight w:val="203"/>
        </w:trPr>
        <w:tc>
          <w:tcPr>
            <w:tcW w:w="57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80" w:type="dxa"/>
            <w:vAlign w:val="bottom"/>
            <w:gridSpan w:val="6"/>
          </w:tcPr>
          <w:p>
            <w:pPr>
              <w:ind w:left="20"/>
              <w:spacing w:after="0" w:line="202" w:lineRule="exact"/>
              <w:rPr>
                <w:sz w:val="20"/>
                <w:szCs w:val="20"/>
                <w:color w:val="auto"/>
              </w:rPr>
            </w:pPr>
            <w:r>
              <w:rPr>
                <w:rFonts w:ascii="Arial" w:cs="Arial" w:eastAsia="Arial" w:hAnsi="Arial"/>
                <w:sz w:val="18"/>
                <w:szCs w:val="18"/>
                <w:b w:val="1"/>
                <w:bCs w:val="1"/>
                <w:color w:val="auto"/>
                <w:w w:val="99"/>
              </w:rPr>
              <w:t>Nine Months Ended September</w:t>
            </w:r>
          </w:p>
        </w:tc>
        <w:tc>
          <w:tcPr>
            <w:tcW w:w="2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80" w:type="dxa"/>
            <w:vAlign w:val="bottom"/>
          </w:tcPr>
          <w:p>
            <w:pPr>
              <w:spacing w:after="0"/>
              <w:rPr>
                <w:sz w:val="17"/>
                <w:szCs w:val="17"/>
                <w:color w:val="auto"/>
              </w:rPr>
            </w:pPr>
          </w:p>
        </w:tc>
      </w:tr>
      <w:tr>
        <w:trPr>
          <w:trHeight w:val="237"/>
        </w:trPr>
        <w:tc>
          <w:tcPr>
            <w:tcW w:w="574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spacing w:after="0"/>
              <w:rPr>
                <w:sz w:val="20"/>
                <w:szCs w:val="20"/>
                <w:color w:val="auto"/>
              </w:rPr>
            </w:pPr>
          </w:p>
        </w:tc>
        <w:tc>
          <w:tcPr>
            <w:tcW w:w="440" w:type="dxa"/>
            <w:vAlign w:val="bottom"/>
            <w:tcBorders>
              <w:bottom w:val="single" w:sz="8" w:color="auto"/>
            </w:tcBorders>
            <w:gridSpan w:val="3"/>
          </w:tcPr>
          <w:p>
            <w:pPr>
              <w:jc w:val="right"/>
              <w:ind w:right="130"/>
              <w:spacing w:after="0"/>
              <w:rPr>
                <w:sz w:val="20"/>
                <w:szCs w:val="20"/>
                <w:color w:val="auto"/>
              </w:rPr>
            </w:pPr>
            <w:r>
              <w:rPr>
                <w:rFonts w:ascii="Arial" w:cs="Arial" w:eastAsia="Arial" w:hAnsi="Arial"/>
                <w:sz w:val="18"/>
                <w:szCs w:val="18"/>
                <w:b w:val="1"/>
                <w:bCs w:val="1"/>
                <w:color w:val="auto"/>
                <w:w w:val="79"/>
              </w:rPr>
              <w:t>30,</w:t>
            </w:r>
          </w:p>
        </w:tc>
        <w:tc>
          <w:tcPr>
            <w:tcW w:w="10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80" w:type="dxa"/>
            <w:vAlign w:val="bottom"/>
          </w:tcPr>
          <w:p>
            <w:pPr>
              <w:spacing w:after="0"/>
              <w:rPr>
                <w:sz w:val="20"/>
                <w:szCs w:val="20"/>
                <w:color w:val="auto"/>
              </w:rPr>
            </w:pPr>
          </w:p>
        </w:tc>
      </w:tr>
      <w:tr>
        <w:trPr>
          <w:trHeight w:val="229"/>
        </w:trPr>
        <w:tc>
          <w:tcPr>
            <w:tcW w:w="574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2022</w:t>
            </w:r>
          </w:p>
        </w:tc>
        <w:tc>
          <w:tcPr>
            <w:tcW w:w="6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2021</w:t>
            </w:r>
          </w:p>
        </w:tc>
        <w:tc>
          <w:tcPr>
            <w:tcW w:w="10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w w:val="99"/>
              </w:rPr>
              <w:t>Change</w:t>
            </w:r>
          </w:p>
        </w:tc>
        <w:tc>
          <w:tcPr>
            <w:tcW w:w="100" w:type="dxa"/>
            <w:vAlign w:val="bottom"/>
          </w:tcPr>
          <w:p>
            <w:pPr>
              <w:spacing w:after="0"/>
              <w:rPr>
                <w:sz w:val="19"/>
                <w:szCs w:val="19"/>
                <w:color w:val="auto"/>
              </w:rPr>
            </w:pPr>
          </w:p>
        </w:tc>
        <w:tc>
          <w:tcPr>
            <w:tcW w:w="1380" w:type="dxa"/>
            <w:vAlign w:val="bottom"/>
            <w:tcBorders>
              <w:bottom w:val="single" w:sz="8" w:color="auto"/>
            </w:tcBorders>
          </w:tcPr>
          <w:p>
            <w:pPr>
              <w:ind w:left="280"/>
              <w:spacing w:after="0"/>
              <w:rPr>
                <w:sz w:val="20"/>
                <w:szCs w:val="20"/>
                <w:color w:val="auto"/>
              </w:rPr>
            </w:pPr>
            <w:r>
              <w:rPr>
                <w:rFonts w:ascii="Arial" w:cs="Arial" w:eastAsia="Arial" w:hAnsi="Arial"/>
                <w:sz w:val="18"/>
                <w:szCs w:val="18"/>
                <w:b w:val="1"/>
                <w:bCs w:val="1"/>
                <w:color w:val="auto"/>
              </w:rPr>
              <w:t>% Change</w:t>
            </w:r>
          </w:p>
        </w:tc>
      </w:tr>
      <w:tr>
        <w:trPr>
          <w:trHeight w:val="223"/>
        </w:trPr>
        <w:tc>
          <w:tcPr>
            <w:tcW w:w="57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0" w:type="dxa"/>
            <w:vAlign w:val="bottom"/>
            <w:gridSpan w:val="3"/>
          </w:tcPr>
          <w:p>
            <w:pPr>
              <w:ind w:left="60"/>
              <w:spacing w:after="0"/>
              <w:rPr>
                <w:sz w:val="20"/>
                <w:szCs w:val="20"/>
                <w:color w:val="auto"/>
              </w:rPr>
            </w:pPr>
            <w:r>
              <w:rPr>
                <w:rFonts w:ascii="Arial" w:cs="Arial" w:eastAsia="Arial" w:hAnsi="Arial"/>
                <w:sz w:val="18"/>
                <w:szCs w:val="18"/>
                <w:b w:val="1"/>
                <w:bCs w:val="1"/>
                <w:color w:val="auto"/>
              </w:rPr>
              <w:t>(In thousands)</w:t>
            </w:r>
          </w:p>
        </w:tc>
        <w:tc>
          <w:tcPr>
            <w:tcW w:w="2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80" w:type="dxa"/>
            <w:vAlign w:val="bottom"/>
          </w:tcPr>
          <w:p>
            <w:pPr>
              <w:spacing w:after="0"/>
              <w:rPr>
                <w:sz w:val="19"/>
                <w:szCs w:val="19"/>
                <w:color w:val="auto"/>
              </w:rPr>
            </w:pPr>
          </w:p>
        </w:tc>
      </w:tr>
      <w:tr>
        <w:trPr>
          <w:trHeight w:val="230"/>
        </w:trPr>
        <w:tc>
          <w:tcPr>
            <w:tcW w:w="5740" w:type="dxa"/>
            <w:vAlign w:val="bottom"/>
            <w:shd w:val="clear" w:color="auto" w:fill="CCEEFF"/>
          </w:tcPr>
          <w:p>
            <w:pPr>
              <w:ind w:left="20"/>
              <w:spacing w:after="0"/>
              <w:rPr>
                <w:sz w:val="20"/>
                <w:szCs w:val="20"/>
                <w:color w:val="auto"/>
              </w:rPr>
            </w:pPr>
            <w:r>
              <w:rPr>
                <w:rFonts w:ascii="Arial" w:cs="Arial" w:eastAsia="Arial" w:hAnsi="Arial"/>
                <w:sz w:val="18"/>
                <w:szCs w:val="18"/>
                <w:color w:val="auto"/>
              </w:rPr>
              <w:t>Home Health and Hospice</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208,345</w:t>
            </w:r>
          </w:p>
        </w:tc>
        <w:tc>
          <w:tcPr>
            <w:tcW w:w="440" w:type="dxa"/>
            <w:vAlign w:val="bottom"/>
            <w:gridSpan w:val="3"/>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191,200</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17,145</w:t>
            </w:r>
          </w:p>
        </w:tc>
        <w:tc>
          <w:tcPr>
            <w:tcW w:w="1480" w:type="dxa"/>
            <w:vAlign w:val="bottom"/>
            <w:gridSpan w:val="2"/>
            <w:shd w:val="clear" w:color="auto" w:fill="CCEEFF"/>
          </w:tcPr>
          <w:p>
            <w:pPr>
              <w:ind w:left="1040"/>
              <w:spacing w:after="0"/>
              <w:rPr>
                <w:sz w:val="20"/>
                <w:szCs w:val="20"/>
                <w:color w:val="auto"/>
              </w:rPr>
            </w:pPr>
            <w:r>
              <w:rPr>
                <w:rFonts w:ascii="Arial" w:cs="Arial" w:eastAsia="Arial" w:hAnsi="Arial"/>
                <w:sz w:val="18"/>
                <w:szCs w:val="18"/>
                <w:color w:val="auto"/>
                <w:w w:val="91"/>
              </w:rPr>
              <w:t>9.0 %</w:t>
            </w:r>
          </w:p>
        </w:tc>
      </w:tr>
      <w:tr>
        <w:trPr>
          <w:trHeight w:val="229"/>
        </w:trPr>
        <w:tc>
          <w:tcPr>
            <w:tcW w:w="57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Senior Living</w:t>
            </w:r>
          </w:p>
        </w:tc>
        <w:tc>
          <w:tcPr>
            <w:tcW w:w="1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69,313</w:t>
            </w:r>
          </w:p>
        </w:tc>
        <w:tc>
          <w:tcPr>
            <w:tcW w:w="6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68,708</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605</w:t>
            </w:r>
          </w:p>
        </w:tc>
        <w:tc>
          <w:tcPr>
            <w:tcW w:w="1480" w:type="dxa"/>
            <w:vAlign w:val="bottom"/>
            <w:tcBorders>
              <w:bottom w:val="single" w:sz="8" w:color="CCEEFF"/>
            </w:tcBorders>
            <w:gridSpan w:val="2"/>
          </w:tcPr>
          <w:p>
            <w:pPr>
              <w:ind w:left="1040"/>
              <w:spacing w:after="0"/>
              <w:rPr>
                <w:sz w:val="20"/>
                <w:szCs w:val="20"/>
                <w:color w:val="auto"/>
              </w:rPr>
            </w:pPr>
            <w:r>
              <w:rPr>
                <w:rFonts w:ascii="Arial" w:cs="Arial" w:eastAsia="Arial" w:hAnsi="Arial"/>
                <w:sz w:val="18"/>
                <w:szCs w:val="18"/>
                <w:color w:val="auto"/>
              </w:rPr>
              <w:t>0.9</w:t>
            </w:r>
          </w:p>
        </w:tc>
      </w:tr>
      <w:tr>
        <w:trPr>
          <w:trHeight w:val="248"/>
        </w:trPr>
        <w:tc>
          <w:tcPr>
            <w:tcW w:w="574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Total cost of services</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277,658</w:t>
            </w:r>
          </w:p>
        </w:tc>
        <w:tc>
          <w:tcPr>
            <w:tcW w:w="60" w:type="dxa"/>
            <w:vAlign w:val="bottom"/>
            <w:tcBorders>
              <w:bottom w:val="single" w:sz="8" w:color="auto"/>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259,908</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17,750</w:t>
            </w:r>
          </w:p>
        </w:tc>
        <w:tc>
          <w:tcPr>
            <w:tcW w:w="1480" w:type="dxa"/>
            <w:vAlign w:val="bottom"/>
            <w:tcBorders>
              <w:bottom w:val="single" w:sz="8" w:color="CCEEFF"/>
            </w:tcBorders>
            <w:gridSpan w:val="2"/>
            <w:shd w:val="clear" w:color="auto" w:fill="CCEEFF"/>
          </w:tcPr>
          <w:p>
            <w:pPr>
              <w:ind w:left="1040"/>
              <w:spacing w:after="0"/>
              <w:rPr>
                <w:sz w:val="20"/>
                <w:szCs w:val="20"/>
                <w:color w:val="auto"/>
              </w:rPr>
            </w:pPr>
            <w:r>
              <w:rPr>
                <w:rFonts w:ascii="Arial" w:cs="Arial" w:eastAsia="Arial" w:hAnsi="Arial"/>
                <w:sz w:val="18"/>
                <w:szCs w:val="18"/>
                <w:color w:val="auto"/>
                <w:w w:val="91"/>
              </w:rPr>
              <w:t>6.8 %</w:t>
            </w:r>
          </w:p>
        </w:tc>
      </w:tr>
      <w:tr>
        <w:trPr>
          <w:trHeight w:val="20"/>
        </w:trPr>
        <w:tc>
          <w:tcPr>
            <w:tcW w:w="57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80" w:type="dxa"/>
            <w:vAlign w:val="bottom"/>
            <w:tcBorders>
              <w:top w:val="single" w:sz="8" w:color="CCEEFF"/>
            </w:tcBorders>
          </w:tcPr>
          <w:p>
            <w:pPr>
              <w:spacing w:after="0" w:line="20" w:lineRule="exact"/>
              <w:rPr>
                <w:sz w:val="1"/>
                <w:szCs w:val="1"/>
                <w:color w:val="auto"/>
              </w:rPr>
            </w:pPr>
          </w:p>
        </w:tc>
      </w:tr>
    </w:tbl>
    <w:p>
      <w:pPr>
        <w:spacing w:after="0" w:line="323"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Consolidated cost of services increased $17.8 million or 6.8% during the nine months ended September 30, 2022. Cost of services as a percentage of revenue for the nine months ended September 30, 2022 increased by 0.4% to 79.7% from 79.3% compared to the nine months ended September 30, 2021.</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480" w:type="dxa"/>
            <w:vAlign w:val="bottom"/>
          </w:tcPr>
          <w:p>
            <w:pPr>
              <w:spacing w:after="0"/>
              <w:rPr>
                <w:sz w:val="20"/>
                <w:szCs w:val="20"/>
                <w:color w:val="auto"/>
              </w:rPr>
            </w:pPr>
            <w:r>
              <w:rPr>
                <w:rFonts w:ascii="Arial" w:cs="Arial" w:eastAsia="Arial" w:hAnsi="Arial"/>
                <w:sz w:val="18"/>
                <w:szCs w:val="18"/>
                <w:i w:val="1"/>
                <w:iCs w:val="1"/>
                <w:color w:val="auto"/>
              </w:rPr>
              <w:t>Home Health and Hospice Services</w:t>
            </w:r>
          </w:p>
        </w:tc>
        <w:tc>
          <w:tcPr>
            <w:tcW w:w="12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00" w:type="dxa"/>
            <w:vAlign w:val="bottom"/>
          </w:tcPr>
          <w:p>
            <w:pPr>
              <w:spacing w:after="0"/>
              <w:rPr>
                <w:sz w:val="20"/>
                <w:szCs w:val="20"/>
                <w:color w:val="auto"/>
              </w:rPr>
            </w:pPr>
          </w:p>
        </w:tc>
      </w:tr>
      <w:tr>
        <w:trPr>
          <w:trHeight w:val="257"/>
        </w:trPr>
        <w:tc>
          <w:tcPr>
            <w:tcW w:w="54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900" w:type="dxa"/>
            <w:vAlign w:val="bottom"/>
            <w:gridSpan w:val="5"/>
          </w:tcPr>
          <w:p>
            <w:pPr>
              <w:spacing w:after="0"/>
              <w:rPr>
                <w:sz w:val="20"/>
                <w:szCs w:val="20"/>
                <w:color w:val="auto"/>
              </w:rPr>
            </w:pPr>
            <w:r>
              <w:rPr>
                <w:rFonts w:ascii="Arial" w:cs="Arial" w:eastAsia="Arial" w:hAnsi="Arial"/>
                <w:sz w:val="18"/>
                <w:szCs w:val="18"/>
                <w:b w:val="1"/>
                <w:bCs w:val="1"/>
                <w:color w:val="auto"/>
                <w:w w:val="97"/>
              </w:rPr>
              <w:t>Nine Months Ended September 30,</w:t>
            </w:r>
          </w:p>
        </w:tc>
        <w:tc>
          <w:tcPr>
            <w:tcW w:w="24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300" w:type="dxa"/>
            <w:vAlign w:val="bottom"/>
          </w:tcPr>
          <w:p>
            <w:pPr>
              <w:spacing w:after="0"/>
              <w:rPr>
                <w:sz w:val="22"/>
                <w:szCs w:val="22"/>
                <w:color w:val="auto"/>
              </w:rPr>
            </w:pPr>
          </w:p>
        </w:tc>
      </w:tr>
      <w:tr>
        <w:trPr>
          <w:trHeight w:val="223"/>
        </w:trPr>
        <w:tc>
          <w:tcPr>
            <w:tcW w:w="548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1300" w:type="dxa"/>
            <w:vAlign w:val="bottom"/>
            <w:tcBorders>
              <w:top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2022</w:t>
            </w:r>
          </w:p>
        </w:tc>
        <w:tc>
          <w:tcPr>
            <w:tcW w:w="80" w:type="dxa"/>
            <w:vAlign w:val="bottom"/>
            <w:tcBorders>
              <w:top w:val="single" w:sz="8" w:color="auto"/>
            </w:tcBorders>
          </w:tcPr>
          <w:p>
            <w:pPr>
              <w:spacing w:after="0"/>
              <w:rPr>
                <w:sz w:val="19"/>
                <w:szCs w:val="19"/>
                <w:color w:val="auto"/>
              </w:rPr>
            </w:pPr>
          </w:p>
        </w:tc>
        <w:tc>
          <w:tcPr>
            <w:tcW w:w="320" w:type="dxa"/>
            <w:vAlign w:val="bottom"/>
            <w:tcBorders>
              <w:top w:val="single" w:sz="8" w:color="auto"/>
            </w:tcBorders>
          </w:tcPr>
          <w:p>
            <w:pPr>
              <w:spacing w:after="0"/>
              <w:rPr>
                <w:sz w:val="19"/>
                <w:szCs w:val="19"/>
                <w:color w:val="auto"/>
              </w:rPr>
            </w:pPr>
          </w:p>
        </w:tc>
        <w:tc>
          <w:tcPr>
            <w:tcW w:w="1100" w:type="dxa"/>
            <w:vAlign w:val="bottom"/>
            <w:tcBorders>
              <w:top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2021</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0" w:type="dxa"/>
            <w:vAlign w:val="bottom"/>
            <w:gridSpan w:val="2"/>
          </w:tcPr>
          <w:p>
            <w:pPr>
              <w:ind w:left="140"/>
              <w:spacing w:after="0"/>
              <w:rPr>
                <w:sz w:val="20"/>
                <w:szCs w:val="20"/>
                <w:color w:val="auto"/>
              </w:rPr>
            </w:pPr>
            <w:r>
              <w:rPr>
                <w:rFonts w:ascii="Arial" w:cs="Arial" w:eastAsia="Arial" w:hAnsi="Arial"/>
                <w:sz w:val="18"/>
                <w:szCs w:val="18"/>
                <w:b w:val="1"/>
                <w:bCs w:val="1"/>
                <w:color w:val="auto"/>
              </w:rPr>
              <w:t>Change</w:t>
            </w:r>
          </w:p>
        </w:tc>
        <w:tc>
          <w:tcPr>
            <w:tcW w:w="1300" w:type="dxa"/>
            <w:vAlign w:val="bottom"/>
          </w:tcPr>
          <w:p>
            <w:pPr>
              <w:jc w:val="right"/>
              <w:ind w:right="150"/>
              <w:spacing w:after="0"/>
              <w:rPr>
                <w:sz w:val="20"/>
                <w:szCs w:val="20"/>
                <w:color w:val="auto"/>
              </w:rPr>
            </w:pPr>
            <w:r>
              <w:rPr>
                <w:rFonts w:ascii="Arial" w:cs="Arial" w:eastAsia="Arial" w:hAnsi="Arial"/>
                <w:sz w:val="18"/>
                <w:szCs w:val="18"/>
                <w:b w:val="1"/>
                <w:bCs w:val="1"/>
                <w:color w:val="auto"/>
              </w:rPr>
              <w:t>% Change</w:t>
            </w:r>
          </w:p>
        </w:tc>
      </w:tr>
      <w:tr>
        <w:trPr>
          <w:trHeight w:val="223"/>
        </w:trPr>
        <w:tc>
          <w:tcPr>
            <w:tcW w:w="54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Cost of service (in thousands)</w:t>
            </w: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tcBorders>
              <w:top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208,345</w:t>
            </w:r>
          </w:p>
        </w:tc>
        <w:tc>
          <w:tcPr>
            <w:tcW w:w="8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191,200</w:t>
            </w:r>
          </w:p>
        </w:tc>
        <w:tc>
          <w:tcPr>
            <w:tcW w:w="1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17,145</w:t>
            </w:r>
          </w:p>
        </w:tc>
        <w:tc>
          <w:tcPr>
            <w:tcW w:w="100" w:type="dxa"/>
            <w:vAlign w:val="bottom"/>
            <w:tcBorders>
              <w:top w:val="single" w:sz="8" w:color="CCEEFF"/>
            </w:tcBorders>
            <w:shd w:val="clear" w:color="auto" w:fill="CCEEFF"/>
          </w:tcPr>
          <w:p>
            <w:pPr>
              <w:spacing w:after="0"/>
              <w:rPr>
                <w:sz w:val="19"/>
                <w:szCs w:val="19"/>
                <w:color w:val="auto"/>
              </w:rPr>
            </w:pPr>
          </w:p>
        </w:tc>
        <w:tc>
          <w:tcPr>
            <w:tcW w:w="13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9.0 %</w:t>
            </w:r>
          </w:p>
        </w:tc>
      </w:tr>
      <w:tr>
        <w:trPr>
          <w:trHeight w:val="230"/>
        </w:trPr>
        <w:tc>
          <w:tcPr>
            <w:tcW w:w="5480" w:type="dxa"/>
            <w:vAlign w:val="bottom"/>
          </w:tcPr>
          <w:p>
            <w:pPr>
              <w:ind w:left="20"/>
              <w:spacing w:after="0"/>
              <w:rPr>
                <w:sz w:val="20"/>
                <w:szCs w:val="20"/>
                <w:color w:val="auto"/>
              </w:rPr>
            </w:pPr>
            <w:r>
              <w:rPr>
                <w:rFonts w:ascii="Arial" w:cs="Arial" w:eastAsia="Arial" w:hAnsi="Arial"/>
                <w:sz w:val="18"/>
                <w:szCs w:val="18"/>
                <w:color w:val="auto"/>
              </w:rPr>
              <w:t>Cost of services as a percentage of revenue</w:t>
            </w:r>
          </w:p>
        </w:tc>
        <w:tc>
          <w:tcPr>
            <w:tcW w:w="12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82.8 %</w:t>
            </w:r>
          </w:p>
        </w:tc>
        <w:tc>
          <w:tcPr>
            <w:tcW w:w="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82.5 %</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0.3 %</w:t>
            </w:r>
          </w:p>
        </w:tc>
        <w:tc>
          <w:tcPr>
            <w:tcW w:w="100" w:type="dxa"/>
            <w:vAlign w:val="bottom"/>
          </w:tcPr>
          <w:p>
            <w:pPr>
              <w:spacing w:after="0"/>
              <w:rPr>
                <w:sz w:val="20"/>
                <w:szCs w:val="20"/>
                <w:color w:val="auto"/>
              </w:rPr>
            </w:pPr>
          </w:p>
        </w:tc>
        <w:tc>
          <w:tcPr>
            <w:tcW w:w="1300" w:type="dxa"/>
            <w:vAlign w:val="bottom"/>
          </w:tcPr>
          <w:p>
            <w:pPr>
              <w:spacing w:after="0"/>
              <w:rPr>
                <w:sz w:val="20"/>
                <w:szCs w:val="20"/>
                <w:color w:val="auto"/>
              </w:rPr>
            </w:pPr>
          </w:p>
        </w:tc>
      </w:tr>
    </w:tbl>
    <w:p>
      <w:pPr>
        <w:spacing w:after="0" w:line="309"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Cost of services related to our Home Health and Hospice services segment increased $17.1 million, or 9.0%, primarily due to the increased volume of services. Cost of services as a percentage of revenue for the nine months ended September 30, 2022 increased by 0.3% compared to the nine months ended September 30, 2021 primarily due to increased wage rates.</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420" w:type="dxa"/>
            <w:vAlign w:val="bottom"/>
          </w:tcPr>
          <w:p>
            <w:pPr>
              <w:spacing w:after="0"/>
              <w:rPr>
                <w:sz w:val="20"/>
                <w:szCs w:val="20"/>
                <w:color w:val="auto"/>
              </w:rPr>
            </w:pPr>
            <w:r>
              <w:rPr>
                <w:rFonts w:ascii="Arial" w:cs="Arial" w:eastAsia="Arial" w:hAnsi="Arial"/>
                <w:sz w:val="18"/>
                <w:szCs w:val="18"/>
                <w:i w:val="1"/>
                <w:iCs w:val="1"/>
                <w:color w:val="auto"/>
              </w:rPr>
              <w:t>Senior Living Services</w:t>
            </w:r>
          </w:p>
        </w:tc>
        <w:tc>
          <w:tcPr>
            <w:tcW w:w="12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360" w:type="dxa"/>
            <w:vAlign w:val="bottom"/>
          </w:tcPr>
          <w:p>
            <w:pPr>
              <w:spacing w:after="0"/>
              <w:rPr>
                <w:sz w:val="20"/>
                <w:szCs w:val="20"/>
                <w:color w:val="auto"/>
              </w:rPr>
            </w:pPr>
          </w:p>
        </w:tc>
      </w:tr>
      <w:tr>
        <w:trPr>
          <w:trHeight w:val="499"/>
        </w:trPr>
        <w:tc>
          <w:tcPr>
            <w:tcW w:w="5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900" w:type="dxa"/>
            <w:vAlign w:val="bottom"/>
            <w:gridSpan w:val="5"/>
          </w:tcPr>
          <w:p>
            <w:pPr>
              <w:spacing w:after="0"/>
              <w:rPr>
                <w:sz w:val="20"/>
                <w:szCs w:val="20"/>
                <w:color w:val="auto"/>
              </w:rPr>
            </w:pPr>
            <w:r>
              <w:rPr>
                <w:rFonts w:ascii="Arial" w:cs="Arial" w:eastAsia="Arial" w:hAnsi="Arial"/>
                <w:sz w:val="18"/>
                <w:szCs w:val="18"/>
                <w:b w:val="1"/>
                <w:bCs w:val="1"/>
                <w:color w:val="auto"/>
                <w:w w:val="97"/>
              </w:rPr>
              <w:t>Nine Months Ended September 30,</w:t>
            </w:r>
          </w:p>
        </w:tc>
        <w:tc>
          <w:tcPr>
            <w:tcW w:w="2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360" w:type="dxa"/>
            <w:vAlign w:val="bottom"/>
          </w:tcPr>
          <w:p>
            <w:pPr>
              <w:spacing w:after="0"/>
              <w:rPr>
                <w:sz w:val="24"/>
                <w:szCs w:val="24"/>
                <w:color w:val="auto"/>
              </w:rPr>
            </w:pPr>
          </w:p>
        </w:tc>
      </w:tr>
      <w:tr>
        <w:trPr>
          <w:trHeight w:val="223"/>
        </w:trPr>
        <w:tc>
          <w:tcPr>
            <w:tcW w:w="542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1300" w:type="dxa"/>
            <w:vAlign w:val="bottom"/>
            <w:tcBorders>
              <w:top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2022</w:t>
            </w:r>
          </w:p>
        </w:tc>
        <w:tc>
          <w:tcPr>
            <w:tcW w:w="100" w:type="dxa"/>
            <w:vAlign w:val="bottom"/>
            <w:tcBorders>
              <w:top w:val="single" w:sz="8" w:color="auto"/>
            </w:tcBorders>
          </w:tcPr>
          <w:p>
            <w:pPr>
              <w:spacing w:after="0"/>
              <w:rPr>
                <w:sz w:val="19"/>
                <w:szCs w:val="19"/>
                <w:color w:val="auto"/>
              </w:rPr>
            </w:pPr>
          </w:p>
        </w:tc>
        <w:tc>
          <w:tcPr>
            <w:tcW w:w="320" w:type="dxa"/>
            <w:vAlign w:val="bottom"/>
            <w:tcBorders>
              <w:top w:val="single" w:sz="8" w:color="auto"/>
            </w:tcBorders>
          </w:tcPr>
          <w:p>
            <w:pPr>
              <w:spacing w:after="0"/>
              <w:rPr>
                <w:sz w:val="19"/>
                <w:szCs w:val="19"/>
                <w:color w:val="auto"/>
              </w:rPr>
            </w:pPr>
          </w:p>
        </w:tc>
        <w:tc>
          <w:tcPr>
            <w:tcW w:w="1100" w:type="dxa"/>
            <w:vAlign w:val="bottom"/>
            <w:tcBorders>
              <w:top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2021</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0" w:type="dxa"/>
            <w:vAlign w:val="bottom"/>
            <w:gridSpan w:val="2"/>
          </w:tcPr>
          <w:p>
            <w:pPr>
              <w:ind w:left="140"/>
              <w:spacing w:after="0"/>
              <w:rPr>
                <w:sz w:val="20"/>
                <w:szCs w:val="20"/>
                <w:color w:val="auto"/>
              </w:rPr>
            </w:pPr>
            <w:r>
              <w:rPr>
                <w:rFonts w:ascii="Arial" w:cs="Arial" w:eastAsia="Arial" w:hAnsi="Arial"/>
                <w:sz w:val="18"/>
                <w:szCs w:val="18"/>
                <w:b w:val="1"/>
                <w:bCs w:val="1"/>
                <w:color w:val="auto"/>
              </w:rPr>
              <w:t>Change</w:t>
            </w:r>
          </w:p>
        </w:tc>
        <w:tc>
          <w:tcPr>
            <w:tcW w:w="1360" w:type="dxa"/>
            <w:vAlign w:val="bottom"/>
          </w:tcPr>
          <w:p>
            <w:pPr>
              <w:jc w:val="right"/>
              <w:ind w:right="170"/>
              <w:spacing w:after="0"/>
              <w:rPr>
                <w:sz w:val="20"/>
                <w:szCs w:val="20"/>
                <w:color w:val="auto"/>
              </w:rPr>
            </w:pPr>
            <w:r>
              <w:rPr>
                <w:rFonts w:ascii="Arial" w:cs="Arial" w:eastAsia="Arial" w:hAnsi="Arial"/>
                <w:sz w:val="18"/>
                <w:szCs w:val="18"/>
                <w:b w:val="1"/>
                <w:bCs w:val="1"/>
                <w:color w:val="auto"/>
              </w:rPr>
              <w:t>% Change</w:t>
            </w:r>
          </w:p>
        </w:tc>
      </w:tr>
      <w:tr>
        <w:trPr>
          <w:trHeight w:val="223"/>
        </w:trPr>
        <w:tc>
          <w:tcPr>
            <w:tcW w:w="54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Cost of service (in thousands)</w:t>
            </w: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tcBorders>
              <w:top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69,313</w:t>
            </w:r>
          </w:p>
        </w:tc>
        <w:tc>
          <w:tcPr>
            <w:tcW w:w="10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68,708</w:t>
            </w:r>
          </w:p>
        </w:tc>
        <w:tc>
          <w:tcPr>
            <w:tcW w:w="8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605</w:t>
            </w:r>
          </w:p>
        </w:tc>
        <w:tc>
          <w:tcPr>
            <w:tcW w:w="80" w:type="dxa"/>
            <w:vAlign w:val="bottom"/>
            <w:tcBorders>
              <w:top w:val="single" w:sz="8" w:color="CCEEFF"/>
            </w:tcBorders>
            <w:shd w:val="clear" w:color="auto" w:fill="CCEEFF"/>
          </w:tcPr>
          <w:p>
            <w:pPr>
              <w:spacing w:after="0"/>
              <w:rPr>
                <w:sz w:val="19"/>
                <w:szCs w:val="19"/>
                <w:color w:val="auto"/>
              </w:rPr>
            </w:pPr>
          </w:p>
        </w:tc>
        <w:tc>
          <w:tcPr>
            <w:tcW w:w="1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0.9 %</w:t>
            </w:r>
          </w:p>
        </w:tc>
      </w:tr>
      <w:tr>
        <w:trPr>
          <w:trHeight w:val="230"/>
        </w:trPr>
        <w:tc>
          <w:tcPr>
            <w:tcW w:w="5420" w:type="dxa"/>
            <w:vAlign w:val="bottom"/>
          </w:tcPr>
          <w:p>
            <w:pPr>
              <w:ind w:left="20"/>
              <w:spacing w:after="0"/>
              <w:rPr>
                <w:sz w:val="20"/>
                <w:szCs w:val="20"/>
                <w:color w:val="auto"/>
              </w:rPr>
            </w:pPr>
            <w:r>
              <w:rPr>
                <w:rFonts w:ascii="Arial" w:cs="Arial" w:eastAsia="Arial" w:hAnsi="Arial"/>
                <w:sz w:val="18"/>
                <w:szCs w:val="18"/>
                <w:color w:val="auto"/>
              </w:rPr>
              <w:t>Cost of services as a percentage of revenue</w:t>
            </w:r>
          </w:p>
        </w:tc>
        <w:tc>
          <w:tcPr>
            <w:tcW w:w="12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71.5 %</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71.4 %</w:t>
            </w: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0.1 %</w:t>
            </w:r>
          </w:p>
        </w:tc>
        <w:tc>
          <w:tcPr>
            <w:tcW w:w="80" w:type="dxa"/>
            <w:vAlign w:val="bottom"/>
          </w:tcPr>
          <w:p>
            <w:pPr>
              <w:spacing w:after="0"/>
              <w:rPr>
                <w:sz w:val="20"/>
                <w:szCs w:val="20"/>
                <w:color w:val="auto"/>
              </w:rPr>
            </w:pPr>
          </w:p>
        </w:tc>
        <w:tc>
          <w:tcPr>
            <w:tcW w:w="1360" w:type="dxa"/>
            <w:vAlign w:val="bottom"/>
          </w:tcPr>
          <w:p>
            <w:pPr>
              <w:spacing w:after="0"/>
              <w:rPr>
                <w:sz w:val="20"/>
                <w:szCs w:val="20"/>
                <w:color w:val="auto"/>
              </w:rPr>
            </w:pPr>
          </w:p>
        </w:tc>
      </w:tr>
    </w:tbl>
    <w:p>
      <w:pPr>
        <w:spacing w:after="0" w:line="322" w:lineRule="exact"/>
        <w:rPr>
          <w:sz w:val="20"/>
          <w:szCs w:val="20"/>
          <w:color w:val="auto"/>
        </w:rPr>
      </w:pPr>
    </w:p>
    <w:p>
      <w:pPr>
        <w:jc w:val="both"/>
        <w:ind w:firstLine="648"/>
        <w:spacing w:after="0" w:line="311" w:lineRule="auto"/>
        <w:rPr>
          <w:sz w:val="20"/>
          <w:szCs w:val="20"/>
          <w:color w:val="auto"/>
        </w:rPr>
      </w:pPr>
      <w:r>
        <w:rPr>
          <w:rFonts w:ascii="Arial" w:cs="Arial" w:eastAsia="Arial" w:hAnsi="Arial"/>
          <w:sz w:val="16"/>
          <w:szCs w:val="16"/>
          <w:color w:val="auto"/>
        </w:rPr>
        <w:t>Cost of services related to our Senior Living services segment increased $0.6 million, or 0.9% during the nine months ended September 30, 2022 in response to higher occupancy and wage rate increases. As a percentage of revenue, costs of service increased by 0.1% from 71.4% to 71.5% during the nine months ended September 30, 2022 when compared to the nine months ended September 30, 2021, due primarily to increased wage rates.</w:t>
      </w:r>
    </w:p>
    <w:p>
      <w:pPr>
        <w:spacing w:after="0" w:line="176" w:lineRule="exact"/>
        <w:rPr>
          <w:sz w:val="20"/>
          <w:szCs w:val="20"/>
          <w:color w:val="auto"/>
        </w:rPr>
      </w:pPr>
    </w:p>
    <w:p>
      <w:pPr>
        <w:jc w:val="both"/>
        <w:ind w:right="20" w:firstLine="648"/>
        <w:spacing w:after="0" w:line="263" w:lineRule="auto"/>
        <w:rPr>
          <w:sz w:val="20"/>
          <w:szCs w:val="20"/>
          <w:color w:val="auto"/>
        </w:rPr>
      </w:pPr>
      <w:r>
        <w:rPr>
          <w:rFonts w:ascii="Arial" w:cs="Arial" w:eastAsia="Arial" w:hAnsi="Arial"/>
          <w:sz w:val="18"/>
          <w:szCs w:val="18"/>
          <w:i w:val="1"/>
          <w:iCs w:val="1"/>
          <w:color w:val="auto"/>
        </w:rPr>
        <w:t>Rent—Cost of Services</w:t>
      </w:r>
      <w:r>
        <w:rPr>
          <w:rFonts w:ascii="Arial" w:cs="Arial" w:eastAsia="Arial" w:hAnsi="Arial"/>
          <w:sz w:val="18"/>
          <w:szCs w:val="18"/>
          <w:color w:val="auto"/>
        </w:rPr>
        <w:t>. Rent decreased 6.4% from $30.5 million to $28.5 million in the nine months ended September 30, 2022 compared to the</w:t>
      </w:r>
      <w:r>
        <w:rPr>
          <w:rFonts w:ascii="Arial" w:cs="Arial" w:eastAsia="Arial" w:hAnsi="Arial"/>
          <w:sz w:val="18"/>
          <w:szCs w:val="18"/>
          <w:i w:val="1"/>
          <w:iCs w:val="1"/>
          <w:color w:val="auto"/>
        </w:rPr>
        <w:t xml:space="preserve"> </w:t>
      </w:r>
      <w:r>
        <w:rPr>
          <w:rFonts w:ascii="Arial" w:cs="Arial" w:eastAsia="Arial" w:hAnsi="Arial"/>
          <w:sz w:val="18"/>
          <w:szCs w:val="18"/>
          <w:color w:val="auto"/>
        </w:rPr>
        <w:t>same period in the prior year, primarily as a result of the transfer of senior living communities to Ensign. As a percentage of revenue, rent</w:t>
      </w:r>
      <w:r>
        <w:rPr>
          <w:rFonts w:ascii="Arial" w:cs="Arial" w:eastAsia="Arial" w:hAnsi="Arial"/>
          <w:sz w:val="18"/>
          <w:szCs w:val="18"/>
          <w:i w:val="1"/>
          <w:iCs w:val="1"/>
          <w:color w:val="auto"/>
        </w:rPr>
        <w:t>—</w:t>
      </w:r>
      <w:r>
        <w:rPr>
          <w:rFonts w:ascii="Arial" w:cs="Arial" w:eastAsia="Arial" w:hAnsi="Arial"/>
          <w:sz w:val="18"/>
          <w:szCs w:val="18"/>
          <w:color w:val="auto"/>
        </w:rPr>
        <w:t>cost of services decreased 1.1% when compared to the nine months ended September 30, 2021.</w:t>
      </w:r>
    </w:p>
    <w:p>
      <w:pPr>
        <w:spacing w:after="0" w:line="211"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i w:val="1"/>
          <w:iCs w:val="1"/>
          <w:color w:val="auto"/>
        </w:rPr>
        <w:t xml:space="preserve">General and Administrative Expense. </w:t>
      </w:r>
      <w:r>
        <w:rPr>
          <w:rFonts w:ascii="Arial" w:cs="Arial" w:eastAsia="Arial" w:hAnsi="Arial"/>
          <w:sz w:val="17"/>
          <w:szCs w:val="17"/>
          <w:color w:val="auto"/>
        </w:rPr>
        <w:t>Our general and administrative expense decreased $1.4 million or 5.5% from $27.1 million to $25.7 million</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for the nine months ended September 30, 2022 when compared to the nine months ended September 30, 2021. The decrease in general and administrative expense was due to a decrease of $5.5 million in share-based compensation, primarily in relation to the modification of certain outstanding RSUs granted in connection with the spin-off as described above in Note 12, </w:t>
      </w:r>
      <w:r>
        <w:rPr>
          <w:rFonts w:ascii="Arial" w:cs="Arial" w:eastAsia="Arial" w:hAnsi="Arial"/>
          <w:sz w:val="17"/>
          <w:szCs w:val="17"/>
          <w:i w:val="1"/>
          <w:iCs w:val="1"/>
          <w:color w:val="auto"/>
        </w:rPr>
        <w:t>Options and Awards</w:t>
      </w:r>
      <w:r>
        <w:rPr>
          <w:rFonts w:ascii="Arial" w:cs="Arial" w:eastAsia="Arial" w:hAnsi="Arial"/>
          <w:sz w:val="17"/>
          <w:szCs w:val="17"/>
          <w:color w:val="auto"/>
        </w:rPr>
        <w:t xml:space="preserve"> to the Interim Financial Statements included elsewhere in this Quarterly Report and a for the nine months ended September 30, 2022 when compared to the nine months ended September 30, 2021. Increases in wages and information systems costs offset the decrease from share-based compensation.</w:t>
      </w: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5" w:name="page46"/>
    <w:bookmarkEnd w:id="45"/>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63" w:lineRule="exact"/>
        <w:rPr>
          <w:sz w:val="20"/>
          <w:szCs w:val="20"/>
          <w:color w:val="auto"/>
        </w:rPr>
      </w:pPr>
    </w:p>
    <w:p>
      <w:pPr>
        <w:jc w:val="both"/>
        <w:ind w:right="20" w:firstLine="648"/>
        <w:spacing w:after="0" w:line="342" w:lineRule="auto"/>
        <w:rPr>
          <w:sz w:val="20"/>
          <w:szCs w:val="20"/>
          <w:color w:val="auto"/>
        </w:rPr>
      </w:pPr>
      <w:r>
        <w:rPr>
          <w:rFonts w:ascii="Arial" w:cs="Arial" w:eastAsia="Arial" w:hAnsi="Arial"/>
          <w:sz w:val="16"/>
          <w:szCs w:val="16"/>
          <w:i w:val="1"/>
          <w:iCs w:val="1"/>
          <w:color w:val="auto"/>
        </w:rPr>
        <w:t xml:space="preserve">Depreciation and Amortization. </w:t>
      </w:r>
      <w:r>
        <w:rPr>
          <w:rFonts w:ascii="Arial" w:cs="Arial" w:eastAsia="Arial" w:hAnsi="Arial"/>
          <w:sz w:val="16"/>
          <w:szCs w:val="16"/>
          <w:color w:val="auto"/>
        </w:rPr>
        <w:t>Depreciation and amortization expense increased slightly as a percentage of total revenue due the impairment of</w:t>
      </w:r>
      <w:r>
        <w:rPr>
          <w:rFonts w:ascii="Arial" w:cs="Arial" w:eastAsia="Arial" w:hAnsi="Arial"/>
          <w:sz w:val="16"/>
          <w:szCs w:val="16"/>
          <w:i w:val="1"/>
          <w:iCs w:val="1"/>
          <w:color w:val="auto"/>
        </w:rPr>
        <w:t xml:space="preserve"> </w:t>
      </w:r>
      <w:r>
        <w:rPr>
          <w:rFonts w:ascii="Arial" w:cs="Arial" w:eastAsia="Arial" w:hAnsi="Arial"/>
          <w:sz w:val="16"/>
          <w:szCs w:val="16"/>
          <w:color w:val="auto"/>
        </w:rPr>
        <w:t>assets at December 31, 2021 that were transferred to Ensign on March 1, 2022 and April 1, 2022, during the nine months ended September 30, 2022</w:t>
      </w:r>
    </w:p>
    <w:p>
      <w:pPr>
        <w:spacing w:after="0" w:line="151"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i w:val="1"/>
          <w:iCs w:val="1"/>
          <w:color w:val="auto"/>
        </w:rPr>
        <w:t xml:space="preserve">Loss on asset dispositions and impairment, net. </w:t>
      </w:r>
      <w:r>
        <w:rPr>
          <w:rFonts w:ascii="Arial" w:cs="Arial" w:eastAsia="Arial" w:hAnsi="Arial"/>
          <w:sz w:val="18"/>
          <w:szCs w:val="18"/>
          <w:color w:val="auto"/>
        </w:rPr>
        <w:t>Loss on asset dispositions and impairment, net includes a transaction fee of $6.5 million for post-closing capital expenditures and operating losses related to one of the communities transferred to Ensign as well as asset impairment for the nine months ended September 30, 2022.</w:t>
      </w:r>
    </w:p>
    <w:p>
      <w:pPr>
        <w:spacing w:after="0" w:line="211"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i w:val="1"/>
          <w:iCs w:val="1"/>
          <w:color w:val="auto"/>
        </w:rPr>
        <w:t>Provision for Income Taxes</w:t>
      </w:r>
      <w:r>
        <w:rPr>
          <w:rFonts w:ascii="Arial" w:cs="Arial" w:eastAsia="Arial" w:hAnsi="Arial"/>
          <w:sz w:val="18"/>
          <w:szCs w:val="18"/>
          <w:color w:val="auto"/>
        </w:rPr>
        <w:t>. We recorded income tax expense of $0.2 million and $1.0 million or 6.3% and 18.4% of earnings before income taxes</w:t>
      </w:r>
      <w:r>
        <w:rPr>
          <w:rFonts w:ascii="Arial" w:cs="Arial" w:eastAsia="Arial" w:hAnsi="Arial"/>
          <w:sz w:val="18"/>
          <w:szCs w:val="18"/>
          <w:i w:val="1"/>
          <w:iCs w:val="1"/>
          <w:color w:val="auto"/>
        </w:rPr>
        <w:t xml:space="preserve"> </w:t>
      </w:r>
      <w:r>
        <w:rPr>
          <w:rFonts w:ascii="Arial" w:cs="Arial" w:eastAsia="Arial" w:hAnsi="Arial"/>
          <w:sz w:val="18"/>
          <w:szCs w:val="18"/>
          <w:color w:val="auto"/>
        </w:rPr>
        <w:t>for the nine months ended September 30, 2022 and 2021, respectively. The decrease in tax is primarily due to less non-deductible equity compensation and tax benefit related to the Transfer Agreements with Ensign.</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5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Our primary sources of liquidity are net cash provided by operating activities and borrowings under our revolving credit facility.</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Revolving Credit Facility</w:t>
      </w:r>
    </w:p>
    <w:p>
      <w:pPr>
        <w:spacing w:after="0" w:line="252"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On February 23, 2021, Pennant entered into an amendment to its existing credit agreement (as amended, the “Credit Agreement”), which provides for an increased revolving credit facility with a syndicate of banks with a borrowing capacity of $150.0 million (the “Revolving Credit Facility”). The Revolving Credit Facility is not subject to interim amortization and the Company will not be required to repay any loans under the Revolving Credit Facility prior to maturity in 2026. The Company is permitted to prepay all or any portion of the loans under the Revolving Credit Facility prior to maturity without premium or penalty, subject to reimbursement of any LIBOR breakage costs of the lenders.</w:t>
      </w:r>
    </w:p>
    <w:p>
      <w:pPr>
        <w:spacing w:after="0" w:line="215"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The Credit Agreement contains customary covenants that, among other things, restrict, subject to certain exceptions, the ability of the Company and its independent operating subsidiaries to grant liens on their assets, incur indebtedness, sell assets, make investments, engage in acquisitions, mergers or consolidations, amend certain material agreements and pay certain dividends and other restricted payments. Financial covenants require compliance with certain levels of leverage ratios that impact the amount of interest. As of September 30, 2022, the Company was compliant with all such financial covenants.</w:t>
      </w:r>
    </w:p>
    <w:p>
      <w:pPr>
        <w:spacing w:after="0" w:line="215" w:lineRule="exact"/>
        <w:rPr>
          <w:sz w:val="20"/>
          <w:szCs w:val="20"/>
          <w:color w:val="auto"/>
        </w:rPr>
      </w:pPr>
    </w:p>
    <w:p>
      <w:pPr>
        <w:ind w:left="660"/>
        <w:spacing w:after="0"/>
        <w:rPr>
          <w:sz w:val="20"/>
          <w:szCs w:val="20"/>
          <w:color w:val="auto"/>
        </w:rPr>
      </w:pPr>
      <w:r>
        <w:rPr>
          <w:rFonts w:ascii="Arial" w:cs="Arial" w:eastAsia="Arial" w:hAnsi="Arial"/>
          <w:sz w:val="17"/>
          <w:szCs w:val="17"/>
          <w:color w:val="252525"/>
        </w:rPr>
        <w:t xml:space="preserve">As of </w:t>
      </w:r>
      <w:r>
        <w:rPr>
          <w:rFonts w:ascii="Arial" w:cs="Arial" w:eastAsia="Arial" w:hAnsi="Arial"/>
          <w:sz w:val="17"/>
          <w:szCs w:val="17"/>
          <w:color w:val="000000"/>
        </w:rPr>
        <w:t>September 30, 2022, we had $3.0 million of cash and $88.3 million of available borrowing capacity on our Revolving Credit Facility.</w:t>
      </w:r>
    </w:p>
    <w:p>
      <w:pPr>
        <w:spacing w:after="0" w:line="264"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We believe that our existing cash, generated through operations and our access to financing facilities, together with funding through third-party sources such as commercial banks, will be sufficient to fund our operating activities and growth needs, and provide adequate liquidity for the next twelve months.</w:t>
      </w:r>
    </w:p>
    <w:p>
      <w:pPr>
        <w:spacing w:after="0" w:line="21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presents selected data from our Condensed Consolidated Statement of Cash Flows for the periods presented:</w:t>
      </w:r>
    </w:p>
    <w:p>
      <w:pPr>
        <w:spacing w:after="0" w:line="4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26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2840" w:type="dxa"/>
            <w:vAlign w:val="bottom"/>
            <w:tcBorders>
              <w:bottom w:val="single" w:sz="8" w:color="auto"/>
            </w:tcBorders>
            <w:gridSpan w:val="4"/>
          </w:tcPr>
          <w:p>
            <w:pPr>
              <w:jc w:val="right"/>
              <w:ind w:right="50"/>
              <w:spacing w:after="0"/>
              <w:rPr>
                <w:sz w:val="20"/>
                <w:szCs w:val="20"/>
                <w:color w:val="auto"/>
              </w:rPr>
            </w:pPr>
            <w:r>
              <w:rPr>
                <w:rFonts w:ascii="Arial" w:cs="Arial" w:eastAsia="Arial" w:hAnsi="Arial"/>
                <w:sz w:val="18"/>
                <w:szCs w:val="18"/>
                <w:b w:val="1"/>
                <w:bCs w:val="1"/>
                <w:color w:val="auto"/>
                <w:w w:val="90"/>
              </w:rPr>
              <w:t>Nine Months Ended September 30,</w:t>
            </w:r>
          </w:p>
        </w:tc>
      </w:tr>
      <w:tr>
        <w:trPr>
          <w:trHeight w:val="223"/>
        </w:trPr>
        <w:tc>
          <w:tcPr>
            <w:tcW w:w="826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2022</w:t>
            </w:r>
          </w:p>
        </w:tc>
        <w:tc>
          <w:tcPr>
            <w:tcW w:w="10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w w:val="89"/>
              </w:rPr>
              <w:t>2021</w:t>
            </w:r>
          </w:p>
        </w:tc>
      </w:tr>
      <w:tr>
        <w:trPr>
          <w:trHeight w:val="223"/>
        </w:trPr>
        <w:tc>
          <w:tcPr>
            <w:tcW w:w="82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920" w:type="dxa"/>
            <w:vAlign w:val="bottom"/>
            <w:gridSpan w:val="3"/>
          </w:tcPr>
          <w:p>
            <w:pPr>
              <w:jc w:val="right"/>
              <w:spacing w:after="0"/>
              <w:rPr>
                <w:sz w:val="20"/>
                <w:szCs w:val="20"/>
                <w:color w:val="auto"/>
              </w:rPr>
            </w:pPr>
            <w:r>
              <w:rPr>
                <w:rFonts w:ascii="Arial" w:cs="Arial" w:eastAsia="Arial" w:hAnsi="Arial"/>
                <w:sz w:val="18"/>
                <w:szCs w:val="18"/>
                <w:b w:val="1"/>
                <w:bCs w:val="1"/>
                <w:color w:val="auto"/>
              </w:rPr>
              <w:t>(In thousands)</w:t>
            </w:r>
          </w:p>
        </w:tc>
        <w:tc>
          <w:tcPr>
            <w:tcW w:w="920" w:type="dxa"/>
            <w:vAlign w:val="bottom"/>
          </w:tcPr>
          <w:p>
            <w:pPr>
              <w:spacing w:after="0"/>
              <w:rPr>
                <w:sz w:val="19"/>
                <w:szCs w:val="19"/>
                <w:color w:val="auto"/>
              </w:rPr>
            </w:pPr>
          </w:p>
        </w:tc>
      </w:tr>
      <w:tr>
        <w:trPr>
          <w:trHeight w:val="229"/>
        </w:trPr>
        <w:tc>
          <w:tcPr>
            <w:tcW w:w="8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cash provided by operating activities</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12,974</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jc w:val="right"/>
              <w:ind w:right="310"/>
              <w:spacing w:after="0"/>
              <w:rPr>
                <w:sz w:val="20"/>
                <w:szCs w:val="20"/>
                <w:color w:val="auto"/>
              </w:rPr>
            </w:pPr>
            <w:r>
              <w:rPr>
                <w:rFonts w:ascii="Arial" w:cs="Arial" w:eastAsia="Arial" w:hAnsi="Arial"/>
                <w:sz w:val="18"/>
                <w:szCs w:val="18"/>
                <w:color w:val="auto"/>
                <w:w w:val="9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(13,065)</w:t>
            </w:r>
          </w:p>
        </w:tc>
      </w:tr>
      <w:tr>
        <w:trPr>
          <w:trHeight w:val="230"/>
        </w:trPr>
        <w:tc>
          <w:tcPr>
            <w:tcW w:w="8260" w:type="dxa"/>
            <w:vAlign w:val="bottom"/>
          </w:tcPr>
          <w:p>
            <w:pPr>
              <w:ind w:left="20"/>
              <w:spacing w:after="0"/>
              <w:rPr>
                <w:sz w:val="20"/>
                <w:szCs w:val="20"/>
                <w:color w:val="auto"/>
              </w:rPr>
            </w:pPr>
            <w:r>
              <w:rPr>
                <w:rFonts w:ascii="Arial" w:cs="Arial" w:eastAsia="Arial" w:hAnsi="Arial"/>
                <w:sz w:val="18"/>
                <w:szCs w:val="18"/>
                <w:color w:val="auto"/>
              </w:rPr>
              <w:t>Net cash used in investing activities</w:t>
            </w:r>
          </w:p>
        </w:tc>
        <w:tc>
          <w:tcPr>
            <w:tcW w:w="1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(20,176)</w:t>
            </w: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(18,066)</w:t>
            </w:r>
          </w:p>
        </w:tc>
      </w:tr>
      <w:tr>
        <w:trPr>
          <w:trHeight w:val="230"/>
        </w:trPr>
        <w:tc>
          <w:tcPr>
            <w:tcW w:w="8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cash provided by financing activities</w:t>
            </w:r>
          </w:p>
        </w:tc>
        <w:tc>
          <w:tcPr>
            <w:tcW w:w="14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4,967</w:t>
            </w:r>
          </w:p>
        </w:tc>
        <w:tc>
          <w:tcPr>
            <w:tcW w:w="100" w:type="dxa"/>
            <w:vAlign w:val="bottom"/>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34,795</w:t>
            </w:r>
          </w:p>
        </w:tc>
      </w:tr>
      <w:tr>
        <w:trPr>
          <w:trHeight w:val="223"/>
        </w:trPr>
        <w:tc>
          <w:tcPr>
            <w:tcW w:w="8260" w:type="dxa"/>
            <w:vAlign w:val="bottom"/>
          </w:tcPr>
          <w:p>
            <w:pPr>
              <w:ind w:left="220"/>
              <w:spacing w:after="0"/>
              <w:rPr>
                <w:sz w:val="20"/>
                <w:szCs w:val="20"/>
                <w:color w:val="auto"/>
              </w:rPr>
            </w:pPr>
            <w:r>
              <w:rPr>
                <w:rFonts w:ascii="Arial" w:cs="Arial" w:eastAsia="Arial" w:hAnsi="Arial"/>
                <w:sz w:val="18"/>
                <w:szCs w:val="18"/>
                <w:color w:val="auto"/>
              </w:rPr>
              <w:t>Net (decrease) increase in cash</w:t>
            </w:r>
          </w:p>
        </w:tc>
        <w:tc>
          <w:tcPr>
            <w:tcW w:w="1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(2,235)</w:t>
            </w: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3,664</w:t>
            </w:r>
          </w:p>
        </w:tc>
      </w:tr>
      <w:tr>
        <w:trPr>
          <w:trHeight w:val="230"/>
        </w:trPr>
        <w:tc>
          <w:tcPr>
            <w:tcW w:w="8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 at beginning of period</w:t>
            </w:r>
          </w:p>
        </w:tc>
        <w:tc>
          <w:tcPr>
            <w:tcW w:w="14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5,190</w:t>
            </w:r>
          </w:p>
        </w:tc>
        <w:tc>
          <w:tcPr>
            <w:tcW w:w="100" w:type="dxa"/>
            <w:vAlign w:val="bottom"/>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w:t>
            </w:r>
          </w:p>
        </w:tc>
      </w:tr>
      <w:tr>
        <w:trPr>
          <w:trHeight w:val="223"/>
        </w:trPr>
        <w:tc>
          <w:tcPr>
            <w:tcW w:w="8260" w:type="dxa"/>
            <w:vAlign w:val="bottom"/>
          </w:tcPr>
          <w:p>
            <w:pPr>
              <w:ind w:left="220"/>
              <w:spacing w:after="0"/>
              <w:rPr>
                <w:sz w:val="20"/>
                <w:szCs w:val="20"/>
                <w:color w:val="auto"/>
              </w:rPr>
            </w:pPr>
            <w:r>
              <w:rPr>
                <w:rFonts w:ascii="Arial" w:cs="Arial" w:eastAsia="Arial" w:hAnsi="Arial"/>
                <w:sz w:val="18"/>
                <w:szCs w:val="18"/>
                <w:color w:val="auto"/>
              </w:rPr>
              <w:t>Cash at end of period</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2,955</w:t>
            </w:r>
          </w:p>
        </w:tc>
        <w:tc>
          <w:tcPr>
            <w:tcW w:w="100" w:type="dxa"/>
            <w:vAlign w:val="bottom"/>
          </w:tcPr>
          <w:p>
            <w:pPr>
              <w:spacing w:after="0"/>
              <w:rPr>
                <w:sz w:val="19"/>
                <w:szCs w:val="19"/>
                <w:color w:val="auto"/>
              </w:rPr>
            </w:pPr>
          </w:p>
        </w:tc>
        <w:tc>
          <w:tcPr>
            <w:tcW w:w="52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3,707</w:t>
            </w:r>
          </w:p>
        </w:tc>
      </w:tr>
      <w:tr>
        <w:trPr>
          <w:trHeight w:val="20"/>
        </w:trPr>
        <w:tc>
          <w:tcPr>
            <w:tcW w:w="82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6" w:name="page47"/>
    <w:bookmarkEnd w:id="46"/>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Nine Months Ended September 30, 2022 Compared to the Nine Months Ended September 30, 2021</w:t>
      </w:r>
    </w:p>
    <w:p>
      <w:pPr>
        <w:spacing w:after="0" w:line="225"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Our net cash flow from operating activities for the nine months ended September 30, 2022 increased by $26.0 million when compared to the nine months ended September 30, 2021. The primary driver of this difference can be attributed to the $8.4 million increase in cash flows from a reduction in accounts receivable and a $8.4 million increase in cash flow related to the final repayment of the AAP. Additionally, there was a $1.6 million increase in other accrued liabilities driven by our becoming self-insured for employee health, dental, and vision care in 2022, and a $5.9 million change in cash flows related to the the reduction in wages payable. Other factors that contributed to the net cash provided by operating activities were an increase of $1.7 million in cash inflows from changes in accounts payable. Exclusive of the repayment of AAP, our net cash flow from operations would have been $19.2 million positive for the nine months ended September 30, 2022.</w:t>
      </w:r>
    </w:p>
    <w:p>
      <w:pPr>
        <w:spacing w:after="0" w:line="177" w:lineRule="exact"/>
        <w:rPr>
          <w:sz w:val="20"/>
          <w:szCs w:val="20"/>
          <w:color w:val="auto"/>
        </w:rPr>
      </w:pPr>
    </w:p>
    <w:p>
      <w:pPr>
        <w:jc w:val="both"/>
        <w:ind w:right="20" w:firstLine="648"/>
        <w:spacing w:after="0" w:line="263" w:lineRule="auto"/>
        <w:rPr>
          <w:sz w:val="20"/>
          <w:szCs w:val="20"/>
          <w:color w:val="auto"/>
        </w:rPr>
      </w:pPr>
      <w:r>
        <w:rPr>
          <w:rFonts w:ascii="Arial" w:cs="Arial" w:eastAsia="Arial" w:hAnsi="Arial"/>
          <w:sz w:val="18"/>
          <w:szCs w:val="18"/>
          <w:color w:val="auto"/>
        </w:rPr>
        <w:t>Our net cash used in investing activities for the nine months ended September 30, 2022 increased by $2.1 million compared to the nine months ended September 30, 2021, primarily due to a decrease in cash payments paid for business acquisitions of $3.9 million, offset by an increase of $6.3 million in capital expenditures during the period from September 30, 2021 to September 30, 2022.</w:t>
      </w:r>
    </w:p>
    <w:p>
      <w:pPr>
        <w:spacing w:after="0" w:line="211"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Our net cash provided by financing activities decreased by approximately $29.8 million for the nine months ended September 30, 2022 compared to the nine months ended September 30, 2021. The decrease was primarily due to less borrowings and a reduction in deferred financing cost during the nine months ended September 30, 2022 compared to the nine months ended September 30, 2021.</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Contractual Obligations, Commitments and Contingencies</w:t>
      </w:r>
    </w:p>
    <w:p>
      <w:pPr>
        <w:spacing w:after="0" w:line="252"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8"/>
          <w:szCs w:val="18"/>
          <w:color w:val="auto"/>
        </w:rPr>
        <w:t xml:space="preserve">Other than certain draws and payments made on our Revolving Credit Facility, as described in Note 11, </w:t>
      </w:r>
      <w:r>
        <w:rPr>
          <w:rFonts w:ascii="Arial" w:cs="Arial" w:eastAsia="Arial" w:hAnsi="Arial"/>
          <w:sz w:val="18"/>
          <w:szCs w:val="18"/>
          <w:i w:val="1"/>
          <w:iCs w:val="1"/>
          <w:color w:val="auto"/>
        </w:rPr>
        <w:t>Debt</w:t>
      </w:r>
      <w:r>
        <w:rPr>
          <w:rFonts w:ascii="Arial" w:cs="Arial" w:eastAsia="Arial" w:hAnsi="Arial"/>
          <w:sz w:val="18"/>
          <w:szCs w:val="18"/>
          <w:color w:val="auto"/>
        </w:rPr>
        <w:t>, to the Interim Financial Statements in Part I of this Quarterly Report, there have been no material changes to our total obligations during the period covered by this Quarterly Report outside of the normal course of our business.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3. </w:t>
      </w:r>
      <w:r>
        <w:rPr>
          <w:rFonts w:ascii="Arial" w:cs="Arial" w:eastAsia="Arial" w:hAnsi="Arial"/>
          <w:sz w:val="18"/>
          <w:szCs w:val="18"/>
          <w:b w:val="1"/>
          <w:bCs w:val="1"/>
          <w:i w:val="1"/>
          <w:iCs w:val="1"/>
          <w:color w:val="auto"/>
        </w:rPr>
        <w:t>Quantitative and Qualitative Disclosures About Market Risk</w:t>
      </w:r>
    </w:p>
    <w:p>
      <w:pPr>
        <w:spacing w:after="0" w:line="256" w:lineRule="exact"/>
        <w:rPr>
          <w:sz w:val="20"/>
          <w:szCs w:val="20"/>
          <w:color w:val="auto"/>
        </w:rPr>
      </w:pPr>
    </w:p>
    <w:p>
      <w:pPr>
        <w:jc w:val="both"/>
        <w:ind w:right="20" w:firstLine="648"/>
        <w:spacing w:after="0" w:line="308" w:lineRule="auto"/>
        <w:rPr>
          <w:sz w:val="20"/>
          <w:szCs w:val="20"/>
          <w:color w:val="auto"/>
        </w:rPr>
      </w:pPr>
      <w:r>
        <w:rPr>
          <w:rFonts w:ascii="Arial" w:cs="Arial" w:eastAsia="Arial" w:hAnsi="Arial"/>
          <w:sz w:val="17"/>
          <w:szCs w:val="17"/>
          <w:i w:val="1"/>
          <w:iCs w:val="1"/>
          <w:color w:val="auto"/>
        </w:rPr>
        <w:t>Interest Rate Risk</w:t>
      </w:r>
      <w:r>
        <w:rPr>
          <w:rFonts w:ascii="Arial" w:cs="Arial" w:eastAsia="Arial" w:hAnsi="Arial"/>
          <w:sz w:val="17"/>
          <w:szCs w:val="17"/>
          <w:color w:val="auto"/>
        </w:rPr>
        <w:t>. We are exposed to risks associated with market changes in interest rates. Our Revolving Credit Facility exposes us to variability</w:t>
      </w:r>
      <w:r>
        <w:rPr>
          <w:rFonts w:ascii="Arial" w:cs="Arial" w:eastAsia="Arial" w:hAnsi="Arial"/>
          <w:sz w:val="17"/>
          <w:szCs w:val="17"/>
          <w:i w:val="1"/>
          <w:iCs w:val="1"/>
          <w:color w:val="auto"/>
        </w:rPr>
        <w:t xml:space="preserve"> </w:t>
      </w:r>
      <w:r>
        <w:rPr>
          <w:rFonts w:ascii="Arial" w:cs="Arial" w:eastAsia="Arial" w:hAnsi="Arial"/>
          <w:sz w:val="17"/>
          <w:szCs w:val="17"/>
          <w:color w:val="auto"/>
        </w:rPr>
        <w:t>in interest payments due to changes in LIBOR. We manage our exposure to this market risk by monitoring available financing alternatives.</w:t>
      </w:r>
    </w:p>
    <w:p>
      <w:pPr>
        <w:spacing w:after="0" w:line="173"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i w:val="1"/>
          <w:iCs w:val="1"/>
          <w:color w:val="auto"/>
        </w:rPr>
        <w:t xml:space="preserve">LIBOR Phase-Out. </w:t>
      </w:r>
      <w:r>
        <w:rPr>
          <w:rFonts w:ascii="Arial" w:cs="Arial" w:eastAsia="Arial" w:hAnsi="Arial"/>
          <w:sz w:val="18"/>
          <w:szCs w:val="18"/>
          <w:color w:val="auto"/>
        </w:rPr>
        <w:t>LIBOR is in the process of being wound down. The Overnight and the 1-, 3-, 6- and 12-Months USD LIBOR settings will</w:t>
      </w:r>
      <w:r>
        <w:rPr>
          <w:rFonts w:ascii="Arial" w:cs="Arial" w:eastAsia="Arial" w:hAnsi="Arial"/>
          <w:sz w:val="18"/>
          <w:szCs w:val="18"/>
          <w:i w:val="1"/>
          <w:iCs w:val="1"/>
          <w:color w:val="auto"/>
        </w:rPr>
        <w:t xml:space="preserve"> </w:t>
      </w:r>
      <w:r>
        <w:rPr>
          <w:rFonts w:ascii="Arial" w:cs="Arial" w:eastAsia="Arial" w:hAnsi="Arial"/>
          <w:sz w:val="18"/>
          <w:szCs w:val="18"/>
          <w:color w:val="auto"/>
        </w:rPr>
        <w:t>continue until June 2023. We are required to pay interest on borrowings under our Credit Facility at floating rates based on the 1-month LIBOR and we do not expect to transition away from the LIBOR benchmark until June 2023.</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4. </w:t>
      </w:r>
      <w:r>
        <w:rPr>
          <w:rFonts w:ascii="Arial" w:cs="Arial" w:eastAsia="Arial" w:hAnsi="Arial"/>
          <w:sz w:val="18"/>
          <w:szCs w:val="18"/>
          <w:b w:val="1"/>
          <w:bCs w:val="1"/>
          <w:i w:val="1"/>
          <w:iCs w:val="1"/>
          <w:color w:val="auto"/>
        </w:rPr>
        <w:t>Controls and Procedures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Evaluation of Disclosure Controls and Procedures</w:t>
      </w:r>
    </w:p>
    <w:p>
      <w:pPr>
        <w:spacing w:after="0" w:line="252"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color w:val="auto"/>
        </w:rPr>
        <w:t>Under the supervision and with the participation of our management, including the Chief Executive Officer and Chief Financial Officer, we have evaluated the effectiveness of our disclosure controls and procedures (as such term is defined in Rules 13a-15(e) and 15d-15(e) under the Securities Exchange Act of 1934, as amended (the “Exchange Act”)), as of the end of the period covered by this Quarterly Report. Based on that evaluation, the Chief Executive Officer and Chief Financial Officer have concluded that these disclosure controls and procedures were effective to provide reasonable assurance that information we are required to disclose in reports that we file or submit under the Exchange Act is recorded, processed, summarized, and reported within the time periods specified in SEC rules and forms, and that such information is accumulated and communicated to our management, including our Chief Executive Officer and Chief Financial Officer, as appropriate, to allow timely decisions regarding required disclosure.</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Changes in Internal Control over Financial Reporting</w:t>
      </w:r>
    </w:p>
    <w:p>
      <w:pPr>
        <w:spacing w:after="0" w:line="252"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There were no material changes in our internal control over financial reporting (as such term is defined in Rules 13a-15(f) and 15d-15(f) under the Exchange Act) that occurred during our most recent fiscal quarter that have materially affected, or are reasonably likely to materially affect, our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7" w:name="page48"/>
    <w:bookmarkEnd w:id="47"/>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II. OTHER INFORMATION</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 </w:t>
      </w:r>
      <w:r>
        <w:rPr>
          <w:rFonts w:ascii="Arial" w:cs="Arial" w:eastAsia="Arial" w:hAnsi="Arial"/>
          <w:sz w:val="18"/>
          <w:szCs w:val="18"/>
          <w:b w:val="1"/>
          <w:bCs w:val="1"/>
          <w:i w:val="1"/>
          <w:iCs w:val="1"/>
          <w:color w:val="auto"/>
        </w:rPr>
        <w:t>Legal Proceedings</w:t>
      </w:r>
    </w:p>
    <w:p>
      <w:pPr>
        <w:spacing w:after="0" w:line="238"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7"/>
          <w:szCs w:val="17"/>
          <w:color w:val="auto"/>
        </w:rPr>
        <w:t xml:space="preserve">We are involved in various claims and lawsuits arising in the ordinary course of business, none of which, in the opinion of management, is expected to have a material adverse effect on our results of operations or financial condition. However, the results of such matters cannot be predicted with certainty and we cannot assure you that the ultimate resolution of any legal or administrative proceeding or dispute will not have a material adverse effect on our business, financial condition, results of operations and cash flows. See Note 15, </w:t>
      </w:r>
      <w:r>
        <w:rPr>
          <w:rFonts w:ascii="Arial" w:cs="Arial" w:eastAsia="Arial" w:hAnsi="Arial"/>
          <w:sz w:val="17"/>
          <w:szCs w:val="17"/>
          <w:i w:val="1"/>
          <w:iCs w:val="1"/>
          <w:color w:val="auto"/>
        </w:rPr>
        <w:t>Commitments and Contingencies</w:t>
      </w:r>
      <w:r>
        <w:rPr>
          <w:rFonts w:ascii="Arial" w:cs="Arial" w:eastAsia="Arial" w:hAnsi="Arial"/>
          <w:sz w:val="17"/>
          <w:szCs w:val="17"/>
          <w:color w:val="auto"/>
        </w:rPr>
        <w:t>, to the Interim Financial Statements for a description of claims and legal actions arising in the ordinary course of our business.</w:t>
      </w:r>
    </w:p>
    <w:p>
      <w:pPr>
        <w:spacing w:after="0" w:line="3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1A. </w:t>
      </w:r>
      <w:r>
        <w:rPr>
          <w:rFonts w:ascii="Arial" w:cs="Arial" w:eastAsia="Arial" w:hAnsi="Arial"/>
          <w:sz w:val="18"/>
          <w:szCs w:val="18"/>
          <w:b w:val="1"/>
          <w:bCs w:val="1"/>
          <w:i w:val="1"/>
          <w:iCs w:val="1"/>
          <w:color w:val="auto"/>
        </w:rPr>
        <w:t>Risk Factors</w:t>
      </w:r>
    </w:p>
    <w:p>
      <w:pPr>
        <w:spacing w:after="0" w:line="256"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212529"/>
        </w:rPr>
        <w:t>We have disclosed under the heading “Risk Factors” in the 2021 Annual Report risk factors that materially affect our business, financial condition or results of operations. You should carefully consider the risk factors set forth in the 2021 Annual Report and the other information set forth elsewhere in this Quarterly Report. You should be aware that these risk factors and other information may not describe every risk facing our Company. Additional risks and uncertainties not currently known to us or that we currently deem to be immaterial also may materially adversely affect our business, financial condition and/or operating results. Since the filing of our 2021 Annual Report on February 28, 2022, the following additions have been made to the risk factors previously disclosed.</w:t>
      </w:r>
    </w:p>
    <w:p>
      <w:pPr>
        <w:spacing w:after="0" w:line="219" w:lineRule="exact"/>
        <w:rPr>
          <w:sz w:val="20"/>
          <w:szCs w:val="20"/>
          <w:color w:val="auto"/>
        </w:rPr>
      </w:pPr>
    </w:p>
    <w:p>
      <w:pPr>
        <w:jc w:val="both"/>
        <w:spacing w:after="0" w:line="288" w:lineRule="auto"/>
        <w:rPr>
          <w:sz w:val="20"/>
          <w:szCs w:val="20"/>
          <w:color w:val="auto"/>
        </w:rPr>
      </w:pPr>
      <w:r>
        <w:rPr>
          <w:rFonts w:ascii="Arial" w:cs="Arial" w:eastAsia="Arial" w:hAnsi="Arial"/>
          <w:sz w:val="16"/>
          <w:szCs w:val="16"/>
          <w:b w:val="1"/>
          <w:bCs w:val="1"/>
          <w:i w:val="1"/>
          <w:iCs w:val="1"/>
          <w:color w:val="212529"/>
        </w:rPr>
        <w:t xml:space="preserve">A Medicare Overpayment Audit of one of our Independent Operating Subsidiary could result in a material loss. </w:t>
      </w:r>
      <w:r>
        <w:rPr>
          <w:rFonts w:ascii="Arial" w:cs="Arial" w:eastAsia="Arial" w:hAnsi="Arial"/>
          <w:sz w:val="16"/>
          <w:szCs w:val="16"/>
          <w:color w:val="212529"/>
        </w:rPr>
        <w:t>From June 2021 to May 2022, a</w:t>
      </w:r>
      <w:r>
        <w:rPr>
          <w:rFonts w:ascii="Arial" w:cs="Arial" w:eastAsia="Arial" w:hAnsi="Arial"/>
          <w:sz w:val="16"/>
          <w:szCs w:val="16"/>
          <w:b w:val="1"/>
          <w:bCs w:val="1"/>
          <w:i w:val="1"/>
          <w:iCs w:val="1"/>
          <w:color w:val="212529"/>
        </w:rPr>
        <w:t xml:space="preserve"> </w:t>
      </w:r>
      <w:r>
        <w:rPr>
          <w:rFonts w:ascii="Arial" w:cs="Arial" w:eastAsia="Arial" w:hAnsi="Arial"/>
          <w:sz w:val="16"/>
          <w:szCs w:val="16"/>
          <w:color w:val="000000"/>
        </w:rPr>
        <w:t>UPIC</w:t>
      </w:r>
      <w:r>
        <w:rPr>
          <w:rFonts w:ascii="Arial" w:cs="Arial" w:eastAsia="Arial" w:hAnsi="Arial"/>
          <w:sz w:val="16"/>
          <w:szCs w:val="16"/>
          <w:b w:val="1"/>
          <w:bCs w:val="1"/>
          <w:i w:val="1"/>
          <w:iCs w:val="1"/>
          <w:color w:val="212529"/>
        </w:rPr>
        <w:t xml:space="preserve"> </w:t>
      </w:r>
      <w:r>
        <w:rPr>
          <w:rFonts w:ascii="Arial" w:cs="Arial" w:eastAsia="Arial" w:hAnsi="Arial"/>
          <w:sz w:val="16"/>
          <w:szCs w:val="16"/>
          <w:color w:val="000000"/>
        </w:rPr>
        <w:t>suspended one of our independent operating subsidiary’s rights to submit claims to and obtain reimbursement from Medicare for its hospice agency services. The suspension concluded in May 2022 and Medicare has resumed payment on new claims submitted by the agency. The payments suspended as of June 30, 2022 total $5.2 million and represent all Medicare payments due to that independent operating subsidiary’s provider number during the suspension. During the suspension, the UPIC reviewed 107 patient records from a 10-month period to determine whether a Medicare overpayment was made to this independent operating subsidiary and whether repayment of any identified overpayment is due. Based on the results of it claim review, the UPIC alleged overpayments of $5.2 million based upon its sampled and extrapolated data. In September and October 2022, the Company submitted requests for redetermination of the alleged overpayments. In October 2022, the Company received a redetermination decision from the UPIC relating to one of the four claim samples. The UPIC reversed its overpayment allegation with regard to 50% of the claims reviewed. The Company plans to continue to contest the UPIC’s initial overpayment determination for the claim samples redetermined adversely to the Company.</w:t>
      </w:r>
    </w:p>
    <w:p>
      <w:pPr>
        <w:spacing w:after="0" w:line="195"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This suspension and overpayment allegation may increase the likelihood that this or other of our independent operating subsidiaries may be subjected to additional scrutiny in the future. Additionally, the UPIC may review patient records from one or more of our other independent operating subsidiaries, which may lead to other of our independent operating subsidiaries’ hospice agencies having their Medicare payments suspended, whether temporarily or on an indefinite or permanent basis, potentially leading to their closure and resulting adverse impacts on our revenues and profits.</w:t>
      </w:r>
    </w:p>
    <w:p>
      <w:pPr>
        <w:spacing w:after="0" w:line="184" w:lineRule="exact"/>
        <w:rPr>
          <w:sz w:val="20"/>
          <w:szCs w:val="20"/>
          <w:color w:val="auto"/>
        </w:rPr>
      </w:pPr>
    </w:p>
    <w:p>
      <w:pPr>
        <w:jc w:val="both"/>
        <w:spacing w:after="0" w:line="271" w:lineRule="auto"/>
        <w:rPr>
          <w:sz w:val="20"/>
          <w:szCs w:val="20"/>
          <w:color w:val="auto"/>
        </w:rPr>
      </w:pPr>
      <w:r>
        <w:rPr>
          <w:rFonts w:ascii="Arial" w:cs="Arial" w:eastAsia="Arial" w:hAnsi="Arial"/>
          <w:sz w:val="17"/>
          <w:szCs w:val="17"/>
          <w:b w:val="1"/>
          <w:bCs w:val="1"/>
          <w:i w:val="1"/>
          <w:iCs w:val="1"/>
          <w:color w:val="212529"/>
        </w:rPr>
        <w:t xml:space="preserve">The expiration of COVID-19 Emergency Waivers could result in increased expenses. </w:t>
      </w:r>
      <w:r>
        <w:rPr>
          <w:rFonts w:ascii="Arial" w:cs="Arial" w:eastAsia="Arial" w:hAnsi="Arial"/>
          <w:sz w:val="17"/>
          <w:szCs w:val="17"/>
          <w:color w:val="000000"/>
        </w:rPr>
        <w:t>Seven Emergency Waivers relating to the public health emergency</w:t>
      </w:r>
      <w:r>
        <w:rPr>
          <w:rFonts w:ascii="Arial" w:cs="Arial" w:eastAsia="Arial" w:hAnsi="Arial"/>
          <w:sz w:val="17"/>
          <w:szCs w:val="17"/>
          <w:b w:val="1"/>
          <w:bCs w:val="1"/>
          <w:i w:val="1"/>
          <w:iCs w:val="1"/>
          <w:color w:val="212529"/>
        </w:rPr>
        <w:t xml:space="preserve"> </w:t>
      </w:r>
      <w:r>
        <w:rPr>
          <w:rFonts w:ascii="Arial" w:cs="Arial" w:eastAsia="Arial" w:hAnsi="Arial"/>
          <w:sz w:val="17"/>
          <w:szCs w:val="17"/>
          <w:color w:val="000000"/>
        </w:rPr>
        <w:t>(PHE) expired as of May 7, 2022 and nine more expired on June 6, 2022. These include waivers relating to core services, reimbursement, staffing, and conditions of payment. In September 2022 HHS announced that certain additional waivers specific to home health and hospice would expire when the public health emergency designation is no longer renewed. HHS last renewed the PHE on October 13, 2022, which is scheduled to expire on January 11, 2023. HHS has previously indicated that it would provide 60 days’ advance notice prior to the expiration of the PHE, and thus far has not provided such notice that it will allow the PHE to expire. The expiration of the Emergency Waivers may materially affect reimbursement for our services, telehealth flexibility, availability of staff, expenses incurred for inspection, testing, and maintenance of equipment, our occupancy and lodging of residents and patients, and ultimately the revenues and profits we derive from our operations.</w:t>
      </w:r>
    </w:p>
    <w:p>
      <w:pPr>
        <w:spacing w:after="0" w:line="205" w:lineRule="exact"/>
        <w:rPr>
          <w:sz w:val="20"/>
          <w:szCs w:val="20"/>
          <w:color w:val="auto"/>
        </w:rPr>
      </w:pPr>
    </w:p>
    <w:p>
      <w:pPr>
        <w:jc w:val="both"/>
        <w:spacing w:after="0" w:line="272" w:lineRule="auto"/>
        <w:rPr>
          <w:sz w:val="20"/>
          <w:szCs w:val="20"/>
          <w:color w:val="auto"/>
        </w:rPr>
      </w:pPr>
      <w:r>
        <w:rPr>
          <w:rFonts w:ascii="Arial" w:cs="Arial" w:eastAsia="Arial" w:hAnsi="Arial"/>
          <w:sz w:val="17"/>
          <w:szCs w:val="17"/>
          <w:b w:val="1"/>
          <w:bCs w:val="1"/>
          <w:i w:val="1"/>
          <w:iCs w:val="1"/>
          <w:color w:val="212529"/>
        </w:rPr>
        <w:t xml:space="preserve">The reduction of Medicare reimbursement our Independent Operating Subsidiaries receive may result in reduced revenues. </w:t>
      </w:r>
      <w:r>
        <w:rPr>
          <w:rFonts w:ascii="Arial" w:cs="Arial" w:eastAsia="Arial" w:hAnsi="Arial"/>
          <w:sz w:val="17"/>
          <w:szCs w:val="17"/>
          <w:color w:val="000000"/>
        </w:rPr>
        <w:t>As discussed in Part I under</w:t>
      </w:r>
      <w:r>
        <w:rPr>
          <w:rFonts w:ascii="Arial" w:cs="Arial" w:eastAsia="Arial" w:hAnsi="Arial"/>
          <w:sz w:val="17"/>
          <w:szCs w:val="17"/>
          <w:b w:val="1"/>
          <w:bCs w:val="1"/>
          <w:i w:val="1"/>
          <w:iCs w:val="1"/>
          <w:color w:val="212529"/>
        </w:rPr>
        <w:t xml:space="preserve"> </w:t>
      </w:r>
      <w:r>
        <w:rPr>
          <w:rFonts w:ascii="Arial" w:cs="Arial" w:eastAsia="Arial" w:hAnsi="Arial"/>
          <w:sz w:val="17"/>
          <w:szCs w:val="17"/>
          <w:color w:val="000000"/>
        </w:rPr>
        <w:t>Item 2, within the section titled Government Regulations, new payment rules may affect the reimbursement the Company’s independent operating subsidiaries receive, potentially affecting our revenues and profits. The Hospice Payment Final Rule provides an increase of 3.8% in the total cap amount allowed for hospice services in 2023, but reduces reimbursement for other services between 2.0% and 4.0% beginning in 2024 for hospice providers that fail to satisfy certain quality reporting metrics. Similarly, the 2023 Home Health Prospective Payment System Rate Update Final Rule provides a permanent decrease of 3.9% to the home health 30-day period standard payment rate due to anticipated changes in connection with PDGM, with exceptions only for LUPAs. Future rate decreases may significantly reduce the Medicare</w:t>
      </w:r>
    </w:p>
    <w:p>
      <w:pPr>
        <w:spacing w:after="0" w:line="200" w:lineRule="exact"/>
        <w:rPr>
          <w:sz w:val="20"/>
          <w:szCs w:val="20"/>
          <w:color w:val="auto"/>
        </w:rPr>
      </w:pPr>
    </w:p>
    <w:p>
      <w:pPr>
        <w:spacing w:after="0" w:line="3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8" w:name="page49"/>
    <w:bookmarkEnd w:id="48"/>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63"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reimbursement made available for home health agencies in 2024 and the future, and may cause a material adverse effect on the revenues and profits of the Company and its independent operating subsidiaries</w:t>
      </w:r>
    </w:p>
    <w:p>
      <w:pPr>
        <w:spacing w:after="0" w:line="200" w:lineRule="exact"/>
        <w:rPr>
          <w:sz w:val="20"/>
          <w:szCs w:val="20"/>
          <w:color w:val="auto"/>
        </w:rPr>
      </w:pPr>
    </w:p>
    <w:p>
      <w:pPr>
        <w:spacing w:after="0" w:line="3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49" w:name="page50"/>
    <w:bookmarkEnd w:id="49"/>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Exhibits</w:t>
      </w:r>
    </w:p>
    <w:p>
      <w:pPr>
        <w:spacing w:after="0" w:line="252" w:lineRule="exact"/>
        <w:rPr>
          <w:sz w:val="20"/>
          <w:szCs w:val="20"/>
          <w:color w:val="auto"/>
        </w:rPr>
      </w:pPr>
    </w:p>
    <w:tbl>
      <w:tblPr>
        <w:tblLayout w:type="fixed"/>
        <w:tblInd w:w="40" w:type="dxa"/>
        <w:tblCellMar>
          <w:top w:w="0" w:type="dxa"/>
          <w:left w:w="0" w:type="dxa"/>
          <w:bottom w:w="0" w:type="dxa"/>
          <w:right w:w="0" w:type="dxa"/>
        </w:tblCellMar>
      </w:tblPr>
      <w:tr>
        <w:trPr>
          <w:trHeight w:val="234"/>
        </w:trPr>
        <w:tc>
          <w:tcPr>
            <w:tcW w:w="6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100" w:type="dxa"/>
            <w:vAlign w:val="bottom"/>
          </w:tcPr>
          <w:p>
            <w:pPr>
              <w:ind w:left="3800"/>
              <w:spacing w:after="0"/>
              <w:rPr>
                <w:sz w:val="20"/>
                <w:szCs w:val="20"/>
                <w:color w:val="auto"/>
              </w:rPr>
            </w:pPr>
            <w:r>
              <w:rPr>
                <w:rFonts w:ascii="Arial" w:cs="Arial" w:eastAsia="Arial" w:hAnsi="Arial"/>
                <w:sz w:val="18"/>
                <w:szCs w:val="18"/>
                <w:b w:val="1"/>
                <w:bCs w:val="1"/>
                <w:color w:val="auto"/>
              </w:rPr>
              <w:t>EXHIBIT INDEX</w:t>
            </w:r>
          </w:p>
        </w:tc>
      </w:tr>
      <w:tr>
        <w:trPr>
          <w:trHeight w:val="257"/>
        </w:trPr>
        <w:tc>
          <w:tcPr>
            <w:tcW w:w="1080" w:type="dxa"/>
            <w:vAlign w:val="bottom"/>
            <w:gridSpan w:val="5"/>
          </w:tcPr>
          <w:p>
            <w:pPr>
              <w:ind w:left="220"/>
              <w:spacing w:after="0"/>
              <w:rPr>
                <w:sz w:val="20"/>
                <w:szCs w:val="20"/>
                <w:color w:val="auto"/>
              </w:rPr>
            </w:pPr>
            <w:r>
              <w:rPr>
                <w:rFonts w:ascii="Arial" w:cs="Arial" w:eastAsia="Arial" w:hAnsi="Arial"/>
                <w:sz w:val="18"/>
                <w:szCs w:val="18"/>
                <w:color w:val="auto"/>
              </w:rPr>
              <w:t>Exhibit</w:t>
            </w:r>
          </w:p>
        </w:tc>
        <w:tc>
          <w:tcPr>
            <w:tcW w:w="10100" w:type="dxa"/>
            <w:vAlign w:val="bottom"/>
          </w:tcPr>
          <w:p>
            <w:pPr>
              <w:spacing w:after="0"/>
              <w:rPr>
                <w:sz w:val="20"/>
                <w:szCs w:val="20"/>
                <w:color w:val="auto"/>
              </w:rPr>
            </w:pPr>
            <w:r>
              <w:rPr>
                <w:rFonts w:ascii="Arial" w:cs="Arial" w:eastAsia="Arial" w:hAnsi="Arial"/>
                <w:sz w:val="18"/>
                <w:szCs w:val="18"/>
                <w:color w:val="auto"/>
              </w:rPr>
              <w:t>Description</w:t>
            </w:r>
          </w:p>
        </w:tc>
      </w:tr>
      <w:tr>
        <w:trPr>
          <w:trHeight w:val="223"/>
        </w:trPr>
        <w:tc>
          <w:tcPr>
            <w:tcW w:w="940" w:type="dxa"/>
            <w:vAlign w:val="bottom"/>
            <w:tcBorders>
              <w:top w:val="single" w:sz="8" w:color="auto"/>
            </w:tcBorders>
            <w:gridSpan w:val="3"/>
          </w:tcPr>
          <w:p>
            <w:pPr>
              <w:jc w:val="right"/>
              <w:spacing w:after="0"/>
              <w:rPr>
                <w:rFonts w:ascii="Arial" w:cs="Arial" w:eastAsia="Arial" w:hAnsi="Arial"/>
                <w:sz w:val="18"/>
                <w:szCs w:val="18"/>
                <w:color w:val="0000FF"/>
              </w:rPr>
            </w:pPr>
            <w:hyperlink r:id="rId63">
              <w:r>
                <w:rPr>
                  <w:rFonts w:ascii="Arial" w:cs="Arial" w:eastAsia="Arial" w:hAnsi="Arial"/>
                  <w:sz w:val="18"/>
                  <w:szCs w:val="18"/>
                  <w:color w:val="0000FF"/>
                </w:rPr>
                <w:t>3.</w:t>
              </w:r>
              <w:r>
                <w:rPr>
                  <w:rFonts w:ascii="Arial" w:cs="Arial" w:eastAsia="Arial" w:hAnsi="Arial"/>
                  <w:sz w:val="18"/>
                  <w:szCs w:val="18"/>
                  <w:u w:val="single" w:color="auto"/>
                  <w:color w:val="0000FF"/>
                </w:rPr>
                <w:t>1</w:t>
              </w:r>
            </w:hyperlink>
          </w:p>
        </w:tc>
        <w:tc>
          <w:tcPr>
            <w:tcW w:w="2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0100" w:type="dxa"/>
            <w:vAlign w:val="bottom"/>
            <w:tcBorders>
              <w:top w:val="single" w:sz="8" w:color="auto"/>
            </w:tcBorders>
          </w:tcPr>
          <w:p>
            <w:pPr>
              <w:spacing w:after="0"/>
              <w:rPr>
                <w:sz w:val="20"/>
                <w:szCs w:val="20"/>
                <w:color w:val="auto"/>
              </w:rPr>
            </w:pPr>
            <w:r>
              <w:rPr>
                <w:rFonts w:ascii="Arial" w:cs="Arial" w:eastAsia="Arial" w:hAnsi="Arial"/>
                <w:sz w:val="18"/>
                <w:szCs w:val="18"/>
                <w:color w:val="auto"/>
                <w:w w:val="95"/>
              </w:rPr>
              <w:t>Amended and Restated Certificate of Incorporation of The Pennant Group, Inc., effective as of September 27, 2019 (incorporated by</w:t>
            </w:r>
          </w:p>
        </w:tc>
      </w:tr>
      <w:tr>
        <w:trPr>
          <w:trHeight w:val="155"/>
        </w:trPr>
        <w:tc>
          <w:tcPr>
            <w:tcW w:w="6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Borders>
              <w:top w:val="single" w:sz="8" w:color="0000FF"/>
            </w:tcBorders>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100" w:type="dxa"/>
            <w:vAlign w:val="bottom"/>
          </w:tcPr>
          <w:p>
            <w:pPr>
              <w:spacing w:after="0" w:line="154" w:lineRule="exact"/>
              <w:rPr>
                <w:sz w:val="20"/>
                <w:szCs w:val="20"/>
                <w:color w:val="auto"/>
              </w:rPr>
            </w:pPr>
            <w:r>
              <w:rPr>
                <w:rFonts w:ascii="Arial" w:cs="Arial" w:eastAsia="Arial" w:hAnsi="Arial"/>
                <w:sz w:val="17"/>
                <w:szCs w:val="17"/>
                <w:color w:val="auto"/>
                <w:w w:val="98"/>
              </w:rPr>
              <w:t>reference to Exhibit 3.1 to The Pennant Group, Inc.’s Current Report on Form 8-K (File No. 001-38900) filed with the SEC on October 3,</w:t>
            </w:r>
          </w:p>
        </w:tc>
      </w:tr>
      <w:tr>
        <w:trPr>
          <w:trHeight w:val="230"/>
        </w:trPr>
        <w:tc>
          <w:tcPr>
            <w:tcW w:w="6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100" w:type="dxa"/>
            <w:vAlign w:val="bottom"/>
          </w:tcPr>
          <w:p>
            <w:pPr>
              <w:spacing w:after="0"/>
              <w:rPr>
                <w:sz w:val="20"/>
                <w:szCs w:val="20"/>
                <w:color w:val="auto"/>
              </w:rPr>
            </w:pPr>
            <w:r>
              <w:rPr>
                <w:rFonts w:ascii="Arial" w:cs="Arial" w:eastAsia="Arial" w:hAnsi="Arial"/>
                <w:sz w:val="18"/>
                <w:szCs w:val="18"/>
                <w:color w:val="auto"/>
              </w:rPr>
              <w:t>2019).</w:t>
            </w:r>
          </w:p>
        </w:tc>
      </w:tr>
      <w:tr>
        <w:trPr>
          <w:trHeight w:val="243"/>
        </w:trPr>
        <w:tc>
          <w:tcPr>
            <w:tcW w:w="940" w:type="dxa"/>
            <w:vAlign w:val="bottom"/>
            <w:gridSpan w:val="3"/>
          </w:tcPr>
          <w:p>
            <w:pPr>
              <w:jc w:val="right"/>
              <w:spacing w:after="0"/>
              <w:rPr>
                <w:rFonts w:ascii="Arial" w:cs="Arial" w:eastAsia="Arial" w:hAnsi="Arial"/>
                <w:sz w:val="18"/>
                <w:szCs w:val="18"/>
                <w:color w:val="0000FF"/>
              </w:rPr>
            </w:pPr>
            <w:hyperlink r:id="rId64">
              <w:r>
                <w:rPr>
                  <w:rFonts w:ascii="Arial" w:cs="Arial" w:eastAsia="Arial" w:hAnsi="Arial"/>
                  <w:sz w:val="18"/>
                  <w:szCs w:val="18"/>
                  <w:color w:val="0000FF"/>
                </w:rPr>
                <w:t>3.</w:t>
              </w:r>
              <w:r>
                <w:rPr>
                  <w:rFonts w:ascii="Arial" w:cs="Arial" w:eastAsia="Arial" w:hAnsi="Arial"/>
                  <w:sz w:val="18"/>
                  <w:szCs w:val="18"/>
                  <w:u w:val="single" w:color="auto"/>
                  <w:color w:val="0000FF"/>
                </w:rPr>
                <w:t>2</w:t>
              </w:r>
            </w:hyperlink>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100" w:type="dxa"/>
            <w:vAlign w:val="bottom"/>
          </w:tcPr>
          <w:p>
            <w:pPr>
              <w:spacing w:after="0"/>
              <w:rPr>
                <w:sz w:val="20"/>
                <w:szCs w:val="20"/>
                <w:color w:val="auto"/>
              </w:rPr>
            </w:pPr>
            <w:r>
              <w:rPr>
                <w:rFonts w:ascii="Arial" w:cs="Arial" w:eastAsia="Arial" w:hAnsi="Arial"/>
                <w:sz w:val="18"/>
                <w:szCs w:val="18"/>
                <w:color w:val="auto"/>
                <w:w w:val="91"/>
              </w:rPr>
              <w:t>Second Amended and Restated By-laws of The Pennant Group, Inc. (incorporated by reference to Exhibit 3.1 to The Pennant Group, Inc.’s</w:t>
            </w:r>
          </w:p>
        </w:tc>
      </w:tr>
      <w:tr>
        <w:trPr>
          <w:trHeight w:val="210"/>
        </w:trPr>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Borders>
              <w:top w:val="single" w:sz="8" w:color="0000FF"/>
            </w:tcBorders>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100" w:type="dxa"/>
            <w:vAlign w:val="bottom"/>
          </w:tcPr>
          <w:p>
            <w:pPr>
              <w:spacing w:after="0"/>
              <w:rPr>
                <w:sz w:val="20"/>
                <w:szCs w:val="20"/>
                <w:color w:val="auto"/>
              </w:rPr>
            </w:pPr>
            <w:r>
              <w:rPr>
                <w:rFonts w:ascii="Arial" w:cs="Arial" w:eastAsia="Arial" w:hAnsi="Arial"/>
                <w:sz w:val="18"/>
                <w:szCs w:val="18"/>
                <w:color w:val="auto"/>
              </w:rPr>
              <w:t>Current Report on Form 8-K (File No. 001-38900) filed with the SEC on February 22, 2002)</w:t>
            </w:r>
          </w:p>
        </w:tc>
      </w:tr>
      <w:tr>
        <w:trPr>
          <w:trHeight w:val="242"/>
        </w:trPr>
        <w:tc>
          <w:tcPr>
            <w:tcW w:w="940" w:type="dxa"/>
            <w:vAlign w:val="bottom"/>
            <w:gridSpan w:val="3"/>
          </w:tcPr>
          <w:p>
            <w:pPr>
              <w:jc w:val="right"/>
              <w:spacing w:after="0"/>
              <w:rPr>
                <w:rFonts w:ascii="Arial" w:cs="Arial" w:eastAsia="Arial" w:hAnsi="Arial"/>
                <w:sz w:val="18"/>
                <w:szCs w:val="18"/>
                <w:color w:val="0000FF"/>
              </w:rPr>
            </w:pPr>
            <w:hyperlink r:id="rId65">
              <w:r>
                <w:rPr>
                  <w:rFonts w:ascii="Arial" w:cs="Arial" w:eastAsia="Arial" w:hAnsi="Arial"/>
                  <w:sz w:val="18"/>
                  <w:szCs w:val="18"/>
                  <w:color w:val="0000FF"/>
                </w:rPr>
                <w:t>10.</w:t>
              </w:r>
              <w:r>
                <w:rPr>
                  <w:rFonts w:ascii="Arial" w:cs="Arial" w:eastAsia="Arial" w:hAnsi="Arial"/>
                  <w:sz w:val="18"/>
                  <w:szCs w:val="18"/>
                  <w:u w:val="single" w:color="auto"/>
                  <w:color w:val="0000FF"/>
                </w:rPr>
                <w:t>1</w:t>
              </w:r>
            </w:hyperlink>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100" w:type="dxa"/>
            <w:vAlign w:val="bottom"/>
          </w:tcPr>
          <w:p>
            <w:pPr>
              <w:spacing w:after="0"/>
              <w:rPr>
                <w:sz w:val="20"/>
                <w:szCs w:val="20"/>
                <w:color w:val="auto"/>
              </w:rPr>
            </w:pPr>
            <w:r>
              <w:rPr>
                <w:rFonts w:ascii="Arial" w:cs="Arial" w:eastAsia="Arial" w:hAnsi="Arial"/>
                <w:sz w:val="18"/>
                <w:szCs w:val="18"/>
                <w:color w:val="auto"/>
                <w:w w:val="92"/>
              </w:rPr>
              <w:t>Consulting Agreement, dated July 25, 2022, between The Pennant Group, Inc. and Daniel H Walker (incorporated by reference to Exhibit</w:t>
            </w:r>
          </w:p>
        </w:tc>
      </w:tr>
      <w:tr>
        <w:trPr>
          <w:trHeight w:val="210"/>
        </w:trPr>
        <w:tc>
          <w:tcPr>
            <w:tcW w:w="620" w:type="dxa"/>
            <w:vAlign w:val="bottom"/>
          </w:tcPr>
          <w:p>
            <w:pPr>
              <w:spacing w:after="0"/>
              <w:rPr>
                <w:sz w:val="18"/>
                <w:szCs w:val="18"/>
                <w:color w:val="auto"/>
              </w:rPr>
            </w:pPr>
          </w:p>
        </w:tc>
        <w:tc>
          <w:tcPr>
            <w:tcW w:w="100" w:type="dxa"/>
            <w:vAlign w:val="bottom"/>
            <w:tcBorders>
              <w:top w:val="single" w:sz="8" w:color="0000FF"/>
            </w:tcBorders>
          </w:tcPr>
          <w:p>
            <w:pPr>
              <w:spacing w:after="0"/>
              <w:rPr>
                <w:sz w:val="18"/>
                <w:szCs w:val="18"/>
                <w:color w:val="auto"/>
              </w:rPr>
            </w:pPr>
          </w:p>
        </w:tc>
        <w:tc>
          <w:tcPr>
            <w:tcW w:w="220" w:type="dxa"/>
            <w:vAlign w:val="bottom"/>
            <w:tcBorders>
              <w:top w:val="single" w:sz="8" w:color="0000FF"/>
            </w:tcBorders>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100" w:type="dxa"/>
            <w:vAlign w:val="bottom"/>
          </w:tcPr>
          <w:p>
            <w:pPr>
              <w:spacing w:after="0"/>
              <w:rPr>
                <w:sz w:val="20"/>
                <w:szCs w:val="20"/>
                <w:color w:val="auto"/>
              </w:rPr>
            </w:pPr>
            <w:r>
              <w:rPr>
                <w:rFonts w:ascii="Arial" w:cs="Arial" w:eastAsia="Arial" w:hAnsi="Arial"/>
                <w:sz w:val="18"/>
                <w:szCs w:val="18"/>
                <w:color w:val="auto"/>
              </w:rPr>
              <w:t>10.1 to The Pennant Group, Inc.’s Current Report on Form 8-K (File No. 001-38900) filed with the SEC on July 29, 2002)</w:t>
            </w:r>
          </w:p>
        </w:tc>
      </w:tr>
      <w:tr>
        <w:trPr>
          <w:trHeight w:val="242"/>
        </w:trPr>
        <w:tc>
          <w:tcPr>
            <w:tcW w:w="940" w:type="dxa"/>
            <w:vAlign w:val="bottom"/>
            <w:gridSpan w:val="3"/>
          </w:tcPr>
          <w:p>
            <w:pPr>
              <w:jc w:val="right"/>
              <w:spacing w:after="0"/>
              <w:rPr>
                <w:rFonts w:ascii="Arial" w:cs="Arial" w:eastAsia="Arial" w:hAnsi="Arial"/>
                <w:sz w:val="18"/>
                <w:szCs w:val="18"/>
                <w:color w:val="0000FF"/>
              </w:rPr>
            </w:pPr>
            <w:hyperlink r:id="rId66">
              <w:r>
                <w:rPr>
                  <w:rFonts w:ascii="Arial" w:cs="Arial" w:eastAsia="Arial" w:hAnsi="Arial"/>
                  <w:sz w:val="18"/>
                  <w:szCs w:val="18"/>
                  <w:color w:val="0000FF"/>
                </w:rPr>
                <w:t>10.</w:t>
              </w:r>
              <w:r>
                <w:rPr>
                  <w:rFonts w:ascii="Arial" w:cs="Arial" w:eastAsia="Arial" w:hAnsi="Arial"/>
                  <w:sz w:val="18"/>
                  <w:szCs w:val="18"/>
                  <w:u w:val="single" w:color="auto"/>
                  <w:color w:val="0000FF"/>
                </w:rPr>
                <w:t>2</w:t>
              </w:r>
            </w:hyperlink>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100" w:type="dxa"/>
            <w:vAlign w:val="bottom"/>
          </w:tcPr>
          <w:p>
            <w:pPr>
              <w:spacing w:after="0"/>
              <w:rPr>
                <w:sz w:val="20"/>
                <w:szCs w:val="20"/>
                <w:color w:val="auto"/>
              </w:rPr>
            </w:pPr>
            <w:r>
              <w:rPr>
                <w:rFonts w:ascii="Arial" w:cs="Arial" w:eastAsia="Arial" w:hAnsi="Arial"/>
                <w:sz w:val="18"/>
                <w:szCs w:val="18"/>
                <w:color w:val="auto"/>
              </w:rPr>
              <w:t>Amendment to Restricted Stock Unit Agreement, dated July 25, 2022, between The Pennant Group, Inc. and Daniel H Walker</w:t>
            </w:r>
          </w:p>
        </w:tc>
      </w:tr>
      <w:tr>
        <w:trPr>
          <w:trHeight w:val="155"/>
        </w:trPr>
        <w:tc>
          <w:tcPr>
            <w:tcW w:w="620" w:type="dxa"/>
            <w:vAlign w:val="bottom"/>
          </w:tcPr>
          <w:p>
            <w:pPr>
              <w:spacing w:after="0"/>
              <w:rPr>
                <w:sz w:val="13"/>
                <w:szCs w:val="13"/>
                <w:color w:val="auto"/>
              </w:rPr>
            </w:pPr>
          </w:p>
        </w:tc>
        <w:tc>
          <w:tcPr>
            <w:tcW w:w="100" w:type="dxa"/>
            <w:vAlign w:val="bottom"/>
            <w:tcBorders>
              <w:top w:val="single" w:sz="8" w:color="0000FF"/>
            </w:tcBorders>
          </w:tcPr>
          <w:p>
            <w:pPr>
              <w:spacing w:after="0"/>
              <w:rPr>
                <w:sz w:val="13"/>
                <w:szCs w:val="13"/>
                <w:color w:val="auto"/>
              </w:rPr>
            </w:pPr>
          </w:p>
        </w:tc>
        <w:tc>
          <w:tcPr>
            <w:tcW w:w="220" w:type="dxa"/>
            <w:vAlign w:val="bottom"/>
            <w:tcBorders>
              <w:top w:val="single" w:sz="8" w:color="0000FF"/>
            </w:tcBorders>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100" w:type="dxa"/>
            <w:vAlign w:val="bottom"/>
          </w:tcPr>
          <w:p>
            <w:pPr>
              <w:spacing w:after="0" w:line="154" w:lineRule="exact"/>
              <w:rPr>
                <w:sz w:val="20"/>
                <w:szCs w:val="20"/>
                <w:color w:val="auto"/>
              </w:rPr>
            </w:pPr>
            <w:r>
              <w:rPr>
                <w:rFonts w:ascii="Arial" w:cs="Arial" w:eastAsia="Arial" w:hAnsi="Arial"/>
                <w:sz w:val="17"/>
                <w:szCs w:val="17"/>
                <w:color w:val="auto"/>
                <w:w w:val="99"/>
              </w:rPr>
              <w:t>(incorporated by reference to Exhibit 10.2 to The Pennant Group, Inc.’s Current Report on Form 8-K (File No. 001-38900) filed with the</w:t>
            </w:r>
          </w:p>
        </w:tc>
      </w:tr>
      <w:tr>
        <w:trPr>
          <w:trHeight w:val="230"/>
        </w:trPr>
        <w:tc>
          <w:tcPr>
            <w:tcW w:w="6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100" w:type="dxa"/>
            <w:vAlign w:val="bottom"/>
          </w:tcPr>
          <w:p>
            <w:pPr>
              <w:spacing w:after="0"/>
              <w:rPr>
                <w:sz w:val="20"/>
                <w:szCs w:val="20"/>
                <w:color w:val="auto"/>
              </w:rPr>
            </w:pPr>
            <w:r>
              <w:rPr>
                <w:rFonts w:ascii="Arial" w:cs="Arial" w:eastAsia="Arial" w:hAnsi="Arial"/>
                <w:sz w:val="18"/>
                <w:szCs w:val="18"/>
                <w:color w:val="auto"/>
              </w:rPr>
              <w:t>SEC on July 29, 2002)</w:t>
            </w:r>
          </w:p>
        </w:tc>
      </w:tr>
      <w:tr>
        <w:trPr>
          <w:trHeight w:val="243"/>
        </w:trPr>
        <w:tc>
          <w:tcPr>
            <w:tcW w:w="620" w:type="dxa"/>
            <w:vAlign w:val="bottom"/>
          </w:tcPr>
          <w:p>
            <w:pPr>
              <w:spacing w:after="0"/>
              <w:rPr>
                <w:sz w:val="21"/>
                <w:szCs w:val="21"/>
                <w:color w:val="auto"/>
              </w:rPr>
            </w:pPr>
          </w:p>
        </w:tc>
        <w:tc>
          <w:tcPr>
            <w:tcW w:w="320" w:type="dxa"/>
            <w:vAlign w:val="bottom"/>
            <w:tcBorders>
              <w:bottom w:val="single" w:sz="8" w:color="0000FF"/>
            </w:tcBorders>
            <w:gridSpan w:val="2"/>
          </w:tcPr>
          <w:p>
            <w:pPr>
              <w:jc w:val="right"/>
              <w:spacing w:after="0"/>
              <w:rPr>
                <w:sz w:val="20"/>
                <w:szCs w:val="20"/>
                <w:color w:val="auto"/>
              </w:rPr>
            </w:pPr>
            <w:r>
              <w:rPr>
                <w:rFonts w:ascii="Arial" w:cs="Arial" w:eastAsia="Arial" w:hAnsi="Arial"/>
                <w:sz w:val="18"/>
                <w:szCs w:val="18"/>
                <w:color w:val="0000FF"/>
                <w:w w:val="85"/>
              </w:rPr>
              <w:t>31.</w:t>
            </w:r>
            <w:r>
              <w:rPr>
                <w:rFonts w:ascii="Arial" w:cs="Arial" w:eastAsia="Arial" w:hAnsi="Arial"/>
                <w:sz w:val="18"/>
                <w:szCs w:val="18"/>
                <w:u w:val="single" w:color="auto"/>
                <w:color w:val="0000FF"/>
                <w:w w:val="85"/>
              </w:rPr>
              <w:t>1</w:t>
            </w: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100" w:type="dxa"/>
            <w:vAlign w:val="bottom"/>
          </w:tcPr>
          <w:p>
            <w:pPr>
              <w:spacing w:after="0"/>
              <w:rPr>
                <w:sz w:val="20"/>
                <w:szCs w:val="20"/>
                <w:color w:val="auto"/>
              </w:rPr>
            </w:pPr>
            <w:r>
              <w:rPr>
                <w:rFonts w:ascii="Arial" w:cs="Arial" w:eastAsia="Arial" w:hAnsi="Arial"/>
                <w:sz w:val="18"/>
                <w:szCs w:val="18"/>
                <w:color w:val="auto"/>
              </w:rPr>
              <w:t>Certification of Chief Executive Officer pursuant to Section 302 of the Sarbanes-Oxley Act of 2002</w:t>
            </w:r>
          </w:p>
        </w:tc>
      </w:tr>
      <w:tr>
        <w:trPr>
          <w:trHeight w:val="263"/>
        </w:trPr>
        <w:tc>
          <w:tcPr>
            <w:tcW w:w="620" w:type="dxa"/>
            <w:vAlign w:val="bottom"/>
          </w:tcPr>
          <w:p>
            <w:pPr>
              <w:spacing w:after="0"/>
              <w:rPr>
                <w:sz w:val="22"/>
                <w:szCs w:val="22"/>
                <w:color w:val="auto"/>
              </w:rPr>
            </w:pPr>
          </w:p>
        </w:tc>
        <w:tc>
          <w:tcPr>
            <w:tcW w:w="320" w:type="dxa"/>
            <w:vAlign w:val="bottom"/>
            <w:tcBorders>
              <w:bottom w:val="single" w:sz="8" w:color="0000FF"/>
            </w:tcBorders>
            <w:gridSpan w:val="2"/>
          </w:tcPr>
          <w:p>
            <w:pPr>
              <w:jc w:val="right"/>
              <w:spacing w:after="0"/>
              <w:rPr>
                <w:sz w:val="20"/>
                <w:szCs w:val="20"/>
                <w:color w:val="auto"/>
              </w:rPr>
            </w:pPr>
            <w:r>
              <w:rPr>
                <w:rFonts w:ascii="Arial" w:cs="Arial" w:eastAsia="Arial" w:hAnsi="Arial"/>
                <w:sz w:val="18"/>
                <w:szCs w:val="18"/>
                <w:color w:val="0000FF"/>
                <w:w w:val="85"/>
              </w:rPr>
              <w:t>31.</w:t>
            </w:r>
            <w:r>
              <w:rPr>
                <w:rFonts w:ascii="Arial" w:cs="Arial" w:eastAsia="Arial" w:hAnsi="Arial"/>
                <w:sz w:val="18"/>
                <w:szCs w:val="18"/>
                <w:u w:val="single" w:color="auto"/>
                <w:color w:val="0000FF"/>
                <w:w w:val="85"/>
              </w:rPr>
              <w:t>2</w:t>
            </w:r>
          </w:p>
        </w:tc>
        <w:tc>
          <w:tcPr>
            <w:tcW w:w="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100" w:type="dxa"/>
            <w:vAlign w:val="bottom"/>
          </w:tcPr>
          <w:p>
            <w:pPr>
              <w:spacing w:after="0"/>
              <w:rPr>
                <w:sz w:val="20"/>
                <w:szCs w:val="20"/>
                <w:color w:val="auto"/>
              </w:rPr>
            </w:pPr>
            <w:r>
              <w:rPr>
                <w:rFonts w:ascii="Arial" w:cs="Arial" w:eastAsia="Arial" w:hAnsi="Arial"/>
                <w:sz w:val="18"/>
                <w:szCs w:val="18"/>
                <w:color w:val="auto"/>
              </w:rPr>
              <w:t>Certification of Chief Financial Officer pursuant to Section 302 of the Sarbanes-Oxley Act of 2002</w:t>
            </w:r>
          </w:p>
        </w:tc>
      </w:tr>
      <w:tr>
        <w:trPr>
          <w:trHeight w:val="263"/>
        </w:trPr>
        <w:tc>
          <w:tcPr>
            <w:tcW w:w="620" w:type="dxa"/>
            <w:vAlign w:val="bottom"/>
          </w:tcPr>
          <w:p>
            <w:pPr>
              <w:spacing w:after="0"/>
              <w:rPr>
                <w:sz w:val="22"/>
                <w:szCs w:val="22"/>
                <w:color w:val="auto"/>
              </w:rPr>
            </w:pPr>
          </w:p>
        </w:tc>
        <w:tc>
          <w:tcPr>
            <w:tcW w:w="320" w:type="dxa"/>
            <w:vAlign w:val="bottom"/>
            <w:tcBorders>
              <w:bottom w:val="single" w:sz="8" w:color="0000FF"/>
            </w:tcBorders>
            <w:gridSpan w:val="2"/>
          </w:tcPr>
          <w:p>
            <w:pPr>
              <w:jc w:val="right"/>
              <w:spacing w:after="0"/>
              <w:rPr>
                <w:sz w:val="20"/>
                <w:szCs w:val="20"/>
                <w:color w:val="auto"/>
              </w:rPr>
            </w:pPr>
            <w:r>
              <w:rPr>
                <w:rFonts w:ascii="Arial" w:cs="Arial" w:eastAsia="Arial" w:hAnsi="Arial"/>
                <w:sz w:val="18"/>
                <w:szCs w:val="18"/>
                <w:color w:val="0000FF"/>
                <w:w w:val="85"/>
              </w:rPr>
              <w:t>32.</w:t>
            </w:r>
            <w:r>
              <w:rPr>
                <w:rFonts w:ascii="Arial" w:cs="Arial" w:eastAsia="Arial" w:hAnsi="Arial"/>
                <w:sz w:val="18"/>
                <w:szCs w:val="18"/>
                <w:u w:val="single" w:color="auto"/>
                <w:color w:val="0000FF"/>
                <w:w w:val="85"/>
              </w:rPr>
              <w:t>1</w:t>
            </w:r>
          </w:p>
        </w:tc>
        <w:tc>
          <w:tcPr>
            <w:tcW w:w="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100" w:type="dxa"/>
            <w:vAlign w:val="bottom"/>
          </w:tcPr>
          <w:p>
            <w:pPr>
              <w:spacing w:after="0"/>
              <w:rPr>
                <w:sz w:val="20"/>
                <w:szCs w:val="20"/>
                <w:color w:val="auto"/>
              </w:rPr>
            </w:pPr>
            <w:r>
              <w:rPr>
                <w:rFonts w:ascii="Arial" w:cs="Arial" w:eastAsia="Arial" w:hAnsi="Arial"/>
                <w:sz w:val="18"/>
                <w:szCs w:val="18"/>
                <w:color w:val="auto"/>
              </w:rPr>
              <w:t>Certification of Chief Executive Officer pursuant to Section 906 of the Sarbanes-Oxley Act of 2002</w:t>
            </w:r>
          </w:p>
        </w:tc>
      </w:tr>
      <w:tr>
        <w:trPr>
          <w:trHeight w:val="264"/>
        </w:trPr>
        <w:tc>
          <w:tcPr>
            <w:tcW w:w="620" w:type="dxa"/>
            <w:vAlign w:val="bottom"/>
          </w:tcPr>
          <w:p>
            <w:pPr>
              <w:spacing w:after="0"/>
              <w:rPr>
                <w:sz w:val="22"/>
                <w:szCs w:val="22"/>
                <w:color w:val="auto"/>
              </w:rPr>
            </w:pPr>
          </w:p>
        </w:tc>
        <w:tc>
          <w:tcPr>
            <w:tcW w:w="320" w:type="dxa"/>
            <w:vAlign w:val="bottom"/>
            <w:tcBorders>
              <w:bottom w:val="single" w:sz="8" w:color="0000FF"/>
            </w:tcBorders>
            <w:gridSpan w:val="2"/>
          </w:tcPr>
          <w:p>
            <w:pPr>
              <w:jc w:val="right"/>
              <w:spacing w:after="0"/>
              <w:rPr>
                <w:sz w:val="20"/>
                <w:szCs w:val="20"/>
                <w:color w:val="auto"/>
              </w:rPr>
            </w:pPr>
            <w:r>
              <w:rPr>
                <w:rFonts w:ascii="Arial" w:cs="Arial" w:eastAsia="Arial" w:hAnsi="Arial"/>
                <w:sz w:val="18"/>
                <w:szCs w:val="18"/>
                <w:color w:val="0000FF"/>
                <w:w w:val="85"/>
              </w:rPr>
              <w:t>32.</w:t>
            </w:r>
            <w:r>
              <w:rPr>
                <w:rFonts w:ascii="Arial" w:cs="Arial" w:eastAsia="Arial" w:hAnsi="Arial"/>
                <w:sz w:val="18"/>
                <w:szCs w:val="18"/>
                <w:u w:val="single" w:color="auto"/>
                <w:color w:val="0000FF"/>
                <w:w w:val="85"/>
              </w:rPr>
              <w:t>2</w:t>
            </w:r>
          </w:p>
        </w:tc>
        <w:tc>
          <w:tcPr>
            <w:tcW w:w="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100" w:type="dxa"/>
            <w:vAlign w:val="bottom"/>
          </w:tcPr>
          <w:p>
            <w:pPr>
              <w:spacing w:after="0"/>
              <w:rPr>
                <w:sz w:val="20"/>
                <w:szCs w:val="20"/>
                <w:color w:val="auto"/>
              </w:rPr>
            </w:pPr>
            <w:r>
              <w:rPr>
                <w:rFonts w:ascii="Arial" w:cs="Arial" w:eastAsia="Arial" w:hAnsi="Arial"/>
                <w:sz w:val="18"/>
                <w:szCs w:val="18"/>
                <w:color w:val="auto"/>
              </w:rPr>
              <w:t>Certification of Chief Financial Officer pursuant to Section 906 of the Sarbanes-Oxley Act of 2002</w:t>
            </w:r>
          </w:p>
        </w:tc>
      </w:tr>
      <w:tr>
        <w:trPr>
          <w:trHeight w:val="250"/>
        </w:trPr>
        <w:tc>
          <w:tcPr>
            <w:tcW w:w="1080" w:type="dxa"/>
            <w:vAlign w:val="bottom"/>
            <w:gridSpan w:val="5"/>
          </w:tcPr>
          <w:p>
            <w:pPr>
              <w:jc w:val="right"/>
              <w:ind w:right="140"/>
              <w:spacing w:after="0"/>
              <w:rPr>
                <w:sz w:val="20"/>
                <w:szCs w:val="20"/>
                <w:color w:val="auto"/>
              </w:rPr>
            </w:pPr>
            <w:r>
              <w:rPr>
                <w:rFonts w:ascii="Arial" w:cs="Arial" w:eastAsia="Arial" w:hAnsi="Arial"/>
                <w:sz w:val="18"/>
                <w:szCs w:val="18"/>
                <w:color w:val="auto"/>
              </w:rPr>
              <w:t>101.INS</w:t>
            </w:r>
          </w:p>
        </w:tc>
        <w:tc>
          <w:tcPr>
            <w:tcW w:w="10100" w:type="dxa"/>
            <w:vAlign w:val="bottom"/>
          </w:tcPr>
          <w:p>
            <w:pPr>
              <w:spacing w:after="0"/>
              <w:rPr>
                <w:sz w:val="20"/>
                <w:szCs w:val="20"/>
                <w:color w:val="auto"/>
              </w:rPr>
            </w:pPr>
            <w:r>
              <w:rPr>
                <w:rFonts w:ascii="Arial" w:cs="Arial" w:eastAsia="Arial" w:hAnsi="Arial"/>
                <w:sz w:val="18"/>
                <w:szCs w:val="18"/>
                <w:color w:val="auto"/>
                <w:w w:val="94"/>
              </w:rPr>
              <w:t>XBRL Instance Document - the instance document does not appear in the Interactive Data File because its XBRL tags are embedded</w:t>
            </w:r>
          </w:p>
        </w:tc>
      </w:tr>
      <w:tr>
        <w:trPr>
          <w:trHeight w:val="230"/>
        </w:trPr>
        <w:tc>
          <w:tcPr>
            <w:tcW w:w="6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100" w:type="dxa"/>
            <w:vAlign w:val="bottom"/>
          </w:tcPr>
          <w:p>
            <w:pPr>
              <w:spacing w:after="0"/>
              <w:rPr>
                <w:sz w:val="20"/>
                <w:szCs w:val="20"/>
                <w:color w:val="auto"/>
              </w:rPr>
            </w:pPr>
            <w:r>
              <w:rPr>
                <w:rFonts w:ascii="Arial" w:cs="Arial" w:eastAsia="Arial" w:hAnsi="Arial"/>
                <w:sz w:val="18"/>
                <w:szCs w:val="18"/>
                <w:color w:val="auto"/>
              </w:rPr>
              <w:t>within the Inline XBRL document.</w:t>
            </w:r>
          </w:p>
        </w:tc>
      </w:tr>
      <w:tr>
        <w:trPr>
          <w:trHeight w:val="296"/>
        </w:trPr>
        <w:tc>
          <w:tcPr>
            <w:tcW w:w="1080" w:type="dxa"/>
            <w:vAlign w:val="bottom"/>
            <w:gridSpan w:val="5"/>
          </w:tcPr>
          <w:p>
            <w:pPr>
              <w:jc w:val="right"/>
              <w:ind w:right="140"/>
              <w:spacing w:after="0"/>
              <w:rPr>
                <w:sz w:val="20"/>
                <w:szCs w:val="20"/>
                <w:color w:val="auto"/>
              </w:rPr>
            </w:pPr>
            <w:r>
              <w:rPr>
                <w:rFonts w:ascii="Arial" w:cs="Arial" w:eastAsia="Arial" w:hAnsi="Arial"/>
                <w:sz w:val="18"/>
                <w:szCs w:val="18"/>
                <w:color w:val="auto"/>
              </w:rPr>
              <w:t>101.SCH</w:t>
            </w:r>
          </w:p>
        </w:tc>
        <w:tc>
          <w:tcPr>
            <w:tcW w:w="10100" w:type="dxa"/>
            <w:vAlign w:val="bottom"/>
          </w:tcPr>
          <w:p>
            <w:pPr>
              <w:spacing w:after="0"/>
              <w:rPr>
                <w:sz w:val="20"/>
                <w:szCs w:val="20"/>
                <w:color w:val="auto"/>
              </w:rPr>
            </w:pPr>
            <w:r>
              <w:rPr>
                <w:rFonts w:ascii="Arial" w:cs="Arial" w:eastAsia="Arial" w:hAnsi="Arial"/>
                <w:sz w:val="18"/>
                <w:szCs w:val="18"/>
                <w:color w:val="auto"/>
              </w:rPr>
              <w:t>Inline XBRL Taxonomy Extension Schema Document</w:t>
            </w:r>
          </w:p>
        </w:tc>
      </w:tr>
      <w:tr>
        <w:trPr>
          <w:trHeight w:val="283"/>
        </w:trPr>
        <w:tc>
          <w:tcPr>
            <w:tcW w:w="1080" w:type="dxa"/>
            <w:vAlign w:val="bottom"/>
            <w:gridSpan w:val="5"/>
          </w:tcPr>
          <w:p>
            <w:pPr>
              <w:jc w:val="right"/>
              <w:ind w:right="140"/>
              <w:spacing w:after="0"/>
              <w:rPr>
                <w:sz w:val="20"/>
                <w:szCs w:val="20"/>
                <w:color w:val="auto"/>
              </w:rPr>
            </w:pPr>
            <w:r>
              <w:rPr>
                <w:rFonts w:ascii="Arial" w:cs="Arial" w:eastAsia="Arial" w:hAnsi="Arial"/>
                <w:sz w:val="18"/>
                <w:szCs w:val="18"/>
                <w:color w:val="auto"/>
              </w:rPr>
              <w:t>101.CAL</w:t>
            </w:r>
          </w:p>
        </w:tc>
        <w:tc>
          <w:tcPr>
            <w:tcW w:w="10100" w:type="dxa"/>
            <w:vAlign w:val="bottom"/>
          </w:tcPr>
          <w:p>
            <w:pPr>
              <w:spacing w:after="0"/>
              <w:rPr>
                <w:sz w:val="20"/>
                <w:szCs w:val="20"/>
                <w:color w:val="auto"/>
              </w:rPr>
            </w:pPr>
            <w:r>
              <w:rPr>
                <w:rFonts w:ascii="Arial" w:cs="Arial" w:eastAsia="Arial" w:hAnsi="Arial"/>
                <w:sz w:val="18"/>
                <w:szCs w:val="18"/>
                <w:color w:val="auto"/>
              </w:rPr>
              <w:t>Inline XBRL Taxonomy Extension Calculation Linkbase Document</w:t>
            </w:r>
          </w:p>
        </w:tc>
      </w:tr>
      <w:tr>
        <w:trPr>
          <w:trHeight w:val="283"/>
        </w:trPr>
        <w:tc>
          <w:tcPr>
            <w:tcW w:w="1080" w:type="dxa"/>
            <w:vAlign w:val="bottom"/>
            <w:gridSpan w:val="5"/>
          </w:tcPr>
          <w:p>
            <w:pPr>
              <w:jc w:val="right"/>
              <w:ind w:right="140"/>
              <w:spacing w:after="0"/>
              <w:rPr>
                <w:sz w:val="20"/>
                <w:szCs w:val="20"/>
                <w:color w:val="auto"/>
              </w:rPr>
            </w:pPr>
            <w:r>
              <w:rPr>
                <w:rFonts w:ascii="Arial" w:cs="Arial" w:eastAsia="Arial" w:hAnsi="Arial"/>
                <w:sz w:val="18"/>
                <w:szCs w:val="18"/>
                <w:color w:val="auto"/>
              </w:rPr>
              <w:t>101.DEF</w:t>
            </w:r>
          </w:p>
        </w:tc>
        <w:tc>
          <w:tcPr>
            <w:tcW w:w="10100" w:type="dxa"/>
            <w:vAlign w:val="bottom"/>
          </w:tcPr>
          <w:p>
            <w:pPr>
              <w:spacing w:after="0"/>
              <w:rPr>
                <w:sz w:val="20"/>
                <w:szCs w:val="20"/>
                <w:color w:val="auto"/>
              </w:rPr>
            </w:pPr>
            <w:r>
              <w:rPr>
                <w:rFonts w:ascii="Arial" w:cs="Arial" w:eastAsia="Arial" w:hAnsi="Arial"/>
                <w:sz w:val="18"/>
                <w:szCs w:val="18"/>
                <w:color w:val="auto"/>
              </w:rPr>
              <w:t>Inline XBRL Taxonomy Extension Definition Linkbase Document</w:t>
            </w:r>
          </w:p>
        </w:tc>
      </w:tr>
      <w:tr>
        <w:trPr>
          <w:trHeight w:val="283"/>
        </w:trPr>
        <w:tc>
          <w:tcPr>
            <w:tcW w:w="1080" w:type="dxa"/>
            <w:vAlign w:val="bottom"/>
            <w:gridSpan w:val="5"/>
          </w:tcPr>
          <w:p>
            <w:pPr>
              <w:jc w:val="right"/>
              <w:ind w:right="140"/>
              <w:spacing w:after="0"/>
              <w:rPr>
                <w:sz w:val="20"/>
                <w:szCs w:val="20"/>
                <w:color w:val="auto"/>
              </w:rPr>
            </w:pPr>
            <w:r>
              <w:rPr>
                <w:rFonts w:ascii="Arial" w:cs="Arial" w:eastAsia="Arial" w:hAnsi="Arial"/>
                <w:sz w:val="18"/>
                <w:szCs w:val="18"/>
                <w:color w:val="auto"/>
              </w:rPr>
              <w:t>101.LAB</w:t>
            </w:r>
          </w:p>
        </w:tc>
        <w:tc>
          <w:tcPr>
            <w:tcW w:w="10100" w:type="dxa"/>
            <w:vAlign w:val="bottom"/>
          </w:tcPr>
          <w:p>
            <w:pPr>
              <w:spacing w:after="0"/>
              <w:rPr>
                <w:sz w:val="20"/>
                <w:szCs w:val="20"/>
                <w:color w:val="auto"/>
              </w:rPr>
            </w:pPr>
            <w:r>
              <w:rPr>
                <w:rFonts w:ascii="Arial" w:cs="Arial" w:eastAsia="Arial" w:hAnsi="Arial"/>
                <w:sz w:val="18"/>
                <w:szCs w:val="18"/>
                <w:color w:val="auto"/>
              </w:rPr>
              <w:t>Inline XBRL Taxonomy Extension Label Linkbase Document</w:t>
            </w:r>
          </w:p>
        </w:tc>
      </w:tr>
      <w:tr>
        <w:trPr>
          <w:trHeight w:val="283"/>
        </w:trPr>
        <w:tc>
          <w:tcPr>
            <w:tcW w:w="1080" w:type="dxa"/>
            <w:vAlign w:val="bottom"/>
            <w:gridSpan w:val="5"/>
          </w:tcPr>
          <w:p>
            <w:pPr>
              <w:jc w:val="right"/>
              <w:ind w:right="140"/>
              <w:spacing w:after="0"/>
              <w:rPr>
                <w:sz w:val="20"/>
                <w:szCs w:val="20"/>
                <w:color w:val="auto"/>
              </w:rPr>
            </w:pPr>
            <w:r>
              <w:rPr>
                <w:rFonts w:ascii="Arial" w:cs="Arial" w:eastAsia="Arial" w:hAnsi="Arial"/>
                <w:sz w:val="18"/>
                <w:szCs w:val="18"/>
                <w:color w:val="auto"/>
              </w:rPr>
              <w:t>101.PRE</w:t>
            </w:r>
          </w:p>
        </w:tc>
        <w:tc>
          <w:tcPr>
            <w:tcW w:w="10100" w:type="dxa"/>
            <w:vAlign w:val="bottom"/>
          </w:tcPr>
          <w:p>
            <w:pPr>
              <w:spacing w:after="0"/>
              <w:rPr>
                <w:sz w:val="20"/>
                <w:szCs w:val="20"/>
                <w:color w:val="auto"/>
              </w:rPr>
            </w:pPr>
            <w:r>
              <w:rPr>
                <w:rFonts w:ascii="Arial" w:cs="Arial" w:eastAsia="Arial" w:hAnsi="Arial"/>
                <w:sz w:val="18"/>
                <w:szCs w:val="18"/>
                <w:color w:val="auto"/>
              </w:rPr>
              <w:t>Inline XBRL Taxonomy Extension Presentation Linkbase Document</w:t>
            </w:r>
          </w:p>
        </w:tc>
      </w:tr>
    </w:tbl>
    <w:p>
      <w:pPr>
        <w:spacing w:after="0" w:line="53" w:lineRule="exact"/>
        <w:rPr>
          <w:sz w:val="20"/>
          <w:szCs w:val="20"/>
          <w:color w:val="auto"/>
        </w:rPr>
      </w:pPr>
    </w:p>
    <w:p>
      <w:pPr>
        <w:ind w:left="1120" w:hanging="461"/>
        <w:spacing w:after="0"/>
        <w:tabs>
          <w:tab w:leader="none" w:pos="1120" w:val="left"/>
        </w:tabs>
        <w:numPr>
          <w:ilvl w:val="0"/>
          <w:numId w:val="35"/>
        </w:numPr>
        <w:rPr>
          <w:rFonts w:ascii="Arial" w:cs="Arial" w:eastAsia="Arial" w:hAnsi="Arial"/>
          <w:sz w:val="18"/>
          <w:szCs w:val="18"/>
          <w:color w:val="auto"/>
        </w:rPr>
      </w:pPr>
      <w:r>
        <w:rPr>
          <w:rFonts w:ascii="Arial" w:cs="Arial" w:eastAsia="Arial" w:hAnsi="Arial"/>
          <w:sz w:val="18"/>
          <w:szCs w:val="18"/>
          <w:color w:val="auto"/>
        </w:rPr>
        <w:t>Cover Page Interactive Data File (embedded within the Inline XBRL document)</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300" w:lineRule="exact"/>
        <w:rPr>
          <w:rFonts w:ascii="Arial" w:cs="Arial" w:eastAsia="Arial" w:hAnsi="Arial"/>
          <w:sz w:val="18"/>
          <w:szCs w:val="18"/>
          <w:color w:val="auto"/>
        </w:rPr>
      </w:pPr>
    </w:p>
    <w:p>
      <w:pPr>
        <w:ind w:left="5540"/>
        <w:spacing w:after="0"/>
        <w:rPr>
          <w:rFonts w:ascii="Arial" w:cs="Arial" w:eastAsia="Arial" w:hAnsi="Arial"/>
          <w:sz w:val="18"/>
          <w:szCs w:val="18"/>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50" w:name="page51"/>
    <w:bookmarkEnd w:id="50"/>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SIGNATURES</w:t>
      </w:r>
    </w:p>
    <w:p>
      <w:pPr>
        <w:spacing w:after="0" w:line="189"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84" w:lineRule="exact"/>
        <w:rPr>
          <w:sz w:val="20"/>
          <w:szCs w:val="20"/>
          <w:color w:val="auto"/>
        </w:rPr>
      </w:pPr>
    </w:p>
    <w:tbl>
      <w:tblPr>
        <w:tblLayout w:type="fixed"/>
        <w:tblInd w:w="20" w:type="dxa"/>
        <w:tblCellMar>
          <w:top w:w="0" w:type="dxa"/>
          <w:left w:w="0" w:type="dxa"/>
          <w:bottom w:w="0" w:type="dxa"/>
          <w:right w:w="0" w:type="dxa"/>
        </w:tblCellMar>
      </w:tblPr>
      <w:tr>
        <w:trPr>
          <w:trHeight w:val="230"/>
        </w:trPr>
        <w:tc>
          <w:tcPr>
            <w:tcW w:w="3720" w:type="dxa"/>
            <w:vAlign w:val="bottom"/>
          </w:tcPr>
          <w:p>
            <w:pPr>
              <w:spacing w:after="0"/>
              <w:rPr>
                <w:sz w:val="20"/>
                <w:szCs w:val="20"/>
                <w:color w:val="auto"/>
              </w:rPr>
            </w:pPr>
          </w:p>
        </w:tc>
        <w:tc>
          <w:tcPr>
            <w:tcW w:w="7480" w:type="dxa"/>
            <w:vAlign w:val="bottom"/>
            <w:gridSpan w:val="2"/>
          </w:tcPr>
          <w:p>
            <w:pPr>
              <w:ind w:left="1840"/>
              <w:spacing w:after="0"/>
              <w:rPr>
                <w:sz w:val="20"/>
                <w:szCs w:val="20"/>
                <w:color w:val="auto"/>
              </w:rPr>
            </w:pPr>
            <w:r>
              <w:rPr>
                <w:rFonts w:ascii="Arial" w:cs="Arial" w:eastAsia="Arial" w:hAnsi="Arial"/>
                <w:sz w:val="18"/>
                <w:szCs w:val="18"/>
                <w:color w:val="auto"/>
              </w:rPr>
              <w:t>The Pennant Group, Inc.</w:t>
            </w:r>
          </w:p>
        </w:tc>
      </w:tr>
      <w:tr>
        <w:trPr>
          <w:trHeight w:val="283"/>
        </w:trPr>
        <w:tc>
          <w:tcPr>
            <w:tcW w:w="3720" w:type="dxa"/>
            <w:vAlign w:val="bottom"/>
          </w:tcPr>
          <w:p>
            <w:pPr>
              <w:spacing w:after="0"/>
              <w:rPr>
                <w:sz w:val="20"/>
                <w:szCs w:val="20"/>
                <w:color w:val="auto"/>
              </w:rPr>
            </w:pPr>
            <w:r>
              <w:rPr>
                <w:rFonts w:ascii="Arial" w:cs="Arial" w:eastAsia="Arial" w:hAnsi="Arial"/>
                <w:sz w:val="18"/>
                <w:szCs w:val="18"/>
                <w:color w:val="auto"/>
              </w:rPr>
              <w:t>Dated: November 7, 2022</w:t>
            </w:r>
          </w:p>
        </w:tc>
        <w:tc>
          <w:tcPr>
            <w:tcW w:w="2620" w:type="dxa"/>
            <w:vAlign w:val="bottom"/>
          </w:tcPr>
          <w:p>
            <w:pPr>
              <w:ind w:left="1840"/>
              <w:spacing w:after="0"/>
              <w:rPr>
                <w:sz w:val="20"/>
                <w:szCs w:val="20"/>
                <w:color w:val="auto"/>
              </w:rPr>
            </w:pPr>
            <w:r>
              <w:rPr>
                <w:rFonts w:ascii="Arial" w:cs="Arial" w:eastAsia="Arial" w:hAnsi="Arial"/>
                <w:sz w:val="18"/>
                <w:szCs w:val="18"/>
                <w:color w:val="auto"/>
              </w:rPr>
              <w:t>BY:</w:t>
            </w:r>
          </w:p>
        </w:tc>
        <w:tc>
          <w:tcPr>
            <w:tcW w:w="486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JENNIFER L. FREEMAN</w:t>
            </w:r>
          </w:p>
        </w:tc>
      </w:tr>
      <w:tr>
        <w:trPr>
          <w:trHeight w:val="224"/>
        </w:trPr>
        <w:tc>
          <w:tcPr>
            <w:tcW w:w="3720" w:type="dxa"/>
            <w:vAlign w:val="bottom"/>
          </w:tcPr>
          <w:p>
            <w:pPr>
              <w:spacing w:after="0"/>
              <w:rPr>
                <w:sz w:val="19"/>
                <w:szCs w:val="19"/>
                <w:color w:val="auto"/>
              </w:rPr>
            </w:pPr>
          </w:p>
        </w:tc>
        <w:tc>
          <w:tcPr>
            <w:tcW w:w="2620" w:type="dxa"/>
            <w:vAlign w:val="bottom"/>
          </w:tcPr>
          <w:p>
            <w:pPr>
              <w:spacing w:after="0"/>
              <w:rPr>
                <w:sz w:val="19"/>
                <w:szCs w:val="19"/>
                <w:color w:val="auto"/>
              </w:rPr>
            </w:pPr>
          </w:p>
        </w:tc>
        <w:tc>
          <w:tcPr>
            <w:tcW w:w="4860" w:type="dxa"/>
            <w:vAlign w:val="bottom"/>
          </w:tcPr>
          <w:p>
            <w:pPr>
              <w:ind w:left="20"/>
              <w:spacing w:after="0"/>
              <w:rPr>
                <w:sz w:val="20"/>
                <w:szCs w:val="20"/>
                <w:color w:val="auto"/>
              </w:rPr>
            </w:pPr>
            <w:r>
              <w:rPr>
                <w:rFonts w:ascii="Arial" w:cs="Arial" w:eastAsia="Arial" w:hAnsi="Arial"/>
                <w:sz w:val="18"/>
                <w:szCs w:val="18"/>
                <w:color w:val="auto"/>
              </w:rPr>
              <w:t>Jennifer L. Freeman</w:t>
            </w:r>
          </w:p>
        </w:tc>
      </w:tr>
    </w:tbl>
    <w:p>
      <w:pPr>
        <w:ind w:left="6380"/>
        <w:spacing w:after="0" w:line="220" w:lineRule="auto"/>
        <w:rPr>
          <w:sz w:val="20"/>
          <w:szCs w:val="20"/>
          <w:color w:val="auto"/>
        </w:rPr>
      </w:pPr>
      <w:r>
        <w:rPr>
          <w:rFonts w:ascii="Arial" w:cs="Arial" w:eastAsia="Arial" w:hAnsi="Arial"/>
          <w:sz w:val="18"/>
          <w:szCs w:val="18"/>
          <w:color w:val="auto"/>
        </w:rPr>
        <w:t>Chief Financial Officer (Principal Financial Officer and Duly</w:t>
      </w:r>
    </w:p>
    <w:p>
      <w:pPr>
        <w:ind w:left="6380"/>
        <w:spacing w:after="0"/>
        <w:rPr>
          <w:sz w:val="20"/>
          <w:szCs w:val="20"/>
          <w:color w:val="auto"/>
        </w:rPr>
      </w:pPr>
      <w:r>
        <w:rPr>
          <w:rFonts w:ascii="Arial" w:cs="Arial" w:eastAsia="Arial" w:hAnsi="Arial"/>
          <w:sz w:val="18"/>
          <w:szCs w:val="18"/>
          <w:color w:val="auto"/>
        </w:rPr>
        <w:t>Authorized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1240"/>
          </w:cols>
          <w:pgMar w:left="320" w:top="125" w:right="339" w:bottom="1440" w:gutter="0" w:footer="0" w:header="0"/>
        </w:sectPr>
      </w:pPr>
    </w:p>
    <w:bookmarkStart w:id="51" w:name="page52"/>
    <w:bookmarkEnd w:id="51"/>
    <w:p>
      <w:pPr>
        <w:jc w:val="right"/>
        <w:spacing w:after="0"/>
        <w:rPr>
          <w:sz w:val="20"/>
          <w:szCs w:val="20"/>
          <w:color w:val="auto"/>
        </w:rPr>
      </w:pPr>
      <w:r>
        <w:rPr>
          <w:rFonts w:ascii="Arial" w:cs="Arial" w:eastAsia="Arial" w:hAnsi="Arial"/>
          <w:sz w:val="18"/>
          <w:szCs w:val="18"/>
          <w:b w:val="1"/>
          <w:bCs w:val="1"/>
          <w:color w:val="auto"/>
        </w:rPr>
        <w:t>EXHIBIT 31.1</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I, Brent Guerisoli, certify that:</w:t>
      </w:r>
    </w:p>
    <w:p>
      <w:pPr>
        <w:spacing w:after="0" w:line="200" w:lineRule="exact"/>
        <w:rPr>
          <w:sz w:val="20"/>
          <w:szCs w:val="20"/>
          <w:color w:val="auto"/>
        </w:rPr>
      </w:pPr>
    </w:p>
    <w:p>
      <w:pPr>
        <w:spacing w:after="0" w:line="214" w:lineRule="exact"/>
        <w:rPr>
          <w:sz w:val="20"/>
          <w:szCs w:val="20"/>
          <w:color w:val="auto"/>
        </w:rPr>
      </w:pPr>
    </w:p>
    <w:p>
      <w:pPr>
        <w:ind w:left="660" w:hanging="328"/>
        <w:spacing w:after="0"/>
        <w:tabs>
          <w:tab w:leader="none" w:pos="6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I have reviewed this annual report on Form 10-Q of The Pennant Group, Inc;</w:t>
      </w:r>
    </w:p>
    <w:p>
      <w:pPr>
        <w:spacing w:after="0" w:line="171" w:lineRule="exact"/>
        <w:rPr>
          <w:rFonts w:ascii="Arial" w:cs="Arial" w:eastAsia="Arial" w:hAnsi="Arial"/>
          <w:sz w:val="18"/>
          <w:szCs w:val="18"/>
          <w:color w:val="auto"/>
        </w:rPr>
      </w:pPr>
    </w:p>
    <w:p>
      <w:pPr>
        <w:jc w:val="both"/>
        <w:ind w:left="660" w:right="120" w:hanging="328"/>
        <w:spacing w:after="0" w:line="263" w:lineRule="auto"/>
        <w:tabs>
          <w:tab w:leader="none" w:pos="6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9" w:lineRule="exact"/>
        <w:rPr>
          <w:rFonts w:ascii="Arial" w:cs="Arial" w:eastAsia="Arial" w:hAnsi="Arial"/>
          <w:sz w:val="18"/>
          <w:szCs w:val="18"/>
          <w:color w:val="auto"/>
        </w:rPr>
      </w:pPr>
    </w:p>
    <w:p>
      <w:pPr>
        <w:ind w:left="660" w:right="80" w:hanging="328"/>
        <w:spacing w:after="0" w:line="308" w:lineRule="auto"/>
        <w:tabs>
          <w:tab w:leader="none" w:pos="660" w:val="left"/>
        </w:tabs>
        <w:numPr>
          <w:ilvl w:val="0"/>
          <w:numId w:val="36"/>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92" w:lineRule="exact"/>
        <w:rPr>
          <w:rFonts w:ascii="Arial" w:cs="Arial" w:eastAsia="Arial" w:hAnsi="Arial"/>
          <w:sz w:val="17"/>
          <w:szCs w:val="17"/>
          <w:color w:val="auto"/>
        </w:rPr>
      </w:pPr>
    </w:p>
    <w:p>
      <w:pPr>
        <w:ind w:left="660" w:right="140" w:hanging="328"/>
        <w:spacing w:after="0" w:line="277" w:lineRule="auto"/>
        <w:tabs>
          <w:tab w:leader="none" w:pos="6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for the registrant and have:</w:t>
      </w:r>
    </w:p>
    <w:p>
      <w:pPr>
        <w:spacing w:after="0" w:line="116" w:lineRule="exact"/>
        <w:rPr>
          <w:rFonts w:ascii="Arial" w:cs="Arial" w:eastAsia="Arial" w:hAnsi="Arial"/>
          <w:sz w:val="18"/>
          <w:szCs w:val="18"/>
          <w:color w:val="auto"/>
        </w:rPr>
      </w:pPr>
    </w:p>
    <w:p>
      <w:pPr>
        <w:ind w:left="980" w:right="60" w:hanging="324"/>
        <w:spacing w:after="0" w:line="263" w:lineRule="auto"/>
        <w:tabs>
          <w:tab w:leader="none" w:pos="977" w:val="left"/>
        </w:tabs>
        <w:numPr>
          <w:ilvl w:val="1"/>
          <w:numId w:val="36"/>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9" w:lineRule="exact"/>
        <w:rPr>
          <w:rFonts w:ascii="Arial" w:cs="Arial" w:eastAsia="Arial" w:hAnsi="Arial"/>
          <w:sz w:val="18"/>
          <w:szCs w:val="18"/>
          <w:color w:val="auto"/>
        </w:rPr>
      </w:pPr>
    </w:p>
    <w:p>
      <w:pPr>
        <w:ind w:left="980" w:right="360" w:hanging="324"/>
        <w:spacing w:after="0" w:line="263" w:lineRule="auto"/>
        <w:tabs>
          <w:tab w:leader="none" w:pos="974" w:val="left"/>
        </w:tabs>
        <w:numPr>
          <w:ilvl w:val="1"/>
          <w:numId w:val="36"/>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9" w:lineRule="exact"/>
        <w:rPr>
          <w:rFonts w:ascii="Arial" w:cs="Arial" w:eastAsia="Arial" w:hAnsi="Arial"/>
          <w:sz w:val="18"/>
          <w:szCs w:val="18"/>
          <w:color w:val="auto"/>
        </w:rPr>
      </w:pPr>
    </w:p>
    <w:p>
      <w:pPr>
        <w:jc w:val="both"/>
        <w:ind w:left="980" w:right="540" w:hanging="324"/>
        <w:spacing w:after="0" w:line="342" w:lineRule="auto"/>
        <w:tabs>
          <w:tab w:leader="none" w:pos="977" w:val="left"/>
        </w:tabs>
        <w:numPr>
          <w:ilvl w:val="1"/>
          <w:numId w:val="36"/>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69" w:lineRule="exact"/>
        <w:rPr>
          <w:rFonts w:ascii="Arial" w:cs="Arial" w:eastAsia="Arial" w:hAnsi="Arial"/>
          <w:sz w:val="16"/>
          <w:szCs w:val="16"/>
          <w:color w:val="auto"/>
        </w:rPr>
      </w:pPr>
    </w:p>
    <w:p>
      <w:pPr>
        <w:ind w:left="980" w:right="80" w:hanging="324"/>
        <w:spacing w:after="0" w:line="263" w:lineRule="auto"/>
        <w:tabs>
          <w:tab w:leader="none" w:pos="974" w:val="left"/>
        </w:tabs>
        <w:numPr>
          <w:ilvl w:val="1"/>
          <w:numId w:val="36"/>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9" w:lineRule="exact"/>
        <w:rPr>
          <w:rFonts w:ascii="Arial" w:cs="Arial" w:eastAsia="Arial" w:hAnsi="Arial"/>
          <w:sz w:val="18"/>
          <w:szCs w:val="18"/>
          <w:color w:val="auto"/>
        </w:rPr>
      </w:pPr>
    </w:p>
    <w:p>
      <w:pPr>
        <w:ind w:left="660" w:right="100" w:hanging="328"/>
        <w:spacing w:after="0" w:line="342" w:lineRule="auto"/>
        <w:tabs>
          <w:tab w:leader="none" w:pos="660" w:val="left"/>
        </w:tabs>
        <w:numPr>
          <w:ilvl w:val="0"/>
          <w:numId w:val="36"/>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69" w:lineRule="exact"/>
        <w:rPr>
          <w:rFonts w:ascii="Arial" w:cs="Arial" w:eastAsia="Arial" w:hAnsi="Arial"/>
          <w:sz w:val="16"/>
          <w:szCs w:val="16"/>
          <w:color w:val="auto"/>
        </w:rPr>
      </w:pPr>
    </w:p>
    <w:p>
      <w:pPr>
        <w:ind w:left="980" w:right="780" w:hanging="324"/>
        <w:spacing w:after="0" w:line="342" w:lineRule="auto"/>
        <w:tabs>
          <w:tab w:leader="none" w:pos="977" w:val="left"/>
        </w:tabs>
        <w:numPr>
          <w:ilvl w:val="1"/>
          <w:numId w:val="36"/>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9" w:lineRule="exact"/>
        <w:rPr>
          <w:rFonts w:ascii="Arial" w:cs="Arial" w:eastAsia="Arial" w:hAnsi="Arial"/>
          <w:sz w:val="16"/>
          <w:szCs w:val="16"/>
          <w:color w:val="auto"/>
        </w:rPr>
      </w:pPr>
    </w:p>
    <w:p>
      <w:pPr>
        <w:ind w:left="980" w:right="500" w:hanging="324"/>
        <w:spacing w:after="0" w:line="277" w:lineRule="auto"/>
        <w:tabs>
          <w:tab w:leader="none" w:pos="974" w:val="left"/>
        </w:tabs>
        <w:numPr>
          <w:ilvl w:val="1"/>
          <w:numId w:val="36"/>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Date: November 7, 2022</w:t>
      </w:r>
    </w:p>
    <w:p>
      <w:pPr>
        <w:spacing w:after="0" w:line="279"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/s/ BRENT GUERISOLI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3528060</wp:posOffset>
            </wp:positionH>
            <wp:positionV relativeFrom="paragraph">
              <wp:posOffset>14605</wp:posOffset>
            </wp:positionV>
            <wp:extent cx="2691765"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8">
                      <a:extLst>
                        <a:ext uri="{28A0092B-C50C-407E-A947-70E740481C1C}"/>
                      </a:extLst>
                    </a:blip>
                    <a:srcRect/>
                    <a:stretch>
                      <a:fillRect/>
                    </a:stretch>
                  </pic:blipFill>
                  <pic:spPr bwMode="auto">
                    <a:xfrm>
                      <a:off x="0" y="0"/>
                      <a:ext cx="2691765" cy="8255"/>
                    </a:xfrm>
                    <a:prstGeom prst="rect">
                      <a:avLst/>
                    </a:prstGeom>
                    <a:noFill/>
                  </pic:spPr>
                </pic:pic>
              </a:graphicData>
            </a:graphic>
          </wp:anchor>
        </w:drawing>
      </w:r>
    </w:p>
    <w:p>
      <w:pPr>
        <w:spacing w:after="0" w:line="16" w:lineRule="exact"/>
        <w:rPr>
          <w:sz w:val="20"/>
          <w:szCs w:val="20"/>
          <w:color w:val="auto"/>
        </w:rPr>
      </w:pPr>
    </w:p>
    <w:p>
      <w:pPr>
        <w:ind w:left="5700"/>
        <w:spacing w:after="0"/>
        <w:tabs>
          <w:tab w:leader="none" w:pos="6360" w:val="left"/>
        </w:tabs>
        <w:rPr>
          <w:sz w:val="20"/>
          <w:szCs w:val="20"/>
          <w:color w:val="auto"/>
        </w:rPr>
      </w:pPr>
      <w:r>
        <w:rPr>
          <w:rFonts w:ascii="Arial" w:cs="Arial" w:eastAsia="Arial" w:hAnsi="Arial"/>
          <w:sz w:val="18"/>
          <w:szCs w:val="18"/>
          <w:color w:val="auto"/>
        </w:rPr>
        <w:t>Name:</w:t>
        <w:tab/>
        <w:t>Brent Guerisoli</w:t>
      </w:r>
    </w:p>
    <w:tbl>
      <w:tblPr>
        <w:tblLayout w:type="fixed"/>
        <w:tblInd w:w="5580" w:type="dxa"/>
        <w:tblCellMar>
          <w:top w:w="0" w:type="dxa"/>
          <w:left w:w="0" w:type="dxa"/>
          <w:bottom w:w="0" w:type="dxa"/>
          <w:right w:w="0" w:type="dxa"/>
        </w:tblCellMar>
      </w:tblPr>
      <w:tr>
        <w:trPr>
          <w:trHeight w:val="199"/>
        </w:trPr>
        <w:tc>
          <w:tcPr>
            <w:tcW w:w="600" w:type="dxa"/>
            <w:vAlign w:val="bottom"/>
            <w:vMerge w:val="restart"/>
          </w:tcPr>
          <w:p>
            <w:pPr>
              <w:spacing w:after="0"/>
              <w:rPr>
                <w:sz w:val="20"/>
                <w:szCs w:val="20"/>
                <w:color w:val="auto"/>
              </w:rPr>
            </w:pPr>
            <w:r>
              <w:rPr>
                <w:rFonts w:ascii="Arial" w:cs="Arial" w:eastAsia="Arial" w:hAnsi="Arial"/>
                <w:sz w:val="18"/>
                <w:szCs w:val="18"/>
                <w:color w:val="auto"/>
              </w:rPr>
              <w:t>Title:</w:t>
            </w:r>
          </w:p>
        </w:tc>
        <w:tc>
          <w:tcPr>
            <w:tcW w:w="3440" w:type="dxa"/>
            <w:vAlign w:val="bottom"/>
          </w:tcPr>
          <w:p>
            <w:pPr>
              <w:ind w:left="200"/>
              <w:spacing w:after="0" w:line="199" w:lineRule="exact"/>
              <w:rPr>
                <w:sz w:val="20"/>
                <w:szCs w:val="20"/>
                <w:color w:val="auto"/>
              </w:rPr>
            </w:pPr>
            <w:r>
              <w:rPr>
                <w:rFonts w:ascii="Arial" w:cs="Arial" w:eastAsia="Arial" w:hAnsi="Arial"/>
                <w:sz w:val="18"/>
                <w:szCs w:val="18"/>
                <w:color w:val="auto"/>
                <w:w w:val="93"/>
              </w:rPr>
              <w:t>Chief Executive Officer (Principal Executive</w:t>
            </w:r>
          </w:p>
        </w:tc>
        <w:tc>
          <w:tcPr>
            <w:tcW w:w="0" w:type="dxa"/>
            <w:vAlign w:val="bottom"/>
          </w:tcPr>
          <w:p>
            <w:pPr>
              <w:spacing w:after="0"/>
              <w:rPr>
                <w:sz w:val="1"/>
                <w:szCs w:val="1"/>
                <w:color w:val="auto"/>
              </w:rPr>
            </w:pPr>
          </w:p>
        </w:tc>
      </w:tr>
      <w:tr>
        <w:trPr>
          <w:trHeight w:val="149"/>
        </w:trPr>
        <w:tc>
          <w:tcPr>
            <w:tcW w:w="600" w:type="dxa"/>
            <w:vAlign w:val="bottom"/>
            <w:vMerge w:val="continue"/>
          </w:tcPr>
          <w:p>
            <w:pPr>
              <w:spacing w:after="0"/>
              <w:rPr>
                <w:sz w:val="12"/>
                <w:szCs w:val="12"/>
                <w:color w:val="auto"/>
              </w:rPr>
            </w:pPr>
          </w:p>
        </w:tc>
        <w:tc>
          <w:tcPr>
            <w:tcW w:w="3440" w:type="dxa"/>
            <w:vAlign w:val="bottom"/>
            <w:vMerge w:val="restart"/>
          </w:tcPr>
          <w:p>
            <w:pPr>
              <w:ind w:left="200"/>
              <w:spacing w:after="0"/>
              <w:rPr>
                <w:sz w:val="20"/>
                <w:szCs w:val="20"/>
                <w:color w:val="auto"/>
              </w:rPr>
            </w:pPr>
            <w:r>
              <w:rPr>
                <w:rFonts w:ascii="Arial" w:cs="Arial" w:eastAsia="Arial" w:hAnsi="Arial"/>
                <w:sz w:val="18"/>
                <w:szCs w:val="18"/>
                <w:color w:val="auto"/>
              </w:rPr>
              <w:t>Officer)</w:t>
            </w:r>
          </w:p>
        </w:tc>
        <w:tc>
          <w:tcPr>
            <w:tcW w:w="0" w:type="dxa"/>
            <w:vAlign w:val="bottom"/>
          </w:tcPr>
          <w:p>
            <w:pPr>
              <w:spacing w:after="0"/>
              <w:rPr>
                <w:sz w:val="1"/>
                <w:szCs w:val="1"/>
                <w:color w:val="auto"/>
              </w:rPr>
            </w:pPr>
          </w:p>
        </w:tc>
      </w:tr>
      <w:tr>
        <w:trPr>
          <w:trHeight w:val="82"/>
        </w:trPr>
        <w:tc>
          <w:tcPr>
            <w:tcW w:w="600" w:type="dxa"/>
            <w:vAlign w:val="bottom"/>
          </w:tcPr>
          <w:p>
            <w:pPr>
              <w:spacing w:after="0"/>
              <w:rPr>
                <w:sz w:val="7"/>
                <w:szCs w:val="7"/>
                <w:color w:val="auto"/>
              </w:rPr>
            </w:pPr>
          </w:p>
        </w:tc>
        <w:tc>
          <w:tcPr>
            <w:tcW w:w="34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891" w:right="339" w:bottom="1440" w:gutter="0" w:footer="0" w:header="0"/>
        </w:sectPr>
      </w:pPr>
    </w:p>
    <w:bookmarkStart w:id="52" w:name="page53"/>
    <w:bookmarkEnd w:id="52"/>
    <w:p>
      <w:pPr>
        <w:jc w:val="right"/>
        <w:spacing w:after="0"/>
        <w:rPr>
          <w:sz w:val="20"/>
          <w:szCs w:val="20"/>
          <w:color w:val="auto"/>
        </w:rPr>
      </w:pPr>
      <w:r>
        <w:rPr>
          <w:rFonts w:ascii="Arial" w:cs="Arial" w:eastAsia="Arial" w:hAnsi="Arial"/>
          <w:sz w:val="18"/>
          <w:szCs w:val="18"/>
          <w:b w:val="1"/>
          <w:bCs w:val="1"/>
          <w:color w:val="auto"/>
        </w:rPr>
        <w:t>EXHIBIT 31.2</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I, Jennifer L. Freeman, certify that:</w:t>
      </w:r>
    </w:p>
    <w:p>
      <w:pPr>
        <w:spacing w:after="0" w:line="400" w:lineRule="exact"/>
        <w:rPr>
          <w:sz w:val="20"/>
          <w:szCs w:val="20"/>
          <w:color w:val="auto"/>
        </w:rPr>
      </w:pPr>
    </w:p>
    <w:p>
      <w:pPr>
        <w:ind w:left="660" w:hanging="328"/>
        <w:spacing w:after="0"/>
        <w:tabs>
          <w:tab w:leader="none" w:pos="6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I have reviewed this annual report on Form 10-Q of The Pennant Group, Inc.;</w:t>
      </w:r>
    </w:p>
    <w:p>
      <w:pPr>
        <w:spacing w:after="0" w:line="171" w:lineRule="exact"/>
        <w:rPr>
          <w:rFonts w:ascii="Arial" w:cs="Arial" w:eastAsia="Arial" w:hAnsi="Arial"/>
          <w:sz w:val="18"/>
          <w:szCs w:val="18"/>
          <w:color w:val="auto"/>
        </w:rPr>
      </w:pPr>
    </w:p>
    <w:p>
      <w:pPr>
        <w:jc w:val="both"/>
        <w:ind w:left="660" w:right="120" w:hanging="328"/>
        <w:spacing w:after="0" w:line="263" w:lineRule="auto"/>
        <w:tabs>
          <w:tab w:leader="none" w:pos="6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9" w:lineRule="exact"/>
        <w:rPr>
          <w:rFonts w:ascii="Arial" w:cs="Arial" w:eastAsia="Arial" w:hAnsi="Arial"/>
          <w:sz w:val="18"/>
          <w:szCs w:val="18"/>
          <w:color w:val="auto"/>
        </w:rPr>
      </w:pPr>
    </w:p>
    <w:p>
      <w:pPr>
        <w:ind w:left="660" w:right="80" w:hanging="328"/>
        <w:spacing w:after="0" w:line="308" w:lineRule="auto"/>
        <w:tabs>
          <w:tab w:leader="none" w:pos="660" w:val="left"/>
        </w:tabs>
        <w:numPr>
          <w:ilvl w:val="0"/>
          <w:numId w:val="37"/>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92" w:lineRule="exact"/>
        <w:rPr>
          <w:rFonts w:ascii="Arial" w:cs="Arial" w:eastAsia="Arial" w:hAnsi="Arial"/>
          <w:sz w:val="17"/>
          <w:szCs w:val="17"/>
          <w:color w:val="auto"/>
        </w:rPr>
      </w:pPr>
    </w:p>
    <w:p>
      <w:pPr>
        <w:ind w:left="660" w:right="140" w:hanging="328"/>
        <w:spacing w:after="0" w:line="277" w:lineRule="auto"/>
        <w:tabs>
          <w:tab w:leader="none" w:pos="6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for the registrant and have:</w:t>
      </w:r>
    </w:p>
    <w:p>
      <w:pPr>
        <w:spacing w:after="0" w:line="116" w:lineRule="exact"/>
        <w:rPr>
          <w:rFonts w:ascii="Arial" w:cs="Arial" w:eastAsia="Arial" w:hAnsi="Arial"/>
          <w:sz w:val="18"/>
          <w:szCs w:val="18"/>
          <w:color w:val="auto"/>
        </w:rPr>
      </w:pPr>
    </w:p>
    <w:p>
      <w:pPr>
        <w:ind w:left="980" w:right="60" w:hanging="324"/>
        <w:spacing w:after="0" w:line="263" w:lineRule="auto"/>
        <w:tabs>
          <w:tab w:leader="none" w:pos="977" w:val="left"/>
        </w:tabs>
        <w:numPr>
          <w:ilvl w:val="1"/>
          <w:numId w:val="37"/>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9" w:lineRule="exact"/>
        <w:rPr>
          <w:rFonts w:ascii="Arial" w:cs="Arial" w:eastAsia="Arial" w:hAnsi="Arial"/>
          <w:sz w:val="18"/>
          <w:szCs w:val="18"/>
          <w:color w:val="auto"/>
        </w:rPr>
      </w:pPr>
    </w:p>
    <w:p>
      <w:pPr>
        <w:ind w:left="980" w:right="360" w:hanging="324"/>
        <w:spacing w:after="0" w:line="263" w:lineRule="auto"/>
        <w:tabs>
          <w:tab w:leader="none" w:pos="974" w:val="left"/>
        </w:tabs>
        <w:numPr>
          <w:ilvl w:val="1"/>
          <w:numId w:val="37"/>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9" w:lineRule="exact"/>
        <w:rPr>
          <w:rFonts w:ascii="Arial" w:cs="Arial" w:eastAsia="Arial" w:hAnsi="Arial"/>
          <w:sz w:val="18"/>
          <w:szCs w:val="18"/>
          <w:color w:val="auto"/>
        </w:rPr>
      </w:pPr>
    </w:p>
    <w:p>
      <w:pPr>
        <w:jc w:val="both"/>
        <w:ind w:left="980" w:right="540" w:hanging="324"/>
        <w:spacing w:after="0" w:line="342" w:lineRule="auto"/>
        <w:tabs>
          <w:tab w:leader="none" w:pos="977" w:val="left"/>
        </w:tabs>
        <w:numPr>
          <w:ilvl w:val="1"/>
          <w:numId w:val="37"/>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69" w:lineRule="exact"/>
        <w:rPr>
          <w:rFonts w:ascii="Arial" w:cs="Arial" w:eastAsia="Arial" w:hAnsi="Arial"/>
          <w:sz w:val="16"/>
          <w:szCs w:val="16"/>
          <w:color w:val="auto"/>
        </w:rPr>
      </w:pPr>
    </w:p>
    <w:p>
      <w:pPr>
        <w:ind w:left="980" w:right="80" w:hanging="324"/>
        <w:spacing w:after="0" w:line="263" w:lineRule="auto"/>
        <w:tabs>
          <w:tab w:leader="none" w:pos="974" w:val="left"/>
        </w:tabs>
        <w:numPr>
          <w:ilvl w:val="1"/>
          <w:numId w:val="37"/>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9" w:lineRule="exact"/>
        <w:rPr>
          <w:rFonts w:ascii="Arial" w:cs="Arial" w:eastAsia="Arial" w:hAnsi="Arial"/>
          <w:sz w:val="18"/>
          <w:szCs w:val="18"/>
          <w:color w:val="auto"/>
        </w:rPr>
      </w:pPr>
    </w:p>
    <w:p>
      <w:pPr>
        <w:ind w:left="660" w:right="100" w:hanging="328"/>
        <w:spacing w:after="0" w:line="342" w:lineRule="auto"/>
        <w:tabs>
          <w:tab w:leader="none" w:pos="660" w:val="left"/>
        </w:tabs>
        <w:numPr>
          <w:ilvl w:val="0"/>
          <w:numId w:val="37"/>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69" w:lineRule="exact"/>
        <w:rPr>
          <w:rFonts w:ascii="Arial" w:cs="Arial" w:eastAsia="Arial" w:hAnsi="Arial"/>
          <w:sz w:val="16"/>
          <w:szCs w:val="16"/>
          <w:color w:val="auto"/>
        </w:rPr>
      </w:pPr>
    </w:p>
    <w:p>
      <w:pPr>
        <w:ind w:left="980" w:right="780" w:hanging="324"/>
        <w:spacing w:after="0" w:line="342" w:lineRule="auto"/>
        <w:tabs>
          <w:tab w:leader="none" w:pos="977" w:val="left"/>
        </w:tabs>
        <w:numPr>
          <w:ilvl w:val="1"/>
          <w:numId w:val="37"/>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9" w:lineRule="exact"/>
        <w:rPr>
          <w:rFonts w:ascii="Arial" w:cs="Arial" w:eastAsia="Arial" w:hAnsi="Arial"/>
          <w:sz w:val="16"/>
          <w:szCs w:val="16"/>
          <w:color w:val="auto"/>
        </w:rPr>
      </w:pPr>
    </w:p>
    <w:p>
      <w:pPr>
        <w:ind w:left="980" w:right="500" w:hanging="324"/>
        <w:spacing w:after="0" w:line="277" w:lineRule="auto"/>
        <w:tabs>
          <w:tab w:leader="none" w:pos="974" w:val="left"/>
        </w:tabs>
        <w:numPr>
          <w:ilvl w:val="1"/>
          <w:numId w:val="37"/>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40" w:lineRule="exact"/>
        <w:rPr>
          <w:sz w:val="20"/>
          <w:szCs w:val="20"/>
          <w:color w:val="auto"/>
        </w:rPr>
      </w:pPr>
    </w:p>
    <w:p>
      <w:pPr>
        <w:spacing w:after="0"/>
        <w:rPr>
          <w:sz w:val="20"/>
          <w:szCs w:val="20"/>
          <w:color w:val="auto"/>
        </w:rPr>
      </w:pPr>
      <w:r>
        <w:rPr>
          <w:rFonts w:ascii="Arial" w:cs="Arial" w:eastAsia="Arial" w:hAnsi="Arial"/>
          <w:sz w:val="18"/>
          <w:szCs w:val="18"/>
          <w:color w:val="auto"/>
        </w:rPr>
        <w:t>Date: November 7, 2022</w:t>
      </w:r>
    </w:p>
    <w:p>
      <w:pPr>
        <w:spacing w:after="0" w:line="279"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/s/ JENNIFER L. FREEMAN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3579495</wp:posOffset>
            </wp:positionH>
            <wp:positionV relativeFrom="paragraph">
              <wp:posOffset>14605</wp:posOffset>
            </wp:positionV>
            <wp:extent cx="2674620" cy="88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9">
                      <a:extLst>
                        <a:ext uri="{28A0092B-C50C-407E-A947-70E740481C1C}"/>
                      </a:extLst>
                    </a:blip>
                    <a:srcRect/>
                    <a:stretch>
                      <a:fillRect/>
                    </a:stretch>
                  </pic:blipFill>
                  <pic:spPr bwMode="auto">
                    <a:xfrm>
                      <a:off x="0" y="0"/>
                      <a:ext cx="2674620" cy="8890"/>
                    </a:xfrm>
                    <a:prstGeom prst="rect">
                      <a:avLst/>
                    </a:prstGeom>
                    <a:noFill/>
                  </pic:spPr>
                </pic:pic>
              </a:graphicData>
            </a:graphic>
          </wp:anchor>
        </w:drawing>
      </w:r>
    </w:p>
    <w:p>
      <w:pPr>
        <w:spacing w:after="0" w:line="16" w:lineRule="exact"/>
        <w:rPr>
          <w:sz w:val="20"/>
          <w:szCs w:val="20"/>
          <w:color w:val="auto"/>
        </w:rPr>
      </w:pPr>
    </w:p>
    <w:p>
      <w:pPr>
        <w:ind w:left="5660"/>
        <w:spacing w:after="0"/>
        <w:tabs>
          <w:tab w:leader="none" w:pos="6420" w:val="left"/>
        </w:tabs>
        <w:rPr>
          <w:sz w:val="20"/>
          <w:szCs w:val="20"/>
          <w:color w:val="auto"/>
        </w:rPr>
      </w:pPr>
      <w:r>
        <w:rPr>
          <w:rFonts w:ascii="Arial" w:cs="Arial" w:eastAsia="Arial" w:hAnsi="Arial"/>
          <w:sz w:val="18"/>
          <w:szCs w:val="18"/>
          <w:color w:val="auto"/>
        </w:rPr>
        <w:t>Name:</w:t>
      </w:r>
      <w:r>
        <w:rPr>
          <w:sz w:val="20"/>
          <w:szCs w:val="20"/>
          <w:color w:val="auto"/>
        </w:rPr>
        <w:tab/>
      </w:r>
      <w:r>
        <w:rPr>
          <w:rFonts w:ascii="Arial" w:cs="Arial" w:eastAsia="Arial" w:hAnsi="Arial"/>
          <w:sz w:val="18"/>
          <w:szCs w:val="18"/>
          <w:color w:val="auto"/>
        </w:rPr>
        <w:t>Jennifer L. Freeman</w:t>
      </w:r>
    </w:p>
    <w:p>
      <w:pPr>
        <w:spacing w:after="0" w:line="7" w:lineRule="exact"/>
        <w:rPr>
          <w:sz w:val="20"/>
          <w:szCs w:val="20"/>
          <w:color w:val="auto"/>
        </w:rPr>
      </w:pPr>
    </w:p>
    <w:p>
      <w:pPr>
        <w:ind w:left="6440"/>
        <w:spacing w:after="0"/>
        <w:rPr>
          <w:sz w:val="20"/>
          <w:szCs w:val="20"/>
          <w:color w:val="auto"/>
        </w:rPr>
      </w:pPr>
      <w:r>
        <w:rPr>
          <w:rFonts w:ascii="Arial" w:cs="Arial" w:eastAsia="Arial" w:hAnsi="Arial"/>
          <w:sz w:val="18"/>
          <w:szCs w:val="18"/>
          <w:i w:val="1"/>
          <w:iCs w:val="1"/>
          <w:color w:val="auto"/>
        </w:rPr>
        <w:t>Chief Financial Officer (Principal Financial</w:t>
      </w:r>
    </w:p>
    <w:p>
      <w:pPr>
        <w:ind w:left="5660"/>
        <w:spacing w:after="0" w:line="219" w:lineRule="auto"/>
        <w:tabs>
          <w:tab w:leader="none" w:pos="642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8"/>
          <w:szCs w:val="18"/>
          <w:i w:val="1"/>
          <w:iCs w:val="1"/>
          <w:color w:val="auto"/>
        </w:rPr>
        <w:t>Officer, Principal Accounting Officer and Duly</w:t>
      </w:r>
    </w:p>
    <w:p>
      <w:pPr>
        <w:ind w:left="6440"/>
        <w:spacing w:after="0"/>
        <w:rPr>
          <w:sz w:val="20"/>
          <w:szCs w:val="20"/>
          <w:color w:val="auto"/>
        </w:rPr>
      </w:pPr>
      <w:r>
        <w:rPr>
          <w:rFonts w:ascii="Arial" w:cs="Arial" w:eastAsia="Arial" w:hAnsi="Arial"/>
          <w:sz w:val="18"/>
          <w:szCs w:val="18"/>
          <w:i w:val="1"/>
          <w:iCs w:val="1"/>
          <w:color w:val="auto"/>
        </w:rPr>
        <w:t>Authorized Officer)</w:t>
      </w:r>
    </w:p>
    <w:p>
      <w:pPr>
        <w:sectPr>
          <w:pgSz w:w="11900" w:h="16838" w:orient="portrait"/>
          <w:cols w:equalWidth="0" w:num="1">
            <w:col w:w="11240"/>
          </w:cols>
          <w:pgMar w:left="320" w:top="891" w:right="339" w:bottom="1440" w:gutter="0" w:footer="0" w:header="0"/>
        </w:sectPr>
      </w:pPr>
    </w:p>
    <w:bookmarkStart w:id="53" w:name="page54"/>
    <w:bookmarkEnd w:id="53"/>
    <w:p>
      <w:pPr>
        <w:jc w:val="right"/>
        <w:spacing w:after="0"/>
        <w:rPr>
          <w:sz w:val="20"/>
          <w:szCs w:val="20"/>
          <w:color w:val="auto"/>
        </w:rPr>
      </w:pPr>
      <w:r>
        <w:rPr>
          <w:rFonts w:ascii="Arial" w:cs="Arial" w:eastAsia="Arial" w:hAnsi="Arial"/>
          <w:sz w:val="18"/>
          <w:szCs w:val="18"/>
          <w:b w:val="1"/>
          <w:bCs w:val="1"/>
          <w:color w:val="auto"/>
        </w:rPr>
        <w:t>EXHIBIT 32.1</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9"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In connection with the Annual Report of The Pennant Group, Inc. (the Company) on Form 10-Q for the period ended September 30, 2022, as filed with the Securities and Exchange Commission on the date hereof (the Report), I, Brent Guerisoli, Chief Executive Officer of the Company, certify, pursuant to 18 U.S.C. § 1350, as adopted pursuant to Section 906 of the Sarbanes-Oxley Act of 2002, that to my knowledge:</w:t>
      </w:r>
    </w:p>
    <w:p>
      <w:pPr>
        <w:spacing w:after="0" w:line="2" w:lineRule="exact"/>
        <w:rPr>
          <w:sz w:val="20"/>
          <w:szCs w:val="20"/>
          <w:color w:val="auto"/>
        </w:rPr>
      </w:pPr>
    </w:p>
    <w:p>
      <w:pPr>
        <w:ind w:left="700" w:hanging="350"/>
        <w:spacing w:after="0"/>
        <w:tabs>
          <w:tab w:leader="none" w:pos="7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25" w:lineRule="exact"/>
        <w:rPr>
          <w:sz w:val="20"/>
          <w:szCs w:val="20"/>
          <w:color w:val="auto"/>
        </w:rPr>
      </w:pPr>
    </w:p>
    <w:p>
      <w:pPr>
        <w:ind w:left="700" w:hanging="350"/>
        <w:spacing w:after="0"/>
        <w:tabs>
          <w:tab w:leader="none" w:pos="700" w:val="left"/>
        </w:tabs>
        <w:numPr>
          <w:ilvl w:val="0"/>
          <w:numId w:val="39"/>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75" w:lineRule="exact"/>
        <w:rPr>
          <w:sz w:val="20"/>
          <w:szCs w:val="20"/>
          <w:color w:val="auto"/>
        </w:rPr>
      </w:pPr>
    </w:p>
    <w:p>
      <w:pPr>
        <w:ind w:left="5420"/>
        <w:spacing w:after="0"/>
        <w:rPr>
          <w:sz w:val="20"/>
          <w:szCs w:val="20"/>
          <w:color w:val="auto"/>
        </w:rPr>
      </w:pPr>
      <w:r>
        <w:rPr>
          <w:rFonts w:ascii="Arial" w:cs="Arial" w:eastAsia="Arial" w:hAnsi="Arial"/>
          <w:sz w:val="18"/>
          <w:szCs w:val="18"/>
          <w:color w:val="auto"/>
        </w:rPr>
        <w:t>/s/ BRENT GUERISOLI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3425190</wp:posOffset>
            </wp:positionH>
            <wp:positionV relativeFrom="paragraph">
              <wp:posOffset>14605</wp:posOffset>
            </wp:positionV>
            <wp:extent cx="2785745"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70">
                      <a:extLst>
                        <a:ext uri="{28A0092B-C50C-407E-A947-70E740481C1C}"/>
                      </a:extLst>
                    </a:blip>
                    <a:srcRect/>
                    <a:stretch>
                      <a:fillRect/>
                    </a:stretch>
                  </pic:blipFill>
                  <pic:spPr bwMode="auto">
                    <a:xfrm>
                      <a:off x="0" y="0"/>
                      <a:ext cx="2785745" cy="8255"/>
                    </a:xfrm>
                    <a:prstGeom prst="rect">
                      <a:avLst/>
                    </a:prstGeom>
                    <a:noFill/>
                  </pic:spPr>
                </pic:pic>
              </a:graphicData>
            </a:graphic>
          </wp:anchor>
        </w:drawing>
      </w:r>
    </w:p>
    <w:p>
      <w:pPr>
        <w:spacing w:after="0" w:line="16" w:lineRule="exact"/>
        <w:rPr>
          <w:sz w:val="20"/>
          <w:szCs w:val="20"/>
          <w:color w:val="auto"/>
        </w:rPr>
      </w:pPr>
    </w:p>
    <w:p>
      <w:pPr>
        <w:ind w:left="5580"/>
        <w:spacing w:after="0"/>
        <w:tabs>
          <w:tab w:leader="none" w:pos="6220" w:val="left"/>
        </w:tabs>
        <w:rPr>
          <w:sz w:val="20"/>
          <w:szCs w:val="20"/>
          <w:color w:val="auto"/>
        </w:rPr>
      </w:pPr>
      <w:r>
        <w:rPr>
          <w:rFonts w:ascii="Arial" w:cs="Arial" w:eastAsia="Arial" w:hAnsi="Arial"/>
          <w:sz w:val="18"/>
          <w:szCs w:val="18"/>
          <w:color w:val="auto"/>
        </w:rPr>
        <w:t>Name:</w:t>
        <w:tab/>
        <w:t>Brent Guerisoli</w:t>
      </w:r>
    </w:p>
    <w:tbl>
      <w:tblPr>
        <w:tblLayout w:type="fixed"/>
        <w:tblInd w:w="5420" w:type="dxa"/>
        <w:tblCellMar>
          <w:top w:w="0" w:type="dxa"/>
          <w:left w:w="0" w:type="dxa"/>
          <w:bottom w:w="0" w:type="dxa"/>
          <w:right w:w="0" w:type="dxa"/>
        </w:tblCellMar>
      </w:tblPr>
      <w:tr>
        <w:trPr>
          <w:trHeight w:val="199"/>
        </w:trPr>
        <w:tc>
          <w:tcPr>
            <w:tcW w:w="600" w:type="dxa"/>
            <w:vAlign w:val="bottom"/>
            <w:vMerge w:val="restart"/>
          </w:tcPr>
          <w:p>
            <w:pPr>
              <w:spacing w:after="0"/>
              <w:rPr>
                <w:sz w:val="20"/>
                <w:szCs w:val="20"/>
                <w:color w:val="auto"/>
              </w:rPr>
            </w:pPr>
            <w:r>
              <w:rPr>
                <w:rFonts w:ascii="Arial" w:cs="Arial" w:eastAsia="Arial" w:hAnsi="Arial"/>
                <w:sz w:val="18"/>
                <w:szCs w:val="18"/>
                <w:color w:val="auto"/>
              </w:rPr>
              <w:t>Title:</w:t>
            </w:r>
          </w:p>
        </w:tc>
        <w:tc>
          <w:tcPr>
            <w:tcW w:w="3480" w:type="dxa"/>
            <w:vAlign w:val="bottom"/>
          </w:tcPr>
          <w:p>
            <w:pPr>
              <w:ind w:left="220"/>
              <w:spacing w:after="0" w:line="199" w:lineRule="exact"/>
              <w:rPr>
                <w:sz w:val="20"/>
                <w:szCs w:val="20"/>
                <w:color w:val="auto"/>
              </w:rPr>
            </w:pPr>
            <w:r>
              <w:rPr>
                <w:rFonts w:ascii="Arial" w:cs="Arial" w:eastAsia="Arial" w:hAnsi="Arial"/>
                <w:sz w:val="18"/>
                <w:szCs w:val="18"/>
                <w:color w:val="auto"/>
                <w:w w:val="93"/>
              </w:rPr>
              <w:t>Chief Executive Officer (Principal Executive</w:t>
            </w:r>
          </w:p>
        </w:tc>
        <w:tc>
          <w:tcPr>
            <w:tcW w:w="0" w:type="dxa"/>
            <w:vAlign w:val="bottom"/>
          </w:tcPr>
          <w:p>
            <w:pPr>
              <w:spacing w:after="0"/>
              <w:rPr>
                <w:sz w:val="1"/>
                <w:szCs w:val="1"/>
                <w:color w:val="auto"/>
              </w:rPr>
            </w:pPr>
          </w:p>
        </w:tc>
      </w:tr>
      <w:tr>
        <w:trPr>
          <w:trHeight w:val="149"/>
        </w:trPr>
        <w:tc>
          <w:tcPr>
            <w:tcW w:w="600" w:type="dxa"/>
            <w:vAlign w:val="bottom"/>
            <w:vMerge w:val="continue"/>
          </w:tcPr>
          <w:p>
            <w:pPr>
              <w:spacing w:after="0"/>
              <w:rPr>
                <w:sz w:val="12"/>
                <w:szCs w:val="12"/>
                <w:color w:val="auto"/>
              </w:rPr>
            </w:pPr>
          </w:p>
        </w:tc>
        <w:tc>
          <w:tcPr>
            <w:tcW w:w="3480" w:type="dxa"/>
            <w:vAlign w:val="bottom"/>
            <w:vMerge w:val="restart"/>
          </w:tcPr>
          <w:p>
            <w:pPr>
              <w:ind w:left="220"/>
              <w:spacing w:after="0"/>
              <w:rPr>
                <w:sz w:val="20"/>
                <w:szCs w:val="20"/>
                <w:color w:val="auto"/>
              </w:rPr>
            </w:pPr>
            <w:r>
              <w:rPr>
                <w:rFonts w:ascii="Arial" w:cs="Arial" w:eastAsia="Arial" w:hAnsi="Arial"/>
                <w:sz w:val="18"/>
                <w:szCs w:val="18"/>
                <w:color w:val="auto"/>
              </w:rPr>
              <w:t>Officer)</w:t>
            </w:r>
          </w:p>
        </w:tc>
        <w:tc>
          <w:tcPr>
            <w:tcW w:w="0" w:type="dxa"/>
            <w:vAlign w:val="bottom"/>
          </w:tcPr>
          <w:p>
            <w:pPr>
              <w:spacing w:after="0"/>
              <w:rPr>
                <w:sz w:val="1"/>
                <w:szCs w:val="1"/>
                <w:color w:val="auto"/>
              </w:rPr>
            </w:pPr>
          </w:p>
        </w:tc>
      </w:tr>
      <w:tr>
        <w:trPr>
          <w:trHeight w:val="82"/>
        </w:trPr>
        <w:tc>
          <w:tcPr>
            <w:tcW w:w="600" w:type="dxa"/>
            <w:vAlign w:val="bottom"/>
          </w:tcPr>
          <w:p>
            <w:pPr>
              <w:spacing w:after="0"/>
              <w:rPr>
                <w:sz w:val="7"/>
                <w:szCs w:val="7"/>
                <w:color w:val="auto"/>
              </w:rPr>
            </w:pPr>
          </w:p>
        </w:tc>
        <w:tc>
          <w:tcPr>
            <w:tcW w:w="34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472"/>
        </w:trPr>
        <w:tc>
          <w:tcPr>
            <w:tcW w:w="4080" w:type="dxa"/>
            <w:vAlign w:val="bottom"/>
            <w:gridSpan w:val="2"/>
          </w:tcPr>
          <w:p>
            <w:pPr>
              <w:spacing w:after="0"/>
              <w:rPr>
                <w:sz w:val="20"/>
                <w:szCs w:val="20"/>
                <w:color w:val="auto"/>
              </w:rPr>
            </w:pPr>
            <w:r>
              <w:rPr>
                <w:rFonts w:ascii="Arial" w:cs="Arial" w:eastAsia="Arial" w:hAnsi="Arial"/>
                <w:sz w:val="18"/>
                <w:szCs w:val="18"/>
                <w:color w:val="auto"/>
              </w:rPr>
              <w:t>November 7, 2022</w:t>
            </w:r>
          </w:p>
        </w:tc>
        <w:tc>
          <w:tcPr>
            <w:tcW w:w="0" w:type="dxa"/>
            <w:vAlign w:val="bottom"/>
          </w:tcPr>
          <w:p>
            <w:pPr>
              <w:spacing w:after="0"/>
              <w:rPr>
                <w:sz w:val="1"/>
                <w:szCs w:val="1"/>
                <w:color w:val="auto"/>
              </w:rPr>
            </w:pPr>
          </w:p>
        </w:tc>
      </w:tr>
    </w:tbl>
    <w:p>
      <w:pPr>
        <w:spacing w:after="0" w:line="323"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i w:val="1"/>
          <w:iCs w:val="1"/>
          <w:color w:val="auto"/>
        </w:rPr>
        <w:t>A signed original of this written statement required by 18 U.S.C. Section 1350 has been provided to the Company and will be retained by the Company and furnished to the Securities and Exchange Commission or its staff upon request.</w:t>
      </w:r>
    </w:p>
    <w:p>
      <w:pPr>
        <w:sectPr>
          <w:pgSz w:w="11900" w:h="16838" w:orient="portrait"/>
          <w:cols w:equalWidth="0" w:num="1">
            <w:col w:w="11240"/>
          </w:cols>
          <w:pgMar w:left="320" w:top="891" w:right="339" w:bottom="1440" w:gutter="0" w:footer="0" w:header="0"/>
        </w:sectPr>
      </w:pPr>
    </w:p>
    <w:bookmarkStart w:id="54" w:name="page55"/>
    <w:bookmarkEnd w:id="54"/>
    <w:p>
      <w:pPr>
        <w:jc w:val="right"/>
        <w:spacing w:after="0"/>
        <w:rPr>
          <w:sz w:val="20"/>
          <w:szCs w:val="20"/>
          <w:color w:val="auto"/>
        </w:rPr>
      </w:pPr>
      <w:r>
        <w:rPr>
          <w:rFonts w:ascii="Arial" w:cs="Arial" w:eastAsia="Arial" w:hAnsi="Arial"/>
          <w:sz w:val="18"/>
          <w:szCs w:val="18"/>
          <w:b w:val="1"/>
          <w:bCs w:val="1"/>
          <w:color w:val="auto"/>
        </w:rPr>
        <w:t>EXHIBIT 32.2</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38" w:lineRule="exact"/>
        <w:rPr>
          <w:sz w:val="20"/>
          <w:szCs w:val="20"/>
          <w:color w:val="auto"/>
        </w:rPr>
      </w:pPr>
    </w:p>
    <w:p>
      <w:pPr>
        <w:jc w:val="both"/>
        <w:spacing w:after="0" w:line="281" w:lineRule="auto"/>
        <w:rPr>
          <w:sz w:val="20"/>
          <w:szCs w:val="20"/>
          <w:color w:val="auto"/>
        </w:rPr>
      </w:pPr>
      <w:r>
        <w:rPr>
          <w:rFonts w:ascii="Arial" w:cs="Arial" w:eastAsia="Arial" w:hAnsi="Arial"/>
          <w:sz w:val="17"/>
          <w:szCs w:val="17"/>
          <w:color w:val="auto"/>
        </w:rPr>
        <w:t>In connection with the Annual Report of The Pennant Group, Inc. (the Company) on Form 10-Q for the period ended September 30, 2022, as filed with the Securities and Exchange Commission on the date hereof (the Report), I, Jennifer L. Freeman, Chief Financial Officer of the Company, certify, pursuant to 18 U.S.C. § 1350, as adopted pursuant to Section 906 of the Sarbanes-Oxley Act of 2002, that to my knowledge:</w:t>
      </w:r>
    </w:p>
    <w:p>
      <w:pPr>
        <w:spacing w:after="0" w:line="2" w:lineRule="exact"/>
        <w:rPr>
          <w:sz w:val="20"/>
          <w:szCs w:val="20"/>
          <w:color w:val="auto"/>
        </w:rPr>
      </w:pPr>
    </w:p>
    <w:p>
      <w:pPr>
        <w:ind w:left="700" w:hanging="350"/>
        <w:spacing w:after="0"/>
        <w:tabs>
          <w:tab w:leader="none" w:pos="7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25" w:lineRule="exact"/>
        <w:rPr>
          <w:sz w:val="20"/>
          <w:szCs w:val="20"/>
          <w:color w:val="auto"/>
        </w:rPr>
      </w:pPr>
    </w:p>
    <w:p>
      <w:pPr>
        <w:ind w:left="700" w:hanging="350"/>
        <w:spacing w:after="0"/>
        <w:tabs>
          <w:tab w:leader="none" w:pos="700" w:val="left"/>
        </w:tabs>
        <w:numPr>
          <w:ilvl w:val="0"/>
          <w:numId w:val="41"/>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75" w:lineRule="exact"/>
        <w:rPr>
          <w:sz w:val="20"/>
          <w:szCs w:val="20"/>
          <w:color w:val="auto"/>
        </w:rPr>
      </w:pPr>
    </w:p>
    <w:p>
      <w:pPr>
        <w:ind w:left="5440"/>
        <w:spacing w:after="0"/>
        <w:rPr>
          <w:sz w:val="20"/>
          <w:szCs w:val="20"/>
          <w:color w:val="auto"/>
        </w:rPr>
      </w:pPr>
      <w:r>
        <w:rPr>
          <w:rFonts w:ascii="Arial" w:cs="Arial" w:eastAsia="Arial" w:hAnsi="Arial"/>
          <w:sz w:val="18"/>
          <w:szCs w:val="18"/>
          <w:color w:val="auto"/>
        </w:rPr>
        <w:t>/s/ JENNIFER L. FREEMAN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3442335</wp:posOffset>
            </wp:positionH>
            <wp:positionV relativeFrom="paragraph">
              <wp:posOffset>14605</wp:posOffset>
            </wp:positionV>
            <wp:extent cx="2768600" cy="88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71">
                      <a:extLst>
                        <a:ext uri="{28A0092B-C50C-407E-A947-70E740481C1C}"/>
                      </a:extLst>
                    </a:blip>
                    <a:srcRect/>
                    <a:stretch>
                      <a:fillRect/>
                    </a:stretch>
                  </pic:blipFill>
                  <pic:spPr bwMode="auto">
                    <a:xfrm>
                      <a:off x="0" y="0"/>
                      <a:ext cx="2768600" cy="8890"/>
                    </a:xfrm>
                    <a:prstGeom prst="rect">
                      <a:avLst/>
                    </a:prstGeom>
                    <a:noFill/>
                  </pic:spPr>
                </pic:pic>
              </a:graphicData>
            </a:graphic>
          </wp:anchor>
        </w:drawing>
      </w:r>
    </w:p>
    <w:p>
      <w:pPr>
        <w:spacing w:after="0" w:line="16" w:lineRule="exact"/>
        <w:rPr>
          <w:sz w:val="20"/>
          <w:szCs w:val="20"/>
          <w:color w:val="auto"/>
        </w:rPr>
      </w:pPr>
    </w:p>
    <w:p>
      <w:pPr>
        <w:ind w:left="5440"/>
        <w:spacing w:after="0"/>
        <w:tabs>
          <w:tab w:leader="none" w:pos="6220" w:val="left"/>
        </w:tabs>
        <w:rPr>
          <w:sz w:val="20"/>
          <w:szCs w:val="20"/>
          <w:color w:val="auto"/>
        </w:rPr>
      </w:pPr>
      <w:r>
        <w:rPr>
          <w:rFonts w:ascii="Arial" w:cs="Arial" w:eastAsia="Arial" w:hAnsi="Arial"/>
          <w:sz w:val="18"/>
          <w:szCs w:val="18"/>
          <w:color w:val="auto"/>
        </w:rPr>
        <w:t>Name:</w:t>
      </w:r>
      <w:r>
        <w:rPr>
          <w:sz w:val="20"/>
          <w:szCs w:val="20"/>
          <w:color w:val="auto"/>
        </w:rPr>
        <w:tab/>
      </w:r>
      <w:r>
        <w:rPr>
          <w:rFonts w:ascii="Arial" w:cs="Arial" w:eastAsia="Arial" w:hAnsi="Arial"/>
          <w:sz w:val="18"/>
          <w:szCs w:val="18"/>
          <w:color w:val="auto"/>
        </w:rPr>
        <w:t>Jennifer L. Freeman</w:t>
      </w:r>
    </w:p>
    <w:p>
      <w:pPr>
        <w:spacing w:after="0" w:line="7" w:lineRule="exact"/>
        <w:rPr>
          <w:sz w:val="20"/>
          <w:szCs w:val="20"/>
          <w:color w:val="auto"/>
        </w:rPr>
      </w:pPr>
    </w:p>
    <w:p>
      <w:pPr>
        <w:ind w:left="6240"/>
        <w:spacing w:after="0"/>
        <w:rPr>
          <w:sz w:val="20"/>
          <w:szCs w:val="20"/>
          <w:color w:val="auto"/>
        </w:rPr>
      </w:pPr>
      <w:r>
        <w:rPr>
          <w:rFonts w:ascii="Arial" w:cs="Arial" w:eastAsia="Arial" w:hAnsi="Arial"/>
          <w:sz w:val="18"/>
          <w:szCs w:val="18"/>
          <w:i w:val="1"/>
          <w:iCs w:val="1"/>
          <w:color w:val="auto"/>
        </w:rPr>
        <w:t>Chief Financial Officer (Principal Financial</w:t>
      </w:r>
    </w:p>
    <w:p>
      <w:pPr>
        <w:ind w:left="5440"/>
        <w:spacing w:after="0" w:line="219" w:lineRule="auto"/>
        <w:tabs>
          <w:tab w:leader="none" w:pos="622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8"/>
          <w:szCs w:val="18"/>
          <w:i w:val="1"/>
          <w:iCs w:val="1"/>
          <w:color w:val="auto"/>
        </w:rPr>
        <w:t>Officer, Principal Accounting Officer and Duly</w:t>
      </w:r>
    </w:p>
    <w:p>
      <w:pPr>
        <w:ind w:left="6240"/>
        <w:spacing w:after="0"/>
        <w:rPr>
          <w:sz w:val="20"/>
          <w:szCs w:val="20"/>
          <w:color w:val="auto"/>
        </w:rPr>
      </w:pPr>
      <w:r>
        <w:rPr>
          <w:rFonts w:ascii="Arial" w:cs="Arial" w:eastAsia="Arial" w:hAnsi="Arial"/>
          <w:sz w:val="18"/>
          <w:szCs w:val="18"/>
          <w:i w:val="1"/>
          <w:iCs w:val="1"/>
          <w:color w:val="auto"/>
        </w:rPr>
        <w:t>Authorized Officer)</w:t>
      </w:r>
    </w:p>
    <w:p>
      <w:pPr>
        <w:spacing w:after="0" w:line="236" w:lineRule="exact"/>
        <w:rPr>
          <w:sz w:val="20"/>
          <w:szCs w:val="20"/>
          <w:color w:val="auto"/>
        </w:rPr>
      </w:pPr>
    </w:p>
    <w:p>
      <w:pPr>
        <w:ind w:left="5440"/>
        <w:spacing w:after="0"/>
        <w:rPr>
          <w:sz w:val="20"/>
          <w:szCs w:val="20"/>
          <w:color w:val="auto"/>
        </w:rPr>
      </w:pPr>
      <w:r>
        <w:rPr>
          <w:rFonts w:ascii="Arial" w:cs="Arial" w:eastAsia="Arial" w:hAnsi="Arial"/>
          <w:sz w:val="18"/>
          <w:szCs w:val="18"/>
          <w:color w:val="auto"/>
        </w:rPr>
        <w:t>November 7, 2022</w:t>
      </w:r>
    </w:p>
    <w:p>
      <w:pPr>
        <w:spacing w:after="0" w:line="347"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i w:val="1"/>
          <w:iCs w:val="1"/>
          <w:color w:val="auto"/>
        </w:rPr>
        <w:t>A signed original of this written statement required by 18 U.S.C. Section 1350 has been provided to the Company and will be retained by the Company and furnished to the Securities and Exchange Commission or its staff upon request.</w:t>
      </w:r>
    </w:p>
    <w:sectPr>
      <w:pgSz w:w="11900" w:h="16838" w:orient="portrait"/>
      <w:cols w:equalWidth="0" w:num="1">
        <w:col w:w="11240"/>
      </w:cols>
      <w:pgMar w:left="320" w:top="89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28C895D"/>
    <w:multiLevelType w:val="hybridMultilevel"/>
    <w:lvl w:ilvl="0">
      <w:lvlJc w:val="left"/>
      <w:lvlText w:val="☒"/>
      <w:numFmt w:val="bullet"/>
      <w:start w:val="1"/>
    </w:lvl>
  </w:abstractNum>
  <w:abstractNum w:abstractNumId="1">
    <w:nsid w:val="333AB105"/>
    <w:multiLevelType w:val="hybridMultilevel"/>
    <w:lvl w:ilvl="0">
      <w:lvlJc w:val="left"/>
      <w:lvlText w:val="☐"/>
      <w:numFmt w:val="bullet"/>
      <w:start w:val="1"/>
    </w:lvl>
  </w:abstractNum>
  <w:abstractNum w:abstractNumId="2">
    <w:nsid w:val="721DA317"/>
    <w:multiLevelType w:val="hybridMultilevel"/>
    <w:lvl w:ilvl="0">
      <w:lvlJc w:val="left"/>
      <w:lvlText w:val="☒"/>
      <w:numFmt w:val="bullet"/>
      <w:start w:val="1"/>
    </w:lvl>
  </w:abstractNum>
  <w:abstractNum w:abstractNumId="3">
    <w:nsid w:val="2443A858"/>
    <w:multiLevelType w:val="hybridMultilevel"/>
    <w:lvl w:ilvl="0">
      <w:lvlJc w:val="left"/>
      <w:lvlText w:val="%1"/>
      <w:numFmt w:val="decimal"/>
      <w:start w:val="1"/>
    </w:lvl>
    <w:lvl w:ilvl="1">
      <w:lvlJc w:val="left"/>
      <w:lvlText w:val="(%2)"/>
      <w:numFmt w:val="lowerLetter"/>
      <w:start w:val="1"/>
    </w:lvl>
  </w:abstractNum>
  <w:abstractNum w:abstractNumId="4">
    <w:nsid w:val="2D1D5AE9"/>
    <w:multiLevelType w:val="hybridMultilevel"/>
    <w:lvl w:ilvl="0">
      <w:lvlJc w:val="left"/>
      <w:lvlText w:val="%1."/>
      <w:numFmt w:val="decimal"/>
      <w:start w:val="5"/>
    </w:lvl>
    <w:lvl w:ilvl="1">
      <w:lvlJc w:val="left"/>
      <w:lvlText w:val="%2"/>
      <w:numFmt w:val="lowerLetter"/>
      <w:start w:val="1"/>
    </w:lvl>
  </w:abstractNum>
  <w:abstractNum w:abstractNumId="5">
    <w:nsid w:val="6763845E"/>
    <w:multiLevelType w:val="hybridMultilevel"/>
    <w:lvl w:ilvl="0">
      <w:lvlJc w:val="left"/>
      <w:lvlText w:val="(%1)"/>
      <w:numFmt w:val="lowerLetter"/>
      <w:start w:val="1"/>
    </w:lvl>
  </w:abstractNum>
  <w:abstractNum w:abstractNumId="6">
    <w:nsid w:val="75A2A8D4"/>
    <w:multiLevelType w:val="hybridMultilevel"/>
    <w:lvl w:ilvl="0">
      <w:lvlJc w:val="left"/>
      <w:lvlText w:val="(%1)"/>
      <w:numFmt w:val="lowerLetter"/>
      <w:start w:val="1"/>
    </w:lvl>
  </w:abstractNum>
  <w:abstractNum w:abstractNumId="7">
    <w:nsid w:val="8EDBDAB"/>
    <w:multiLevelType w:val="hybridMultilevel"/>
    <w:lvl w:ilvl="0">
      <w:lvlJc w:val="left"/>
      <w:lvlText w:val="(%1)"/>
      <w:numFmt w:val="lowerLetter"/>
      <w:start w:val="1"/>
    </w:lvl>
  </w:abstractNum>
  <w:abstractNum w:abstractNumId="8">
    <w:nsid w:val="79838CB2"/>
    <w:multiLevelType w:val="hybridMultilevel"/>
    <w:lvl w:ilvl="0">
      <w:lvlJc w:val="left"/>
      <w:lvlText w:val="(%1)"/>
      <w:numFmt w:val="lowerLetter"/>
      <w:start w:val="1"/>
    </w:lvl>
  </w:abstractNum>
  <w:abstractNum w:abstractNumId="9">
    <w:nsid w:val="4353D0CD"/>
    <w:multiLevelType w:val="hybridMultilevel"/>
    <w:lvl w:ilvl="0">
      <w:lvlJc w:val="left"/>
      <w:lvlText w:val="(%1)"/>
      <w:numFmt w:val="lowerLetter"/>
      <w:start w:val="1"/>
    </w:lvl>
  </w:abstractNum>
  <w:abstractNum w:abstractNumId="10">
    <w:nsid w:val="B03E0C6"/>
    <w:multiLevelType w:val="hybridMultilevel"/>
    <w:lvl w:ilvl="0">
      <w:lvlJc w:val="left"/>
      <w:lvlText w:val="(%1)"/>
      <w:numFmt w:val="lowerLetter"/>
      <w:start w:val="1"/>
    </w:lvl>
  </w:abstractNum>
  <w:abstractNum w:abstractNumId="11">
    <w:nsid w:val="189A769B"/>
    <w:multiLevelType w:val="hybridMultilevel"/>
    <w:lvl w:ilvl="0">
      <w:lvlJc w:val="left"/>
      <w:lvlText w:val="(%1)"/>
      <w:numFmt w:val="lowerLetter"/>
      <w:start w:val="1"/>
    </w:lvl>
  </w:abstractNum>
  <w:abstractNum w:abstractNumId="12">
    <w:nsid w:val="54E49EB4"/>
    <w:multiLevelType w:val="hybridMultilevel"/>
    <w:lvl w:ilvl="0">
      <w:lvlJc w:val="left"/>
      <w:lvlText w:val="(%1)"/>
      <w:numFmt w:val="lowerLetter"/>
      <w:start w:val="1"/>
    </w:lvl>
  </w:abstractNum>
  <w:abstractNum w:abstractNumId="13">
    <w:nsid w:val="71F32454"/>
    <w:multiLevelType w:val="hybridMultilevel"/>
    <w:lvl w:ilvl="0">
      <w:lvlJc w:val="left"/>
      <w:lvlText w:val="(%1)"/>
      <w:numFmt w:val="lowerLetter"/>
      <w:start w:val="1"/>
    </w:lvl>
  </w:abstractNum>
  <w:abstractNum w:abstractNumId="14">
    <w:nsid w:val="2CA88611"/>
    <w:multiLevelType w:val="hybridMultilevel"/>
    <w:lvl w:ilvl="0">
      <w:lvlJc w:val="left"/>
      <w:lvlText w:val="(%1)"/>
      <w:numFmt w:val="lowerRoman"/>
      <w:start w:val="2"/>
    </w:lvl>
  </w:abstractNum>
  <w:abstractNum w:abstractNumId="15">
    <w:nsid w:val="836C40E"/>
    <w:multiLevelType w:val="hybridMultilevel"/>
    <w:lvl w:ilvl="0">
      <w:lvlJc w:val="left"/>
      <w:lvlText w:val="•"/>
      <w:numFmt w:val="bullet"/>
      <w:start w:val="1"/>
    </w:lvl>
  </w:abstractNum>
  <w:abstractNum w:abstractNumId="16">
    <w:nsid w:val="2901D82"/>
    <w:multiLevelType w:val="hybridMultilevel"/>
    <w:lvl w:ilvl="0">
      <w:lvlJc w:val="left"/>
      <w:lvlText w:val="•"/>
      <w:numFmt w:val="bullet"/>
      <w:start w:val="1"/>
    </w:lvl>
  </w:abstractNum>
  <w:abstractNum w:abstractNumId="17">
    <w:nsid w:val="3A95F874"/>
    <w:multiLevelType w:val="hybridMultilevel"/>
    <w:lvl w:ilvl="0">
      <w:lvlJc w:val="left"/>
      <w:lvlText w:val="(%1)"/>
      <w:numFmt w:val="decimal"/>
      <w:start w:val="2"/>
    </w:lvl>
  </w:abstractNum>
  <w:abstractNum w:abstractNumId="18">
    <w:nsid w:val="8138641"/>
    <w:multiLevelType w:val="hybridMultilevel"/>
    <w:lvl w:ilvl="0">
      <w:lvlJc w:val="left"/>
      <w:lvlText w:val="•"/>
      <w:numFmt w:val="bullet"/>
      <w:start w:val="1"/>
    </w:lvl>
  </w:abstractNum>
  <w:abstractNum w:abstractNumId="19">
    <w:nsid w:val="1E7FF521"/>
    <w:multiLevelType w:val="hybridMultilevel"/>
    <w:lvl w:ilvl="0">
      <w:lvlJc w:val="left"/>
      <w:lvlText w:val="(%1)"/>
      <w:numFmt w:val="lowerLetter"/>
      <w:start w:val="1"/>
    </w:lvl>
  </w:abstractNum>
  <w:abstractNum w:abstractNumId="20">
    <w:nsid w:val="7C3DBD3D"/>
    <w:multiLevelType w:val="hybridMultilevel"/>
    <w:lvl w:ilvl="0">
      <w:lvlJc w:val="left"/>
      <w:lvlText w:val="•"/>
      <w:numFmt w:val="bullet"/>
      <w:start w:val="1"/>
    </w:lvl>
  </w:abstractNum>
  <w:abstractNum w:abstractNumId="21">
    <w:nsid w:val="737B8DDC"/>
    <w:multiLevelType w:val="hybridMultilevel"/>
    <w:lvl w:ilvl="0">
      <w:lvlJc w:val="left"/>
      <w:lvlText w:val="•"/>
      <w:numFmt w:val="bullet"/>
      <w:start w:val="1"/>
    </w:lvl>
  </w:abstractNum>
  <w:abstractNum w:abstractNumId="22">
    <w:nsid w:val="6CEAF087"/>
    <w:multiLevelType w:val="hybridMultilevel"/>
    <w:lvl w:ilvl="0">
      <w:lvlJc w:val="left"/>
      <w:lvlText w:val="•"/>
      <w:numFmt w:val="bullet"/>
      <w:start w:val="1"/>
    </w:lvl>
  </w:abstractNum>
  <w:abstractNum w:abstractNumId="23">
    <w:nsid w:val="22221A70"/>
    <w:multiLevelType w:val="hybridMultilevel"/>
    <w:lvl w:ilvl="0">
      <w:lvlJc w:val="left"/>
      <w:lvlText w:val="(%1)"/>
      <w:numFmt w:val="lowerLetter"/>
      <w:start w:val="1"/>
    </w:lvl>
  </w:abstractNum>
  <w:abstractNum w:abstractNumId="24">
    <w:nsid w:val="4516DDE9"/>
    <w:multiLevelType w:val="hybridMultilevel"/>
    <w:lvl w:ilvl="0">
      <w:lvlJc w:val="left"/>
      <w:lvlText w:val="(%1)"/>
      <w:numFmt w:val="lowerLetter"/>
      <w:start w:val="1"/>
    </w:lvl>
  </w:abstractNum>
  <w:abstractNum w:abstractNumId="25">
    <w:nsid w:val="3006C83E"/>
    <w:multiLevelType w:val="hybridMultilevel"/>
    <w:lvl w:ilvl="0">
      <w:lvlJc w:val="left"/>
      <w:lvlText w:val="(%1)"/>
      <w:numFmt w:val="lowerLetter"/>
      <w:start w:val="1"/>
    </w:lvl>
  </w:abstractNum>
  <w:abstractNum w:abstractNumId="26">
    <w:nsid w:val="614FD4A1"/>
    <w:multiLevelType w:val="hybridMultilevel"/>
    <w:lvl w:ilvl="0">
      <w:lvlJc w:val="left"/>
      <w:lvlText w:val="•"/>
      <w:numFmt w:val="bullet"/>
      <w:start w:val="1"/>
    </w:lvl>
  </w:abstractNum>
  <w:abstractNum w:abstractNumId="27">
    <w:nsid w:val="419AC241"/>
    <w:multiLevelType w:val="hybridMultilevel"/>
    <w:lvl w:ilvl="0">
      <w:lvlJc w:val="left"/>
      <w:lvlText w:val="•"/>
      <w:numFmt w:val="bullet"/>
      <w:start w:val="1"/>
    </w:lvl>
  </w:abstractNum>
  <w:abstractNum w:abstractNumId="28">
    <w:nsid w:val="5577F8E1"/>
    <w:multiLevelType w:val="hybridMultilevel"/>
    <w:lvl w:ilvl="0">
      <w:lvlJc w:val="left"/>
      <w:lvlText w:val="•"/>
      <w:numFmt w:val="bullet"/>
      <w:start w:val="1"/>
    </w:lvl>
  </w:abstractNum>
  <w:abstractNum w:abstractNumId="29">
    <w:nsid w:val="440BADFC"/>
    <w:multiLevelType w:val="hybridMultilevel"/>
    <w:lvl w:ilvl="0">
      <w:lvlJc w:val="left"/>
      <w:lvlText w:val="(%1)"/>
      <w:numFmt w:val="lowerLetter"/>
      <w:start w:val="1"/>
    </w:lvl>
  </w:abstractNum>
  <w:abstractNum w:abstractNumId="30">
    <w:nsid w:val="5072367"/>
    <w:multiLevelType w:val="hybridMultilevel"/>
    <w:lvl w:ilvl="0">
      <w:lvlJc w:val="left"/>
      <w:lvlText w:val="•"/>
      <w:numFmt w:val="bullet"/>
      <w:start w:val="1"/>
    </w:lvl>
  </w:abstractNum>
  <w:abstractNum w:abstractNumId="31">
    <w:nsid w:val="3804823E"/>
    <w:multiLevelType w:val="hybridMultilevel"/>
    <w:lvl w:ilvl="0">
      <w:lvlJc w:val="left"/>
      <w:lvlText w:val="(%1)"/>
      <w:numFmt w:val="lowerLetter"/>
      <w:start w:val="1"/>
    </w:lvl>
  </w:abstractNum>
  <w:abstractNum w:abstractNumId="32">
    <w:nsid w:val="77465F01"/>
    <w:multiLevelType w:val="hybridMultilevel"/>
    <w:lvl w:ilvl="0">
      <w:lvlJc w:val="left"/>
      <w:lvlText w:val="(%1)"/>
      <w:numFmt w:val="lowerLetter"/>
      <w:start w:val="1"/>
    </w:lvl>
  </w:abstractNum>
  <w:abstractNum w:abstractNumId="33">
    <w:nsid w:val="7724C67E"/>
    <w:multiLevelType w:val="hybridMultilevel"/>
    <w:lvl w:ilvl="0">
      <w:lvlJc w:val="left"/>
      <w:lvlText w:val="(%1)"/>
      <w:numFmt w:val="lowerLetter"/>
      <w:start w:val="1"/>
    </w:lvl>
  </w:abstractNum>
  <w:abstractNum w:abstractNumId="34">
    <w:nsid w:val="5C482A97"/>
    <w:multiLevelType w:val="hybridMultilevel"/>
    <w:lvl w:ilvl="0">
      <w:lvlJc w:val="left"/>
      <w:lvlText w:val="%1"/>
      <w:numFmt w:val="decimal"/>
      <w:start w:val="104"/>
    </w:lvl>
  </w:abstractNum>
  <w:abstractNum w:abstractNumId="35">
    <w:nsid w:val="2463B9EA"/>
    <w:multiLevelType w:val="hybridMultilevel"/>
    <w:lvl w:ilvl="0">
      <w:lvlJc w:val="left"/>
      <w:lvlText w:val="%1."/>
      <w:numFmt w:val="decimal"/>
      <w:start w:val="1"/>
    </w:lvl>
    <w:lvl w:ilvl="1">
      <w:lvlJc w:val="left"/>
      <w:lvlText w:val="(%2)"/>
      <w:numFmt w:val="lowerLetter"/>
      <w:start w:val="1"/>
    </w:lvl>
  </w:abstractNum>
  <w:abstractNum w:abstractNumId="36">
    <w:nsid w:val="5E884ADC"/>
    <w:multiLevelType w:val="hybridMultilevel"/>
    <w:lvl w:ilvl="0">
      <w:lvlJc w:val="left"/>
      <w:lvlText w:val="%1."/>
      <w:numFmt w:val="decimal"/>
      <w:start w:val="1"/>
    </w:lvl>
    <w:lvl w:ilvl="1">
      <w:lvlJc w:val="left"/>
      <w:lvlText w:val="(%2)"/>
      <w:numFmt w:val="lowerLetter"/>
      <w:start w:val="1"/>
    </w:lvl>
  </w:abstractNum>
  <w:abstractNum w:abstractNumId="37">
    <w:nsid w:val="51EAD36B"/>
    <w:multiLevelType w:val="hybridMultilevel"/>
    <w:lvl w:ilvl="0">
      <w:lvlJc w:val="left"/>
      <w:lvlText w:val="1"/>
      <w:numFmt w:val="bullet"/>
      <w:start w:val="1"/>
    </w:lvl>
  </w:abstractNum>
  <w:abstractNum w:abstractNumId="38">
    <w:nsid w:val="2D517796"/>
    <w:multiLevelType w:val="hybridMultilevel"/>
    <w:lvl w:ilvl="0">
      <w:lvlJc w:val="left"/>
      <w:lvlText w:val="2"/>
      <w:numFmt w:val="bullet"/>
      <w:start w:val="1"/>
    </w:lvl>
  </w:abstractNum>
  <w:abstractNum w:abstractNumId="39">
    <w:nsid w:val="580BD78F"/>
    <w:multiLevelType w:val="hybridMultilevel"/>
    <w:lvl w:ilvl="0">
      <w:lvlJc w:val="left"/>
      <w:lvlText w:val="1"/>
      <w:numFmt w:val="bullet"/>
      <w:start w:val="1"/>
    </w:lvl>
  </w:abstractNum>
  <w:abstractNum w:abstractNumId="40">
    <w:nsid w:val="153EA438"/>
    <w:multiLevelType w:val="hybridMultilevel"/>
    <w:lvl w:ilvl="0">
      <w:lvlJc w:val="left"/>
      <w:lvlText w:val="2"/>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7" Type="http://schemas.openxmlformats.org/officeDocument/2006/relationships/image" Target="media/image56.png"/><Relationship Id="rId68" Type="http://schemas.openxmlformats.org/officeDocument/2006/relationships/image" Target="media/image57.png"/><Relationship Id="rId69" Type="http://schemas.openxmlformats.org/officeDocument/2006/relationships/image" Target="media/image58.png"/><Relationship Id="rId70" Type="http://schemas.openxmlformats.org/officeDocument/2006/relationships/image" Target="media/image59.png"/><Relationship Id="rId71" Type="http://schemas.openxmlformats.org/officeDocument/2006/relationships/image" Target="media/image60.png"/><Relationship Id="rId63" Type="http://schemas.openxmlformats.org/officeDocument/2006/relationships/hyperlink" Target="https://www.sec.gov/Archives/edgar/data/1766400/000119312519235824/d693607dex31.htm" TargetMode="External"/><Relationship Id="rId64" Type="http://schemas.openxmlformats.org/officeDocument/2006/relationships/hyperlink" Target="https://www.sec.gov/Archives/edgar/data/1766400/000119312519260914/d812063dex32.htm" TargetMode="External"/><Relationship Id="rId65" Type="http://schemas.openxmlformats.org/officeDocument/2006/relationships/hyperlink" Target="https://www.sec.gov/Archives/edgar/data/1766400/000176640022000112/pntg-consultingagreement.htm" TargetMode="External"/><Relationship Id="rId66" Type="http://schemas.openxmlformats.org/officeDocument/2006/relationships/hyperlink" Target="https://www.sec.gov/Archives/edgar/data/1766400/000176640022000112/pntg-rsuamendmentletterxdw.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2022-11-07T15:32:33Z</dcterms:created>
  <dcterms:modified xsi:type="dcterms:W3CDTF">2022-11-07T15:32:33Z</dcterms:modified>
</cp:coreProperties>
</file>