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left"/>
        <w:rPr/>
      </w:pPr>
      <w:r>
        <w:rPr>
          <w:color w:val="000000"/>
        </w:rPr>
        <w:t>    </w:t>
      </w: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rPr>
        <w:t>.</w:t>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001-38900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THE PENNANT GROUP,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748" w:type="dxa"/>
        <w:jc w:val="center"/>
        <w:tblInd w:w="0" w:type="dxa"/>
        <w:tblLayout w:type="fixed"/>
        <w:tblCellMar>
          <w:top w:w="28" w:type="dxa"/>
          <w:left w:w="28" w:type="dxa"/>
          <w:bottom w:w="28" w:type="dxa"/>
          <w:right w:w="28" w:type="dxa"/>
        </w:tblCellMar>
      </w:tblPr>
      <w:tblGrid>
        <w:gridCol w:w="827"/>
        <w:gridCol w:w="730"/>
        <w:gridCol w:w="737"/>
        <w:gridCol w:w="425"/>
        <w:gridCol w:w="425"/>
        <w:gridCol w:w="60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83-3349931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1675 East Riverside Drive, Suite 150, Eagle, ID 83616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and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(208) 401-1400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None </w:t>
      </w:r>
    </w:p>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233" w:type="dxa"/>
        <w:jc w:val="center"/>
        <w:tblInd w:w="0" w:type="dxa"/>
        <w:tblLayout w:type="fixed"/>
        <w:tblCellMar>
          <w:top w:w="28" w:type="dxa"/>
          <w:left w:w="28" w:type="dxa"/>
          <w:bottom w:w="28" w:type="dxa"/>
          <w:right w:w="28" w:type="dxa"/>
        </w:tblCellMar>
      </w:tblPr>
      <w:tblGrid>
        <w:gridCol w:w="1155"/>
        <w:gridCol w:w="1017"/>
        <w:gridCol w:w="1023"/>
        <w:gridCol w:w="519"/>
        <w:gridCol w:w="519"/>
        <w:gridCol w:w="521"/>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PNTG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ind w:left="0" w:right="0" w:firstLine="495"/>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12(g) of the Exchange Act: None</w:t>
      </w:r>
    </w:p>
    <w:p>
      <w:pPr>
        <w:pStyle w:val="TextBody"/>
        <w:bidi w:val="0"/>
        <w:spacing w:before="0" w:after="0"/>
        <w:jc w:val="center"/>
        <w:rPr/>
      </w:pPr>
      <w:r>
        <w:rPr/>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ind w:left="0" w:right="0" w:firstLine="495"/>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Indicate by a check mark whether the registrant is a shell company (as defined in Rule 12b-2 of the Exchange Act). </w:t>
      </w:r>
      <w:r>
        <w:rPr>
          <w:color w:val="000000"/>
        </w:rPr>
        <w:t xml:space="preserve">☐ </w:t>
      </w:r>
      <w:r>
        <w:rPr>
          <w:rFonts w:ascii="Times New Roman;serif" w:hAnsi="Times New Roman;serif"/>
          <w:b w:val="false"/>
          <w:color w:val="000000"/>
          <w:sz w:val="18"/>
        </w:rPr>
        <w:t xml:space="preserve">Yes </w:t>
      </w:r>
      <w:r>
        <w:rPr>
          <w:color w:val="000000"/>
        </w:rPr>
        <w:t xml:space="preserve">☒ </w:t>
      </w:r>
      <w:r>
        <w:rPr>
          <w:rFonts w:ascii="Times New Roman;serif" w:hAnsi="Times New Roman;serif"/>
          <w:b w:val="false"/>
          <w:color w:val="000000"/>
          <w:sz w:val="18"/>
        </w:rPr>
        <w:t>No</w:t>
      </w:r>
    </w:p>
    <w:p>
      <w:pPr>
        <w:pStyle w:val="TextBody"/>
        <w:bidi w:val="0"/>
        <w:spacing w:lineRule="auto" w:line="288" w:before="200" w:after="283"/>
        <w:jc w:val="left"/>
        <w:rPr>
          <w:rFonts w:ascii="Times New Roman;serif" w:hAnsi="Times New Roman;serif"/>
          <w:b w:val="false"/>
          <w:color w:val="000000"/>
          <w:sz w:val="18"/>
        </w:rPr>
      </w:pPr>
      <w:r>
        <w:rPr>
          <w:rFonts w:ascii="Times New Roman;serif" w:hAnsi="Times New Roman;serif"/>
          <w:b w:val="false"/>
          <w:color w:val="000000"/>
          <w:sz w:val="18"/>
        </w:rPr>
        <w:t>As of August 3, 2026, 34,929,074 shares of the registrant’s common stock were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AND SIX MONTHS ENDED JUNE 30, 2026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9"/>
        <w:gridCol w:w="246"/>
        <w:gridCol w:w="247"/>
        <w:gridCol w:w="109"/>
        <w:gridCol w:w="2991"/>
        <w:gridCol w:w="2976"/>
        <w:gridCol w:w="2982"/>
        <w:gridCol w:w="109"/>
        <w:gridCol w:w="109"/>
        <w:gridCol w:w="157"/>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0">
              <w:r>
                <w:rPr>
                  <w:rStyle w:val="InternetLink"/>
                  <w:rFonts w:ascii="Times New Roman;serif" w:hAnsi="Times New Roman;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13">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3">
              <w:r>
                <w:rPr>
                  <w:rStyle w:val="InternetLink"/>
                  <w:rFonts w:ascii="Times New Roman;serif" w:hAnsi="Times New Roman;serif"/>
                  <w:b w:val="false"/>
                  <w:color w:val="0000FF"/>
                  <w:sz w:val="20"/>
                  <w:u w:val="single"/>
                </w:rPr>
                <w:t>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6">
              <w:r>
                <w:rPr>
                  <w:rStyle w:val="InternetLink"/>
                  <w:rFonts w:ascii="Times New Roman;serif" w:hAnsi="Times New Roman;serif"/>
                  <w:b w:val="false"/>
                  <w:color w:val="000080"/>
                  <w:sz w:val="20"/>
                  <w:u w:val="single"/>
                </w:rPr>
                <w:t xml:space="preserve">Condensed Consolidated Balance Sheets as of </w:t>
              </w:r>
            </w:hyperlink>
            <w:hyperlink w:anchor="ibd17b1cda8f9496eb171d3c813022869_16">
              <w:r>
                <w:rPr>
                  <w:rStyle w:val="InternetLink"/>
                  <w:rFonts w:ascii="Times New Roman;serif" w:hAnsi="Times New Roman;serif"/>
                  <w:b w:val="false"/>
                  <w:color w:val="000080"/>
                  <w:sz w:val="20"/>
                  <w:u w:val="single"/>
                </w:rPr>
                <w:t>June 30</w:t>
              </w:r>
            </w:hyperlink>
            <w:hyperlink w:anchor="ibd17b1cda8f9496eb171d3c813022869_16">
              <w:r>
                <w:rPr>
                  <w:rStyle w:val="InternetLink"/>
                  <w:rFonts w:ascii="Times New Roman;serif" w:hAnsi="Times New Roman;serif"/>
                  <w:b w:val="false"/>
                  <w:color w:val="000080"/>
                  <w:sz w:val="20"/>
                  <w:u w:val="single"/>
                </w:rPr>
                <w:t>, 2026 and December 31,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6">
              <w:r>
                <w:rPr>
                  <w:rStyle w:val="InternetLink"/>
                  <w:rFonts w:ascii="Times New Roman;serif" w:hAnsi="Times New Roman;serif"/>
                  <w:b w:val="false"/>
                  <w:color w:val="0000FF"/>
                  <w:sz w:val="20"/>
                  <w:u w:val="single"/>
                </w:rPr>
                <w:t>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9">
              <w:r>
                <w:rPr>
                  <w:rStyle w:val="InternetLink"/>
                  <w:rFonts w:ascii="Times New Roman;serif" w:hAnsi="Times New Roman;serif"/>
                  <w:b w:val="false"/>
                  <w:color w:val="000080"/>
                  <w:sz w:val="20"/>
                  <w:u w:val="single"/>
                </w:rPr>
                <w:t>Condensed Consolidated Statements of Income for the three</w:t>
              </w:r>
            </w:hyperlink>
            <w:hyperlink w:anchor="ibd17b1cda8f9496eb171d3c813022869_19">
              <w:r>
                <w:rPr>
                  <w:rStyle w:val="InternetLink"/>
                  <w:rFonts w:ascii="Times New Roman;serif" w:hAnsi="Times New Roman;serif"/>
                  <w:b w:val="false"/>
                  <w:color w:val="000080"/>
                  <w:sz w:val="20"/>
                  <w:u w:val="single"/>
                </w:rPr>
                <w:t xml:space="preserve"> and six</w:t>
              </w:r>
            </w:hyperlink>
            <w:hyperlink w:anchor="ibd17b1cda8f9496eb171d3c813022869_19">
              <w:r>
                <w:rPr>
                  <w:rStyle w:val="InternetLink"/>
                  <w:rFonts w:ascii="Times New Roman;serif" w:hAnsi="Times New Roman;serif"/>
                  <w:b w:val="false"/>
                  <w:color w:val="000080"/>
                  <w:sz w:val="20"/>
                  <w:u w:val="single"/>
                </w:rPr>
                <w:t xml:space="preserve"> months ended </w:t>
              </w:r>
            </w:hyperlink>
            <w:hyperlink w:anchor="ibd17b1cda8f9496eb171d3c813022869_19">
              <w:r>
                <w:rPr>
                  <w:rStyle w:val="InternetLink"/>
                  <w:rFonts w:ascii="Times New Roman;serif" w:hAnsi="Times New Roman;serif"/>
                  <w:b w:val="false"/>
                  <w:color w:val="000080"/>
                  <w:sz w:val="20"/>
                  <w:u w:val="single"/>
                </w:rPr>
                <w:t>June 30</w:t>
              </w:r>
            </w:hyperlink>
            <w:hyperlink w:anchor="ibd17b1cda8f9496eb171d3c813022869_19">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9">
              <w:r>
                <w:rPr>
                  <w:rStyle w:val="InternetLink"/>
                  <w:rFonts w:ascii="Times New Roman;serif" w:hAnsi="Times New Roman;serif"/>
                  <w:b w:val="false"/>
                  <w:color w:val="0000FF"/>
                  <w:sz w:val="20"/>
                  <w:u w:val="single"/>
                </w:rPr>
                <w:t>2</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2">
              <w:r>
                <w:rPr>
                  <w:rStyle w:val="InternetLink"/>
                  <w:rFonts w:ascii="Times New Roman;serif" w:hAnsi="Times New Roman;serif"/>
                  <w:b w:val="false"/>
                  <w:color w:val="000080"/>
                  <w:sz w:val="20"/>
                  <w:u w:val="single"/>
                </w:rPr>
                <w:t xml:space="preserve">Condensed Consolidated Statements of Stockholders’ Equity for the three </w:t>
              </w:r>
            </w:hyperlink>
            <w:hyperlink w:anchor="ibd17b1cda8f9496eb171d3c813022869_22">
              <w:r>
                <w:rPr>
                  <w:rStyle w:val="InternetLink"/>
                  <w:rFonts w:ascii="Times New Roman;serif" w:hAnsi="Times New Roman;serif"/>
                  <w:b w:val="false"/>
                  <w:color w:val="000080"/>
                  <w:sz w:val="20"/>
                  <w:u w:val="single"/>
                </w:rPr>
                <w:t xml:space="preserve">and six </w:t>
              </w:r>
            </w:hyperlink>
            <w:hyperlink w:anchor="ibd17b1cda8f9496eb171d3c813022869_22">
              <w:r>
                <w:rPr>
                  <w:rStyle w:val="InternetLink"/>
                  <w:rFonts w:ascii="Times New Roman;serif" w:hAnsi="Times New Roman;serif"/>
                  <w:b w:val="false"/>
                  <w:color w:val="000080"/>
                  <w:sz w:val="20"/>
                  <w:u w:val="single"/>
                </w:rPr>
                <w:t xml:space="preserve">months ended </w:t>
              </w:r>
            </w:hyperlink>
            <w:hyperlink w:anchor="ibd17b1cda8f9496eb171d3c813022869_22">
              <w:r>
                <w:rPr>
                  <w:rStyle w:val="InternetLink"/>
                  <w:rFonts w:ascii="Times New Roman;serif" w:hAnsi="Times New Roman;serif"/>
                  <w:b w:val="false"/>
                  <w:color w:val="000080"/>
                  <w:sz w:val="20"/>
                  <w:u w:val="single"/>
                </w:rPr>
                <w:t>June 30</w:t>
              </w:r>
            </w:hyperlink>
            <w:hyperlink w:anchor="ibd17b1cda8f9496eb171d3c813022869_22">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2">
              <w:r>
                <w:rPr>
                  <w:rStyle w:val="InternetLink"/>
                  <w:rFonts w:ascii="Times New Roman;serif" w:hAnsi="Times New Roman;serif"/>
                  <w:b w:val="false"/>
                  <w:color w:val="0000FF"/>
                  <w:sz w:val="20"/>
                  <w:u w:val="single"/>
                </w:rPr>
                <w:t>3</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5">
              <w:r>
                <w:rPr>
                  <w:rStyle w:val="InternetLink"/>
                  <w:rFonts w:ascii="Times New Roman;serif" w:hAnsi="Times New Roman;serif"/>
                  <w:b w:val="false"/>
                  <w:color w:val="000080"/>
                  <w:sz w:val="20"/>
                  <w:u w:val="single"/>
                </w:rPr>
                <w:t xml:space="preserve">Condensed Consolidated Statements of Cash Flows for the </w:t>
              </w:r>
            </w:hyperlink>
            <w:hyperlink w:anchor="ibd17b1cda8f9496eb171d3c813022869_25">
              <w:r>
                <w:rPr>
                  <w:rStyle w:val="InternetLink"/>
                  <w:rFonts w:ascii="Times New Roman;serif" w:hAnsi="Times New Roman;serif"/>
                  <w:b w:val="false"/>
                  <w:color w:val="000080"/>
                  <w:sz w:val="20"/>
                  <w:u w:val="single"/>
                </w:rPr>
                <w:t>six</w:t>
              </w:r>
            </w:hyperlink>
            <w:hyperlink w:anchor="ibd17b1cda8f9496eb171d3c813022869_25">
              <w:r>
                <w:rPr>
                  <w:rStyle w:val="InternetLink"/>
                  <w:rFonts w:ascii="Times New Roman;serif" w:hAnsi="Times New Roman;serif"/>
                  <w:b w:val="false"/>
                  <w:color w:val="000080"/>
                  <w:sz w:val="20"/>
                  <w:u w:val="single"/>
                </w:rPr>
                <w:t xml:space="preserve"> months ended </w:t>
              </w:r>
            </w:hyperlink>
            <w:hyperlink w:anchor="ibd17b1cda8f9496eb171d3c813022869_25">
              <w:r>
                <w:rPr>
                  <w:rStyle w:val="InternetLink"/>
                  <w:rFonts w:ascii="Times New Roman;serif" w:hAnsi="Times New Roman;serif"/>
                  <w:b w:val="false"/>
                  <w:color w:val="000080"/>
                  <w:sz w:val="20"/>
                  <w:u w:val="single"/>
                </w:rPr>
                <w:t>June</w:t>
              </w:r>
            </w:hyperlink>
            <w:hyperlink w:anchor="ibd17b1cda8f9496eb171d3c813022869_25">
              <w:r>
                <w:rPr>
                  <w:rStyle w:val="InternetLink"/>
                  <w:rFonts w:ascii="Times New Roman;serif" w:hAnsi="Times New Roman;serif"/>
                  <w:b w:val="false"/>
                  <w:color w:val="000080"/>
                  <w:sz w:val="20"/>
                  <w:u w:val="single"/>
                </w:rPr>
                <w:t xml:space="preserve"> </w:t>
              </w:r>
            </w:hyperlink>
            <w:hyperlink w:anchor="ibd17b1cda8f9496eb171d3c813022869_25">
              <w:r>
                <w:rPr>
                  <w:rStyle w:val="InternetLink"/>
                  <w:rFonts w:ascii="Times New Roman;serif" w:hAnsi="Times New Roman;serif"/>
                  <w:b w:val="false"/>
                  <w:color w:val="000080"/>
                  <w:sz w:val="20"/>
                  <w:u w:val="single"/>
                </w:rPr>
                <w:t>30</w:t>
              </w:r>
            </w:hyperlink>
            <w:hyperlink w:anchor="ibd17b1cda8f9496eb171d3c813022869_25">
              <w:r>
                <w:rPr>
                  <w:rStyle w:val="InternetLink"/>
                  <w:rFonts w:ascii="Times New Roman;serif" w:hAnsi="Times New Roman;serif"/>
                  <w:b w:val="false"/>
                  <w:color w:val="000080"/>
                  <w:sz w:val="20"/>
                  <w:u w:val="single"/>
                </w:rPr>
                <w:t>, 2026 and 2025</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5">
              <w:r>
                <w:rPr>
                  <w:rStyle w:val="InternetLink"/>
                  <w:rFonts w:ascii="Times New Roman;serif" w:hAnsi="Times New Roman;serif"/>
                  <w:b w:val="false"/>
                  <w:color w:val="0000FF"/>
                  <w:sz w:val="20"/>
                  <w:u w:val="single"/>
                </w:rPr>
                <w:t>4</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8">
              <w:r>
                <w:rPr>
                  <w:rStyle w:val="InternetLink"/>
                  <w:rFonts w:ascii="Times New Roman;serif" w:hAnsi="Times New Roman;serif"/>
                  <w:b w:val="false"/>
                  <w:color w:val="0000FF"/>
                  <w:sz w:val="20"/>
                  <w:u w:val="single"/>
                </w:rPr>
                <w:t>Notes to the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8">
              <w:r>
                <w:rPr>
                  <w:rStyle w:val="InternetLink"/>
                  <w:rFonts w:ascii="Times New Roman;serif" w:hAnsi="Times New Roman;serif"/>
                  <w:b w:val="false"/>
                  <w:color w:val="0000FF"/>
                  <w:sz w:val="20"/>
                  <w:u w:val="single"/>
                </w:rPr>
                <w:t>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118">
              <w:r>
                <w:rPr>
                  <w:rStyle w:val="InternetLink"/>
                  <w:rFonts w:ascii="Times New Roman;serif" w:hAnsi="Times New Roman;serif"/>
                  <w:b w:val="false"/>
                  <w:color w:val="0000FF"/>
                  <w:sz w:val="20"/>
                  <w:u w:val="single"/>
                </w:rPr>
                <w:t>Item 2.</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1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18">
              <w:r>
                <w:rPr>
                  <w:rStyle w:val="InternetLink"/>
                  <w:rFonts w:ascii="Times New Roman;serif" w:hAnsi="Times New Roman;serif"/>
                  <w:b w:val="false"/>
                  <w:color w:val="0000FF"/>
                  <w:sz w:val="20"/>
                  <w:u w:val="single"/>
                </w:rPr>
                <w:t>26</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190">
              <w:r>
                <w:rPr>
                  <w:rStyle w:val="InternetLink"/>
                  <w:rFonts w:ascii="Times New Roman;serif" w:hAnsi="Times New Roman;serif"/>
                  <w:b w:val="false"/>
                  <w:color w:val="0000FF"/>
                  <w:sz w:val="20"/>
                  <w:u w:val="single"/>
                </w:rPr>
                <w:t>Item 3.</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90">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90">
              <w:r>
                <w:rPr>
                  <w:rStyle w:val="InternetLink"/>
                  <w:rFonts w:ascii="Times New Roman;serif" w:hAnsi="Times New Roman;serif"/>
                  <w:b w:val="false"/>
                  <w:color w:val="0000FF"/>
                  <w:sz w:val="20"/>
                  <w:u w:val="single"/>
                </w:rPr>
                <w:t>48</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193">
              <w:r>
                <w:rPr>
                  <w:rStyle w:val="InternetLink"/>
                  <w:rFonts w:ascii="Times New Roman;serif" w:hAnsi="Times New Roman;serif"/>
                  <w:b w:val="false"/>
                  <w:color w:val="0000FF"/>
                  <w:sz w:val="20"/>
                  <w:u w:val="single"/>
                </w:rPr>
                <w:t>Item 4.</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93">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93">
              <w:r>
                <w:rPr>
                  <w:rStyle w:val="InternetLink"/>
                  <w:rFonts w:ascii="Times New Roman;serif" w:hAnsi="Times New Roman;serif"/>
                  <w:b w:val="false"/>
                  <w:color w:val="0000FF"/>
                  <w:sz w:val="20"/>
                  <w:u w:val="single"/>
                </w:rPr>
                <w:t>48</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d17b1cda8f9496eb171d3c813022869_196">
              <w:r>
                <w:rPr>
                  <w:rStyle w:val="InternetLink"/>
                  <w:rFonts w:ascii="Times New Roman;serif" w:hAnsi="Times New Roman;serif"/>
                  <w:b/>
                  <w:color w:val="0000FF"/>
                  <w:sz w:val="20"/>
                  <w:u w:val="single"/>
                </w:rPr>
                <w:t>Part II. Other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199">
              <w:r>
                <w:rPr>
                  <w:rStyle w:val="InternetLink"/>
                  <w:rFonts w:ascii="Times New Roman;serif" w:hAnsi="Times New Roman;serif"/>
                  <w:b w:val="false"/>
                  <w:color w:val="0000FF"/>
                  <w:sz w:val="20"/>
                  <w:u w:val="single"/>
                </w:rPr>
                <w:t>Item 1.</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199">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199">
              <w:r>
                <w:rPr>
                  <w:rStyle w:val="InternetLink"/>
                  <w:rFonts w:ascii="Times New Roman;serif" w:hAnsi="Times New Roman;serif"/>
                  <w:b w:val="false"/>
                  <w:color w:val="0000FF"/>
                  <w:sz w:val="20"/>
                  <w:u w:val="single"/>
                </w:rPr>
                <w:t>49</w:t>
              </w:r>
            </w:hyperlink>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202">
              <w:r>
                <w:rPr>
                  <w:rStyle w:val="InternetLink"/>
                  <w:rFonts w:ascii="Times New Roman;serif" w:hAnsi="Times New Roman;serif"/>
                  <w:b w:val="false"/>
                  <w:color w:val="0000FF"/>
                  <w:sz w:val="20"/>
                  <w:u w:val="single"/>
                </w:rPr>
                <w:t>Item 1A.</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02">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02">
              <w:r>
                <w:rPr>
                  <w:rStyle w:val="InternetLink"/>
                  <w:rFonts w:ascii="Times New Roman;serif" w:hAnsi="Times New Roman;serif"/>
                  <w:b w:val="false"/>
                  <w:color w:val="0000FF"/>
                  <w:sz w:val="20"/>
                  <w:u w:val="single"/>
                </w:rPr>
                <w:t>49</w:t>
              </w:r>
            </w:hyperlink>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17b1cda8f9496eb171d3c813022869_211">
              <w:r>
                <w:rPr>
                  <w:rStyle w:val="InternetLink"/>
                  <w:rFonts w:ascii="Times New Roman;serif" w:hAnsi="Times New Roman;serif"/>
                  <w:b w:val="false"/>
                  <w:color w:val="0000FF"/>
                  <w:sz w:val="20"/>
                  <w:u w:val="single"/>
                </w:rPr>
                <w:t>Item 6.</w:t>
              </w:r>
            </w:hyperlink>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11">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11">
              <w:r>
                <w:rPr>
                  <w:rStyle w:val="InternetLink"/>
                  <w:rFonts w:ascii="Times New Roman;serif" w:hAnsi="Times New Roman;serif"/>
                  <w:b w:val="false"/>
                  <w:color w:val="0000FF"/>
                  <w:sz w:val="20"/>
                  <w:u w:val="single"/>
                </w:rPr>
                <w:t>50</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d17b1cda8f9496eb171d3c813022869_214">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17b1cda8f9496eb171d3c813022869_214">
              <w:r>
                <w:rPr>
                  <w:rStyle w:val="InternetLink"/>
                  <w:rFonts w:ascii="Times New Roman;serif" w:hAnsi="Times New Roman;serif"/>
                  <w:b w:val="false"/>
                  <w:color w:val="0000FF"/>
                  <w:sz w:val="20"/>
                  <w:u w:val="single"/>
                </w:rPr>
                <w:t>51</w:t>
              </w:r>
            </w:hyperlink>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32"/>
        <w:gridCol w:w="2270"/>
        <w:gridCol w:w="2197"/>
        <w:gridCol w:w="211"/>
        <w:gridCol w:w="976"/>
        <w:gridCol w:w="109"/>
        <w:gridCol w:w="109"/>
        <w:gridCol w:w="109"/>
        <w:gridCol w:w="109"/>
        <w:gridCol w:w="244"/>
        <w:gridCol w:w="958"/>
        <w:gridCol w:w="181"/>
      </w:tblGrid>
      <w:tr>
        <w:trPr/>
        <w:tc>
          <w:tcPr>
            <w:tcW w:w="273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receivable—less allowance for credit losses of $766 and $681, at June 30,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167,406 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indefinite-lived intangibles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147,264 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593,927 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$0.001 par value; 100,000 shares authorized; 35,081 and 34,848 shares issued and outstanding, respectively, at June 30, 2026; and 34,878 and 34,626 shares issued and outstanding, respectively, at December 31, 2025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3 shares 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The Pennant Group, Inc.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332,603 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41,649 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374,252 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968,179 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for per-share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75"/>
        <w:gridCol w:w="1455"/>
        <w:gridCol w:w="146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7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property and equipment,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21,955 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10924"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73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incentive shares issued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34,992 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43,423 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35,081 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45,239 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52" w:type="dxa"/>
        <w:jc w:val="center"/>
        <w:tblInd w:w="0" w:type="dxa"/>
        <w:tblLayout w:type="fixed"/>
        <w:tblCellMar>
          <w:top w:w="28" w:type="dxa"/>
          <w:left w:w="28" w:type="dxa"/>
          <w:bottom w:w="28" w:type="dxa"/>
          <w:right w:w="28" w:type="dxa"/>
        </w:tblCellMar>
      </w:tblPr>
      <w:tblGrid>
        <w:gridCol w:w="591"/>
        <w:gridCol w:w="282"/>
        <w:gridCol w:w="283"/>
        <w:gridCol w:w="323"/>
        <w:gridCol w:w="323"/>
        <w:gridCol w:w="211"/>
        <w:gridCol w:w="109"/>
        <w:gridCol w:w="109"/>
        <w:gridCol w:w="109"/>
        <w:gridCol w:w="231"/>
        <w:gridCol w:w="390"/>
        <w:gridCol w:w="130"/>
        <w:gridCol w:w="109"/>
        <w:gridCol w:w="109"/>
        <w:gridCol w:w="109"/>
        <w:gridCol w:w="196"/>
        <w:gridCol w:w="736"/>
        <w:gridCol w:w="109"/>
        <w:gridCol w:w="109"/>
        <w:gridCol w:w="109"/>
        <w:gridCol w:w="109"/>
        <w:gridCol w:w="196"/>
        <w:gridCol w:w="646"/>
        <w:gridCol w:w="109"/>
        <w:gridCol w:w="109"/>
        <w:gridCol w:w="109"/>
        <w:gridCol w:w="109"/>
        <w:gridCol w:w="210"/>
        <w:gridCol w:w="210"/>
        <w:gridCol w:w="211"/>
        <w:gridCol w:w="109"/>
        <w:gridCol w:w="109"/>
        <w:gridCol w:w="109"/>
        <w:gridCol w:w="226"/>
        <w:gridCol w:w="399"/>
        <w:gridCol w:w="126"/>
        <w:gridCol w:w="109"/>
        <w:gridCol w:w="109"/>
        <w:gridCol w:w="109"/>
        <w:gridCol w:w="272"/>
        <w:gridCol w:w="897"/>
        <w:gridCol w:w="152"/>
        <w:gridCol w:w="109"/>
        <w:gridCol w:w="109"/>
        <w:gridCol w:w="109"/>
        <w:gridCol w:w="196"/>
        <w:gridCol w:w="736"/>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The Pennant Group, Inc.</w:t>
            </w:r>
          </w:p>
        </w:tc>
        <w:tc>
          <w:tcPr>
            <w:tcW w:w="6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restricted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20,325 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065" w:type="dxa"/>
        <w:jc w:val="center"/>
        <w:tblInd w:w="0" w:type="dxa"/>
        <w:tblLayout w:type="fixed"/>
        <w:tblCellMar>
          <w:top w:w="28" w:type="dxa"/>
          <w:left w:w="28" w:type="dxa"/>
          <w:bottom w:w="28" w:type="dxa"/>
          <w:right w:w="28" w:type="dxa"/>
        </w:tblCellMar>
      </w:tblPr>
      <w:tblGrid>
        <w:gridCol w:w="2097"/>
        <w:gridCol w:w="1839"/>
        <w:gridCol w:w="1853"/>
        <w:gridCol w:w="196"/>
        <w:gridCol w:w="647"/>
        <w:gridCol w:w="109"/>
        <w:gridCol w:w="109"/>
        <w:gridCol w:w="109"/>
        <w:gridCol w:w="109"/>
        <w:gridCol w:w="196"/>
        <w:gridCol w:w="647"/>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fees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disposition of property and equipment, net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equity method investment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 net of acquisitions:</w:t>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related liabilities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business acquisitions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asset acquisitions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deposits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 for equity method investment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(60,355)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incremental term loans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revolver agreement</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revolver agreement</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issuance of common stock due to share based compensation</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w:t>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beginning of period</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8185" w:type="dxa"/>
        <w:jc w:val="center"/>
        <w:tblInd w:w="0" w:type="dxa"/>
        <w:tblLayout w:type="fixed"/>
        <w:tblCellMar>
          <w:top w:w="28" w:type="dxa"/>
          <w:left w:w="28" w:type="dxa"/>
          <w:bottom w:w="28" w:type="dxa"/>
          <w:right w:w="28" w:type="dxa"/>
        </w:tblCellMar>
      </w:tblPr>
      <w:tblGrid>
        <w:gridCol w:w="2138"/>
        <w:gridCol w:w="1880"/>
        <w:gridCol w:w="1891"/>
        <w:gridCol w:w="196"/>
        <w:gridCol w:w="647"/>
        <w:gridCol w:w="109"/>
        <w:gridCol w:w="109"/>
        <w:gridCol w:w="109"/>
        <w:gridCol w:w="109"/>
        <w:gridCol w:w="196"/>
        <w:gridCol w:w="647"/>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new lease obligations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obtained in exchange for new lease obligations</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activity:</w:t>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 and accrued liabilities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PENNANT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 and operational senior living units)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Pennant Group, Inc. (herein referred to as “Pennant,” the “Company,” “we,” “it,” or “its”), is a holding company with no direct operating assets, employees or revenue. The Company, through its independent operating subsidiaries, provides healthcare services across the post-acute care continuum. As of June 30, 2026, the Company’s subsidiaries operated 175 home health, hospice and home care agencies and 69 senior living communities located in Alabama, Arizona, California, Colorado, Georgia, Idaho, Montana, Nevada, Oklahoma, Oregon, Tennessee, Texas, Utah, Washington, Wisconsin and Wyoming. We also provide home health and hospice operational support through a management service agreement in Connecticut. See Note 9, </w:t>
      </w:r>
      <w:r>
        <w:rPr>
          <w:rFonts w:ascii="Times New Roman;serif" w:hAnsi="Times New Roman;serif"/>
          <w:b w:val="false"/>
          <w:i/>
          <w:color w:val="000000"/>
          <w:sz w:val="20"/>
        </w:rPr>
        <w:t>Equity Method Investment</w:t>
      </w:r>
      <w:r>
        <w:rPr>
          <w:rFonts w:ascii="Times New Roman;serif" w:hAnsi="Times New Roman;serif"/>
          <w:b w:val="false"/>
          <w:color w:val="000000"/>
          <w:sz w:val="20"/>
        </w:rPr>
        <w:t>, for further details about our investment in these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Basis of Presentation - </w:t>
      </w:r>
      <w:r>
        <w:rPr>
          <w:rFonts w:ascii="Times New Roman;serif" w:hAnsi="Times New Roman;serif"/>
          <w:b w:val="false"/>
          <w:color w:val="000000"/>
          <w:sz w:val="20"/>
        </w:rPr>
        <w:t xml:space="preserve">The accompanying unaudited condensed consolidated financial statements of the Company (the “Interim Financial 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December 31, 2025 is derived from the Company’s annual audited Consolidated Financial Statements for the fiscal year ended December 31, 2025,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consists of various limited liability companies and corporations established to operate home health, hospice, home care, senior living operations, and other ancillary businesses. The Interim Financial Statements include the accounts of all entities controlled by the Company through its ownership of a majority voting interest. Revenue was derived from transactional information specific to the Company’s services provided.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Estimates and Assumptions -</w:t>
      </w:r>
      <w:r>
        <w:rPr>
          <w:color w:val="000000"/>
        </w:rPr>
        <w:t xml:space="preserve"> </w:t>
      </w:r>
      <w:r>
        <w:rPr>
          <w:rFonts w:ascii="Times New Roman;serif" w:hAnsi="Times New Roman;serif"/>
          <w:b w:val="false"/>
          <w:color w:val="000000"/>
          <w:sz w:val="20"/>
        </w:rPr>
        <w:t>The preparation of the Interim Financial Statements in conformity with GAAP requires management to make certain 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self-insurance reserves, revenue recognition, and intangible assets and goodwill.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State relief funding. </w:t>
      </w:r>
      <w:r>
        <w:rPr>
          <w:rFonts w:ascii="Times New Roman;serif" w:hAnsi="Times New Roman;serif"/>
          <w:b w:val="false"/>
          <w:color w:val="000000"/>
          <w:sz w:val="20"/>
        </w:rPr>
        <w:t>The Company receives state relief funding through programs from various states. The funding generally incorporates specific use requirements primarily for direct patient care including labor related expenses that are associated with providing patient care.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funds are recognized as a reduction of cost of services expenses when related expenses are incurred. As of June 30, 2026 and December 31, 2025, the Company had $327 and $477 in unapplied state relief funds, respectively. The unapplied state relief funds received are recorded in other accrued liabilities. The Company recognized state relief funding totaling $331 and $807 for the three and six months ended June 30, 2026, and $235 and $917 for the three and six months ended June 30, 2025, which the Company recognized as a reduction of cost of services expense.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rules and interpretive releases of the SEC under authority of federal securities laws and a limited number of grandfathered standards, the Financial Accounting Standards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“Disaggregation of Income Statement Expenses,” 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color w:val="000000"/>
        </w:rPr>
        <w:t>“</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 xml:space="preserve">which amends certain aspects of the accounting for and disclosure of software costs under ASC 350-40 </w:t>
      </w:r>
      <w:r>
        <w:rPr>
          <w:rFonts w:ascii="Times New Roman;serif" w:hAnsi="Times New Roman;serif"/>
          <w:b w:val="false"/>
          <w:i/>
          <w:color w:val="000000"/>
          <w:sz w:val="20"/>
        </w:rPr>
        <w:t>Internal-Use Software</w:t>
      </w:r>
      <w:r>
        <w:rPr>
          <w:rFonts w:ascii="Times New Roman;serif" w:hAnsi="Times New Roman;serif"/>
          <w:b w:val="false"/>
          <w:color w:val="000000"/>
          <w:sz w:val="20"/>
        </w:rPr>
        <w:t>. This guidance is effective for annual periods beginning after December 15, 2027, which will be the Company’s fiscal year 2028, and interim periods within the Company’s fiscal year 2029, with early adoption permitted. The Company is currently evaluating the impact of this ASU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3. TRANSACTIONS WITH ENSIGN</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costs of $169 and $293 for the three and six months ended June 30, 2026, and $208 and $403 for the three and six months ended June 30, 2025, that related primarily to shared services at proximate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Expenses related to room and board charges at Ensign skilled nursing facilities for hospice patients were $2,422 and $4,596 for the three and six months ended June 30, 2026, and $1,536 and $3,208 for the three and six months ended June 30, 2025, and are included in cost of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Company’s independent operating subsidiaries leased 35 communities from subsidiaries of Ensign, the majority of which are under master lease arrangements as of June 30, 2026. See further discussion below at Note 12,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4. NET INCOME PER COMMON SHARE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212529"/>
          <w:sz w:val="20"/>
        </w:rPr>
      </w:pPr>
      <w:r>
        <w:rPr>
          <w:rFonts w:ascii="Times New Roman;serif" w:hAnsi="Times New Roman;serif"/>
          <w:b w:val="false"/>
          <w:color w:val="212529"/>
          <w:sz w:val="20"/>
        </w:rPr>
        <w:t xml:space="preserve">The following table sets forth the computation of basic and diluted net income per share for the periods presented: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79"/>
        <w:gridCol w:w="1569"/>
        <w:gridCol w:w="1577"/>
        <w:gridCol w:w="229"/>
        <w:gridCol w:w="671"/>
        <w:gridCol w:w="118"/>
        <w:gridCol w:w="118"/>
        <w:gridCol w:w="118"/>
        <w:gridCol w:w="118"/>
        <w:gridCol w:w="229"/>
        <w:gridCol w:w="671"/>
        <w:gridCol w:w="118"/>
        <w:gridCol w:w="109"/>
        <w:gridCol w:w="109"/>
        <w:gridCol w:w="109"/>
        <w:gridCol w:w="211"/>
        <w:gridCol w:w="721"/>
        <w:gridCol w:w="109"/>
        <w:gridCol w:w="109"/>
        <w:gridCol w:w="109"/>
        <w:gridCol w:w="109"/>
        <w:gridCol w:w="211"/>
        <w:gridCol w:w="721"/>
        <w:gridCol w:w="163"/>
      </w:tblGrid>
      <w:tr>
        <w:trPr/>
        <w:tc>
          <w:tcPr>
            <w:tcW w:w="18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Pennant Group, Inc.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for basic net income per share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Plus: assumed incremental shares from exercise of options and assumed conversion or vesting of restricted stock</w:t>
            </w:r>
            <w:r>
              <w:rPr>
                <w:rFonts w:ascii="Times New Roman;serif" w:hAnsi="Times New Roman;serif"/>
                <w:b w:val="false"/>
                <w:color w:val="000000"/>
                <w:sz w:val="13"/>
              </w:rPr>
              <w:t>(a)</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 average common shares outstanding for diluted income per share</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common share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The diluted per share amounts do not reflect common share equivalents outstanding of 2,207 and 2,039 for the three and six months ended June 30, 2026, and 1,557 and 1,368 for the three and six months ended June 30, 2025, because of their anti-dilutive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5. REVENUE AND ACCOUNTS RECEIVABLE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services are provided to the patients at the amount that reflects the consideration to which the Company expects to be entitled from patients and third-party payors, including Medicare, Medicaid, and managed care programs (Commercial, Medicare Advantage, and Managed Medicaid plans). The healthcare services in home health and hospice patient contracts include routine services in exchange for contractually agreed-upon amounts or rates.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Revenue recognized from healthcare services is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service specific revenue recognition policies are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Home Health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payment periods; (e) changes to the acuity of the patient during the previous 30-day payment period; (f) changes in the base payments established by the Medicare program; (g) adjustments to the base payments for case mix and geographic wages; and (h) recoveries of overpayments.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Non-Medicare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Episodic Based Revenue -</w:t>
      </w:r>
      <w:r>
        <w:rPr>
          <w:color w:val="000000"/>
        </w:rPr>
        <w:t xml:space="preserve"> </w:t>
      </w:r>
      <w:r>
        <w:rPr>
          <w:rFonts w:ascii="Times New Roman;serif" w:hAnsi="Times New Roman;serif"/>
          <w:b w:val="false"/>
          <w:color w:val="000000"/>
          <w:sz w:val="20"/>
        </w:rPr>
        <w:t>The Company recognizes revenue in a similar manner as it recognizes Medicare revenue for episodic-based rates that are paid by other insurance carriers, including Medicare Advantage programs; however, these rates can vary based upon the negotiated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Non-episodic Based Revenue -</w:t>
      </w:r>
      <w:r>
        <w:rPr>
          <w:color w:val="000000"/>
        </w:rPr>
        <w:t xml:space="preserve"> </w:t>
      </w:r>
      <w:r>
        <w:rPr>
          <w:rFonts w:ascii="Times New Roman;serif" w:hAnsi="Times New Roman;serif"/>
          <w:b w:val="false"/>
          <w:color w:val="000000"/>
          <w:sz w:val="20"/>
        </w:rPr>
        <w:t>Revenue is recognized on an accrual basis based upon the date of service at amounts equal to its established or estimated per visit rates, as applicable.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Management Services Revenue</w:t>
      </w:r>
      <w:r>
        <w:rPr>
          <w:color w:val="000000"/>
        </w:rPr>
        <w:t xml:space="preserve"> </w:t>
      </w:r>
      <w:r>
        <w:rPr>
          <w:rFonts w:ascii="Times New Roman;serif" w:hAnsi="Times New Roman;serif"/>
          <w:b w:val="false"/>
          <w:color w:val="000000"/>
          <w:sz w:val="20"/>
        </w:rPr>
        <w:t>- The Company recognizes revenue earned from its management service agreements as the services are provided. Fees charged are based upon the contractual terms of each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Hospice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Living Revenue</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has elected the lessor practical expedient within ASC Topic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for its senior residency agreements, for which it has determined that the non-lease components of such residency agreements are the predominant component of each such contract.</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Revenue By Payor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three months ended June 30, 2026 and 2025,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93"/>
        <w:gridCol w:w="432"/>
        <w:gridCol w:w="437"/>
        <w:gridCol w:w="109"/>
        <w:gridCol w:w="109"/>
        <w:gridCol w:w="109"/>
        <w:gridCol w:w="305"/>
        <w:gridCol w:w="1197"/>
        <w:gridCol w:w="157"/>
        <w:gridCol w:w="120"/>
        <w:gridCol w:w="120"/>
        <w:gridCol w:w="120"/>
        <w:gridCol w:w="254"/>
        <w:gridCol w:w="997"/>
        <w:gridCol w:w="131"/>
        <w:gridCol w:w="109"/>
        <w:gridCol w:w="109"/>
        <w:gridCol w:w="109"/>
        <w:gridCol w:w="333"/>
        <w:gridCol w:w="1141"/>
        <w:gridCol w:w="172"/>
        <w:gridCol w:w="109"/>
        <w:gridCol w:w="109"/>
        <w:gridCol w:w="109"/>
        <w:gridCol w:w="231"/>
        <w:gridCol w:w="909"/>
        <w:gridCol w:w="120"/>
        <w:gridCol w:w="109"/>
        <w:gridCol w:w="109"/>
        <w:gridCol w:w="109"/>
        <w:gridCol w:w="307"/>
        <w:gridCol w:w="309"/>
        <w:gridCol w:w="612"/>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62,264 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89,387 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102,346 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191,466 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103,580 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7"/>
        <w:gridCol w:w="436"/>
        <w:gridCol w:w="441"/>
        <w:gridCol w:w="109"/>
        <w:gridCol w:w="109"/>
        <w:gridCol w:w="109"/>
        <w:gridCol w:w="331"/>
        <w:gridCol w:w="1133"/>
        <w:gridCol w:w="170"/>
        <w:gridCol w:w="127"/>
        <w:gridCol w:w="127"/>
        <w:gridCol w:w="127"/>
        <w:gridCol w:w="273"/>
        <w:gridCol w:w="935"/>
        <w:gridCol w:w="140"/>
        <w:gridCol w:w="109"/>
        <w:gridCol w:w="109"/>
        <w:gridCol w:w="109"/>
        <w:gridCol w:w="337"/>
        <w:gridCol w:w="1153"/>
        <w:gridCol w:w="174"/>
        <w:gridCol w:w="109"/>
        <w:gridCol w:w="109"/>
        <w:gridCol w:w="109"/>
        <w:gridCol w:w="232"/>
        <w:gridCol w:w="912"/>
        <w:gridCol w:w="120"/>
        <w:gridCol w:w="109"/>
        <w:gridCol w:w="109"/>
        <w:gridCol w:w="109"/>
        <w:gridCol w:w="307"/>
        <w:gridCol w:w="309"/>
        <w:gridCol w:w="616"/>
      </w:tblGrid>
      <w:tr>
        <w:trPr/>
        <w:tc>
          <w:tcPr>
            <w:tcW w:w="4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39,625 </w:t>
            </w:r>
          </w:p>
        </w:tc>
        <w:tc>
          <w:tcPr>
            <w:tcW w:w="17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64,196 </w:t>
            </w:r>
          </w:p>
        </w:tc>
        <w:tc>
          <w:tcPr>
            <w:tcW w:w="1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103,821 </w:t>
            </w:r>
          </w:p>
        </w:tc>
        <w:tc>
          <w:tcPr>
            <w:tcW w:w="12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by payor for the six months ended June 30, 2026 and 2025, is summarized in the following tables: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296,509 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199,698 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373,645 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264,120 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202,739 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489"/>
        <w:gridCol w:w="429"/>
        <w:gridCol w:w="434"/>
        <w:gridCol w:w="109"/>
        <w:gridCol w:w="109"/>
        <w:gridCol w:w="109"/>
        <w:gridCol w:w="303"/>
        <w:gridCol w:w="1189"/>
        <w:gridCol w:w="156"/>
        <w:gridCol w:w="119"/>
        <w:gridCol w:w="119"/>
        <w:gridCol w:w="119"/>
        <w:gridCol w:w="253"/>
        <w:gridCol w:w="994"/>
        <w:gridCol w:w="130"/>
        <w:gridCol w:w="109"/>
        <w:gridCol w:w="109"/>
        <w:gridCol w:w="109"/>
        <w:gridCol w:w="308"/>
        <w:gridCol w:w="1209"/>
        <w:gridCol w:w="159"/>
        <w:gridCol w:w="109"/>
        <w:gridCol w:w="109"/>
        <w:gridCol w:w="109"/>
        <w:gridCol w:w="231"/>
        <w:gridCol w:w="908"/>
        <w:gridCol w:w="119"/>
        <w:gridCol w:w="109"/>
        <w:gridCol w:w="109"/>
        <w:gridCol w:w="109"/>
        <w:gridCol w:w="307"/>
        <w:gridCol w:w="309"/>
        <w:gridCol w:w="613"/>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Services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263,082 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6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and other</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181,534 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Private and other payors in the Company’s home health services includes revenue from all payors generated in the Company’s home care operations and management services agreement.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Sheet Impact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as of June 30, 2026 and December 31, 2025 is summarized in the following table: </w:t>
      </w:r>
    </w:p>
    <w:p>
      <w:pPr>
        <w:pStyle w:val="TextBody"/>
        <w:bidi w:val="0"/>
        <w:spacing w:before="0" w:after="0"/>
        <w:ind w:left="0" w:right="0" w:firstLine="720"/>
        <w:jc w:val="both"/>
        <w:rPr/>
      </w:pPr>
      <w:r>
        <w:rPr/>
      </w:r>
    </w:p>
    <w:tbl>
      <w:tblPr>
        <w:tblW w:w="6085" w:type="dxa"/>
        <w:jc w:val="left"/>
        <w:tblInd w:w="0" w:type="dxa"/>
        <w:tblLayout w:type="fixed"/>
        <w:tblCellMar>
          <w:top w:w="28" w:type="dxa"/>
          <w:left w:w="28" w:type="dxa"/>
          <w:bottom w:w="28" w:type="dxa"/>
          <w:right w:w="28" w:type="dxa"/>
        </w:tblCellMar>
      </w:tblPr>
      <w:tblGrid>
        <w:gridCol w:w="984"/>
        <w:gridCol w:w="861"/>
        <w:gridCol w:w="870"/>
        <w:gridCol w:w="234"/>
        <w:gridCol w:w="919"/>
        <w:gridCol w:w="121"/>
        <w:gridCol w:w="109"/>
        <w:gridCol w:w="109"/>
        <w:gridCol w:w="109"/>
        <w:gridCol w:w="313"/>
        <w:gridCol w:w="1228"/>
        <w:gridCol w:w="228"/>
      </w:tblGrid>
      <w:tr>
        <w:trPr/>
        <w:tc>
          <w:tcPr>
            <w:tcW w:w="9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64,813 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Managed care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and 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123,109 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Concentrations - Credit Risk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significant accounts receivable balances, the collectability of which is dependent on the availability of funds from certain governmental programs, primarily Medicare and Medicaid, which may be paid directly by those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 administered by third parties, such as in the case of Medicare Advantage plans or state Medicaid funds administered by managed care organizations.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receivables from the Medicare and Medicaid programs accounted for approximately 68.9% and 62.2% of its total accounts receivable as of June 30, 2026 and December 31, 2025, respectively. Combined revenue from reimbursement under the Medicare and Medicaid programs accounted for 64.3% and 64.0% of the Company’s revenue for the three and six months ended June 30, 2026, and 61.3% of the Company’s revenue for both the three and six months ended June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Practical Expedients and Exemptions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Topic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and all incremental customer contract acquisition costs are expensed as they are incurred because the amortization period would have been one year or less.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6. BUSINESS SEGMENTS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provided services through 175 affiliated home health, hospice and home care agencies, and 69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CODM does not review assets by segment and therefore assets and capital expenditure by segment are not disclosed below.</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financial information regarding the Company’s reportable segments, provided that general and administrative expenses are not allocated to the reportable segments: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65"/>
        <w:gridCol w:w="852"/>
        <w:gridCol w:w="856"/>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60"/>
        <w:gridCol w:w="845"/>
        <w:gridCol w:w="848"/>
        <w:gridCol w:w="109"/>
        <w:gridCol w:w="109"/>
        <w:gridCol w:w="109"/>
        <w:gridCol w:w="428"/>
        <w:gridCol w:w="1677"/>
        <w:gridCol w:w="221"/>
        <w:gridCol w:w="109"/>
        <w:gridCol w:w="109"/>
        <w:gridCol w:w="109"/>
        <w:gridCol w:w="310"/>
        <w:gridCol w:w="1217"/>
        <w:gridCol w:w="160"/>
        <w:gridCol w:w="109"/>
        <w:gridCol w:w="109"/>
        <w:gridCol w:w="109"/>
        <w:gridCol w:w="211"/>
        <w:gridCol w:w="616"/>
        <w:gridCol w:w="109"/>
        <w:gridCol w:w="109"/>
        <w:gridCol w:w="109"/>
        <w:gridCol w:w="109"/>
        <w:gridCol w:w="211"/>
        <w:gridCol w:w="826"/>
        <w:gridCol w:w="158"/>
      </w:tblGrid>
      <w:tr>
        <w:trPr/>
        <w:tc>
          <w:tcPr>
            <w:tcW w:w="10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77,752 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126" w:type="dxa"/>
        <w:jc w:val="left"/>
        <w:tblInd w:w="0" w:type="dxa"/>
        <w:tblLayout w:type="fixed"/>
        <w:tblCellMar>
          <w:top w:w="28" w:type="dxa"/>
          <w:left w:w="28" w:type="dxa"/>
          <w:bottom w:w="28" w:type="dxa"/>
          <w:right w:w="28" w:type="dxa"/>
        </w:tblCellMar>
      </w:tblPr>
      <w:tblGrid>
        <w:gridCol w:w="1672"/>
        <w:gridCol w:w="1469"/>
        <w:gridCol w:w="1479"/>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(a)</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 and related taxes</w:t>
            </w:r>
            <w:r>
              <w:rPr>
                <w:rFonts w:ascii="Times New Roman;serif" w:hAnsi="Times New Roman;serif"/>
                <w:b w:val="false"/>
                <w:color w:val="000000"/>
                <w:sz w:val="13"/>
              </w:rPr>
              <w:t>(b)</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from Operations</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0"/>
        <w:gridCol w:w="2718"/>
        <w:gridCol w:w="3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819"/>
        <w:gridCol w:w="1811"/>
        <w:gridCol w:w="430"/>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9188" w:type="dxa"/>
        <w:jc w:val="left"/>
        <w:tblInd w:w="0" w:type="dxa"/>
        <w:tblLayout w:type="fixed"/>
        <w:tblCellMar>
          <w:top w:w="28" w:type="dxa"/>
          <w:left w:w="28" w:type="dxa"/>
          <w:bottom w:w="28" w:type="dxa"/>
          <w:right w:w="28" w:type="dxa"/>
        </w:tblCellMar>
      </w:tblPr>
      <w:tblGrid>
        <w:gridCol w:w="1234"/>
        <w:gridCol w:w="1082"/>
        <w:gridCol w:w="1088"/>
        <w:gridCol w:w="109"/>
        <w:gridCol w:w="109"/>
        <w:gridCol w:w="109"/>
        <w:gridCol w:w="690"/>
        <w:gridCol w:w="2014"/>
        <w:gridCol w:w="356"/>
        <w:gridCol w:w="109"/>
        <w:gridCol w:w="109"/>
        <w:gridCol w:w="109"/>
        <w:gridCol w:w="445"/>
        <w:gridCol w:w="1300"/>
        <w:gridCol w:w="325"/>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segment depreciation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7. ACQUISITIONS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expanded its operations with the addition of six senior living communities. In connection with four of the senior living communities acquired, the Company entered into new long-term “triple-net” leases. For the remaining two senior living communities acquired, the Company acquired the real estate of each community. The aggregate purchase price of the real estate acquired was $7,065, paid in cash and assumed liabilities, which consisted primarily of land and building. A subsidiary of the Company entered into a separate operations transfer agreement with the prior operator of each acquired operation as part of each transaction. These new communities included 348 operational senior living units to be operated by the Company’s independent operating subsidiaries.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17, 2026, the Company acquired an additional hospice business for $2,087, which was allocated primarily to Goodwill. The operations of the acquired business were integrated into an existing hospice agency owned by Pennant.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acquired certain operations of UnitedHealth, Amedisys, Inc. (“Amedisys”), and certain other sellers, to complement our home health, hospice, and home care businesses. As of December 31, 2025, our determination and allocation of the purchase price to net tangible and intangible assets was based on preliminary estimates. During the quarter ended June 30, 2026, the Company agreed to final working capital and other closing considerations which resulted in in a $387 reduction in the purchase price. The Company also revised its allocation of the purchase price and recognized adjustments to the provisional values as of June 30, 2026, which increased Accounts receivable, net by $3,070. Combined with the change in purchase price, this resulted in a decrease to Goodwill of $3,457.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current allocation of the purchase price to the identifiable tangible and intangible assets acquired and liabilities assumed of the acquired UnitedHealth and Amedisys operations:</w:t>
      </w:r>
    </w:p>
    <w:p>
      <w:pPr>
        <w:pStyle w:val="TextBody"/>
        <w:bidi w:val="0"/>
        <w:spacing w:before="0" w:after="0"/>
        <w:ind w:left="0" w:right="0" w:firstLine="720"/>
        <w:jc w:val="both"/>
        <w:rPr/>
      </w:pPr>
      <w:r>
        <w:rPr/>
      </w:r>
    </w:p>
    <w:tbl>
      <w:tblPr>
        <w:tblW w:w="5196" w:type="dxa"/>
        <w:jc w:val="left"/>
        <w:tblInd w:w="0" w:type="dxa"/>
        <w:tblLayout w:type="fixed"/>
        <w:tblCellMar>
          <w:top w:w="28" w:type="dxa"/>
          <w:left w:w="28" w:type="dxa"/>
          <w:bottom w:w="28" w:type="dxa"/>
          <w:right w:w="28" w:type="dxa"/>
        </w:tblCellMar>
      </w:tblPr>
      <w:tblGrid>
        <w:gridCol w:w="1451"/>
        <w:gridCol w:w="1275"/>
        <w:gridCol w:w="1279"/>
        <w:gridCol w:w="211"/>
        <w:gridCol w:w="82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consideration transferred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 acquired: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assets acquired</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179,155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assumed: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related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liabilities assumed</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13,557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of acquired net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incurred related to the business combinations during the three and six months ended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the Company expanded its operations with the addition of five home health agencies, four hospice agencies, and four senior living communities. In connection with three of the senior living communities acquired, the Company entered into new long-term “triple-net” leases. For the remaining senior living community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acquired, the Company acquired the real estate of the community. These new communities included 316 operational senior living units to be operated by the Company's independent operating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 costs that were expensed related to the business combinations during the six months ended June 30,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 2026, the Company acquired the real estate of one senior living community located in Arizona for $7,000. A subsidiary of the Company entered into a separate operations transfer agreement with the prior operator of the acquired operation as part of the transaction. This new community includes 63 operational senior living units to be operated by one of the Company’s independent operating subsidiaries.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8. PROPERTY AND EQUIPMENT—NET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p>
      <w:pPr>
        <w:pStyle w:val="TextBody"/>
        <w:bidi w:val="0"/>
        <w:spacing w:before="0" w:after="0"/>
        <w:ind w:left="0" w:right="0" w:firstLine="720"/>
        <w:jc w:val="both"/>
        <w:rPr/>
      </w:pPr>
      <w:r>
        <w:rPr/>
      </w:r>
    </w:p>
    <w:tbl>
      <w:tblPr>
        <w:tblW w:w="6055" w:type="dxa"/>
        <w:jc w:val="left"/>
        <w:tblInd w:w="0" w:type="dxa"/>
        <w:tblLayout w:type="fixed"/>
        <w:tblCellMar>
          <w:top w:w="28" w:type="dxa"/>
          <w:left w:w="28" w:type="dxa"/>
          <w:bottom w:w="28" w:type="dxa"/>
          <w:right w:w="28" w:type="dxa"/>
        </w:tblCellMar>
      </w:tblPr>
      <w:tblGrid>
        <w:gridCol w:w="972"/>
        <w:gridCol w:w="852"/>
        <w:gridCol w:w="860"/>
        <w:gridCol w:w="258"/>
        <w:gridCol w:w="883"/>
        <w:gridCol w:w="133"/>
        <w:gridCol w:w="109"/>
        <w:gridCol w:w="109"/>
        <w:gridCol w:w="109"/>
        <w:gridCol w:w="344"/>
        <w:gridCol w:w="1175"/>
        <w:gridCol w:w="251"/>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8,688 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96,446 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(35,462)</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75,296 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60,984 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$3,112 and $5,728 for the three and six months ended June 30, 2026, and $2,224 and $4,116 for the three and six months ended June 30, 2025. Management has evaluated its long-lived assets and determined there was no impairment recorded during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60" w:after="283"/>
        <w:jc w:val="left"/>
        <w:rPr>
          <w:rFonts w:ascii="Times New Roman;serif" w:hAnsi="Times New Roman;serif"/>
          <w:b/>
          <w:color w:val="000000"/>
          <w:sz w:val="20"/>
        </w:rPr>
      </w:pPr>
      <w:r>
        <w:rPr>
          <w:rFonts w:ascii="Times New Roman;serif" w:hAnsi="Times New Roman;serif"/>
          <w:b/>
          <w:color w:val="000000"/>
          <w:sz w:val="20"/>
        </w:rPr>
        <w:t>9. EQUITY METHOD INVESTMENT</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June 1, 2026, the Company, through a wholly-owned operating subsidiary, entered into a contractual joint operating arrangement to be governed by the existing Management Services Agreement (the “MSA”) with Hartford Healthcare at Home, Inc. related to the provision of certain home health and hospice services in Connecticut. In connection with the arrangement, (i) the Company provides management, administrative, billing, operational, and other consulting services to the operator of the agencies, and (ii) the Company acquired the contractual right to receive 30% of the profits and losses recognized in connection with such arrangement in exchange for a $28,428 purchase payment including transaction costs. Because the Company will not have a majority interest in or exercise control with respect to this arrangement, the arrangement is accounted for using the equity method in accordance with ASC Topic 323, </w:t>
      </w:r>
      <w:r>
        <w:rPr>
          <w:rFonts w:ascii="Times New Roman;serif" w:hAnsi="Times New Roman;serif"/>
          <w:b w:val="false"/>
          <w:i/>
          <w:color w:val="000000"/>
          <w:sz w:val="20"/>
        </w:rPr>
        <w:t>Investments—Equity Method and Joint Ventures</w:t>
      </w:r>
      <w:r>
        <w:rPr>
          <w:rFonts w:ascii="Times New Roman;serif" w:hAnsi="Times New Roman;serif"/>
          <w:b w:val="false"/>
          <w:color w:val="000000"/>
          <w:sz w:val="20"/>
        </w:rPr>
        <w:t>. As of June 30, 2026, the carrying value of this investment was $28,798. For this investment, there was no difference in the carrying amount of the assets and liabilities and the maximum exposure to loss. Net income recognized on our proportionate shares of the net assets of our equity method investments was $370 for the three and six months ended June 30, 2026.</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 xml:space="preserve">10. GOODWILL AND OTHER INDEFINITE-LIVED INTANGIBLE ASSETS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activity in goodwill by segment for the six months ended June 30, 2026:</w:t>
      </w:r>
    </w:p>
    <w:p>
      <w:pPr>
        <w:pStyle w:val="TextBody"/>
        <w:bidi w:val="0"/>
        <w:spacing w:before="0" w:after="0"/>
        <w:ind w:left="0" w:right="0" w:firstLine="720"/>
        <w:jc w:val="both"/>
        <w:rPr/>
      </w:pPr>
      <w:r>
        <w:rPr/>
      </w:r>
    </w:p>
    <w:tbl>
      <w:tblPr>
        <w:tblW w:w="10033" w:type="dxa"/>
        <w:jc w:val="left"/>
        <w:tblInd w:w="0" w:type="dxa"/>
        <w:tblLayout w:type="fixed"/>
        <w:tblCellMar>
          <w:top w:w="28" w:type="dxa"/>
          <w:left w:w="28" w:type="dxa"/>
          <w:bottom w:w="28" w:type="dxa"/>
          <w:right w:w="28" w:type="dxa"/>
        </w:tblCellMar>
      </w:tblPr>
      <w:tblGrid>
        <w:gridCol w:w="1123"/>
        <w:gridCol w:w="988"/>
        <w:gridCol w:w="993"/>
        <w:gridCol w:w="563"/>
        <w:gridCol w:w="2206"/>
        <w:gridCol w:w="291"/>
        <w:gridCol w:w="109"/>
        <w:gridCol w:w="109"/>
        <w:gridCol w:w="109"/>
        <w:gridCol w:w="456"/>
        <w:gridCol w:w="1333"/>
        <w:gridCol w:w="235"/>
        <w:gridCol w:w="109"/>
        <w:gridCol w:w="109"/>
        <w:gridCol w:w="109"/>
        <w:gridCol w:w="211"/>
        <w:gridCol w:w="82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233,604 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2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 adjustment</w:t>
            </w:r>
          </w:p>
        </w:tc>
        <w:tc>
          <w:tcPr>
            <w:tcW w:w="2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5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232,147 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indefinite-lived intangible assets consist of the following:</w:t>
      </w:r>
    </w:p>
    <w:p>
      <w:pPr>
        <w:pStyle w:val="TextBody"/>
        <w:bidi w:val="0"/>
        <w:spacing w:before="0" w:after="0"/>
        <w:ind w:left="0" w:right="0" w:firstLine="720"/>
        <w:jc w:val="both"/>
        <w:rPr/>
      </w:pPr>
      <w:r>
        <w:rPr/>
      </w:r>
    </w:p>
    <w:tbl>
      <w:tblPr>
        <w:tblW w:w="6115" w:type="dxa"/>
        <w:jc w:val="left"/>
        <w:tblInd w:w="0" w:type="dxa"/>
        <w:tblLayout w:type="fixed"/>
        <w:tblCellMar>
          <w:top w:w="28" w:type="dxa"/>
          <w:left w:w="28" w:type="dxa"/>
          <w:bottom w:w="28" w:type="dxa"/>
          <w:right w:w="28" w:type="dxa"/>
        </w:tblCellMar>
      </w:tblPr>
      <w:tblGrid>
        <w:gridCol w:w="992"/>
        <w:gridCol w:w="874"/>
        <w:gridCol w:w="879"/>
        <w:gridCol w:w="234"/>
        <w:gridCol w:w="919"/>
        <w:gridCol w:w="121"/>
        <w:gridCol w:w="109"/>
        <w:gridCol w:w="109"/>
        <w:gridCol w:w="109"/>
        <w:gridCol w:w="313"/>
        <w:gridCol w:w="1228"/>
        <w:gridCol w:w="228"/>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18,161 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 and Medicaid licenses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199,442 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goodwill or intangible asset impairment charges were recorded during the three and six months ended June 30, 2026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11. OTHER ACCRUED LIABILITIES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accrued liabilities consist of the following:</w:t>
      </w:r>
    </w:p>
    <w:p>
      <w:pPr>
        <w:pStyle w:val="TextBody"/>
        <w:bidi w:val="0"/>
        <w:spacing w:before="0" w:after="0"/>
        <w:ind w:left="0" w:right="0" w:firstLine="720"/>
        <w:jc w:val="both"/>
        <w:rPr/>
      </w:pPr>
      <w:r>
        <w:rPr/>
      </w:r>
    </w:p>
    <w:tbl>
      <w:tblPr>
        <w:tblW w:w="6359" w:type="dxa"/>
        <w:jc w:val="left"/>
        <w:tblInd w:w="0" w:type="dxa"/>
        <w:tblLayout w:type="fixed"/>
        <w:tblCellMar>
          <w:top w:w="28" w:type="dxa"/>
          <w:left w:w="28" w:type="dxa"/>
          <w:bottom w:w="28" w:type="dxa"/>
          <w:right w:w="28" w:type="dxa"/>
        </w:tblCellMar>
      </w:tblPr>
      <w:tblGrid>
        <w:gridCol w:w="1042"/>
        <w:gridCol w:w="917"/>
        <w:gridCol w:w="921"/>
        <w:gridCol w:w="258"/>
        <w:gridCol w:w="883"/>
        <w:gridCol w:w="133"/>
        <w:gridCol w:w="109"/>
        <w:gridCol w:w="109"/>
        <w:gridCol w:w="109"/>
        <w:gridCol w:w="349"/>
        <w:gridCol w:w="1195"/>
        <w:gridCol w:w="180"/>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CAP liabilities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Refunds payable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 deposits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payable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liabilities—current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occurs when the Company receives payments in advance of services provided. Refunds payable includes payables related to overpayments, duplicate payments and credit balances from various payor sources. Resident deposits include refundable deposits to residents.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through which its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 liabilities on the Condensed Consolidated Balance Sheets. Non-lease components, which are not significant overall, are combined with lease components. The Company also has finance leases which have initial terms between 2 and 5 years.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30, 2026, the Company has a real estate lease with a purchase option that the Company is reasonably certain to exercise and leased vehicles that are considered finance leases under ASC 842.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June 30, 2026, the Company’s independent operating subsidiaries leased 35 senior living communities from subsidiaries of Ensign (“Ensign Leases”), the majority of which are under master lease arrangements</w:t>
      </w:r>
      <w:r>
        <w:rPr>
          <w:rFonts w:ascii="Times New Roman;serif" w:hAnsi="Times New Roman;serif"/>
          <w:b w:val="false"/>
          <w:i/>
          <w:color w:val="000000"/>
          <w:sz w:val="20"/>
        </w:rPr>
        <w:t>.</w:t>
      </w:r>
      <w:r>
        <w:rPr>
          <w:color w:val="FF0000"/>
        </w:rPr>
        <w:t xml:space="preserve"> </w:t>
      </w:r>
      <w:r>
        <w:rPr>
          <w:rFonts w:ascii="Times New Roman;serif" w:hAnsi="Times New Roman;serif"/>
          <w:b w:val="false"/>
          <w:color w:val="000000"/>
          <w:sz w:val="20"/>
        </w:rPr>
        <w:t xml:space="preserve">The existing leases with subsidiaries of Ensign have initial terms of between 14 to 20 years. The total amount of rent expense included in rent - cost of services paid to subsidiaries of Ensign was $4,062 and $7,911 for the three and six months ended June 30, 2026, and $3,755 and $7,509 for the three and six months ended June 30, 2025.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Fifteen of the Company’s affiliated senior living communities, excluding the communities that are operated under the Ensign Leases,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Finance lease balances consist of the following:</w:t>
      </w:r>
    </w:p>
    <w:tbl>
      <w:tblPr>
        <w:tblW w:w="8169" w:type="dxa"/>
        <w:jc w:val="left"/>
        <w:tblInd w:w="0" w:type="dxa"/>
        <w:tblLayout w:type="fixed"/>
        <w:tblCellMar>
          <w:top w:w="28" w:type="dxa"/>
          <w:left w:w="28" w:type="dxa"/>
          <w:bottom w:w="28" w:type="dxa"/>
          <w:right w:w="28" w:type="dxa"/>
        </w:tblCellMar>
      </w:tblPr>
      <w:tblGrid>
        <w:gridCol w:w="1738"/>
        <w:gridCol w:w="1524"/>
        <w:gridCol w:w="1537"/>
        <w:gridCol w:w="287"/>
        <w:gridCol w:w="839"/>
        <w:gridCol w:w="148"/>
        <w:gridCol w:w="109"/>
        <w:gridCol w:w="109"/>
        <w:gridCol w:w="109"/>
        <w:gridCol w:w="380"/>
        <w:gridCol w:w="1110"/>
        <w:gridCol w:w="279"/>
      </w:tblGrid>
      <w:tr>
        <w:trPr/>
        <w:tc>
          <w:tcPr>
            <w:tcW w:w="1738"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balances: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right-of-use assets</w:t>
            </w:r>
            <w:r>
              <w:rPr>
                <w:rFonts w:ascii="Times New Roman;serif" w:hAnsi="Times New Roman;serif"/>
                <w:b w:val="false"/>
                <w:color w:val="000000"/>
                <w:sz w:val="13"/>
              </w:rPr>
              <w:t>(a)</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liabilities—current</w:t>
            </w:r>
            <w:r>
              <w:rPr>
                <w:rFonts w:ascii="Times New Roman;serif" w:hAnsi="Times New Roman;serif"/>
                <w:b w:val="false"/>
                <w:color w:val="000000"/>
                <w:sz w:val="13"/>
              </w:rPr>
              <w:t>(b)</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finance lease liabilities—less current portion</w:t>
            </w:r>
            <w:r>
              <w:rPr>
                <w:rFonts w:ascii="Times New Roman;serif" w:hAnsi="Times New Roman;serif"/>
                <w:b w:val="false"/>
                <w:color w:val="000000"/>
                <w:sz w:val="13"/>
              </w:rPr>
              <w:t>(c)</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right-of-use assets are included in Restricted and other assets on our Condensed Consolidated Balance Sheets.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Finance lease liabilities—current are included in Other accrued liabilities on our Condensed Consolidated Balance Sheets.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Long-term finance lease liabilities—less current portion are included in Other long-term liabilities on our Condensed Consolidated Balance Sheets.</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total lease cost, net are as follows:</w:t>
      </w:r>
    </w:p>
    <w:p>
      <w:pPr>
        <w:pStyle w:val="TextBody"/>
        <w:bidi w:val="0"/>
        <w:spacing w:before="0" w:after="0"/>
        <w:ind w:left="0" w:right="0" w:firstLine="720"/>
        <w:jc w:val="left"/>
        <w:rPr/>
      </w:pPr>
      <w:r>
        <w:rPr/>
      </w:r>
    </w:p>
    <w:tbl>
      <w:tblPr>
        <w:tblW w:w="8416" w:type="dxa"/>
        <w:jc w:val="left"/>
        <w:tblInd w:w="0" w:type="dxa"/>
        <w:tblLayout w:type="fixed"/>
        <w:tblCellMar>
          <w:top w:w="28" w:type="dxa"/>
          <w:left w:w="28" w:type="dxa"/>
          <w:bottom w:w="28" w:type="dxa"/>
          <w:right w:w="28" w:type="dxa"/>
        </w:tblCellMar>
      </w:tblPr>
      <w:tblGrid>
        <w:gridCol w:w="1093"/>
        <w:gridCol w:w="958"/>
        <w:gridCol w:w="96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costs: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Community Rent—cost of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Rent—cost of services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Rent—cost of services</w:t>
            </w:r>
            <w:r>
              <w:rPr>
                <w:rFonts w:ascii="Times New Roman;serif" w:hAnsi="Times New Roman;serif"/>
                <w:b w:val="false"/>
                <w:color w:val="000000"/>
                <w:sz w:val="13"/>
              </w:rPr>
              <w:t>(a)</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rFonts w:ascii="Times New Roman;serif" w:hAnsi="Times New Roman;serif"/>
                <w:b w:val="false"/>
                <w:color w:val="000000"/>
                <w:sz w:val="13"/>
              </w:rPr>
              <w:t>(b)</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costs: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lease assets</w:t>
            </w:r>
            <w:r>
              <w:rPr>
                <w:rFonts w:ascii="Times New Roman;serif" w:hAnsi="Times New Roman;serif"/>
                <w:b w:val="false"/>
                <w:color w:val="000000"/>
                <w:sz w:val="13"/>
              </w:rPr>
              <w:t>(c)</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on lease liabilities</w:t>
            </w:r>
            <w:r>
              <w:rPr>
                <w:rFonts w:ascii="Times New Roman;serif" w:hAnsi="Times New Roman;serif"/>
                <w:b w:val="false"/>
                <w:color w:val="000000"/>
                <w:sz w:val="13"/>
              </w:rPr>
              <w:t>(d)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83"/>
        <w:gridCol w:w="2744"/>
        <w:gridCol w:w="39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9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Includes short-term lease cost, which is immaterial.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Represents variable lease cost for operating leases, which costs include property taxes, insurance, common area maintenance, and consumer price index increases, incurred as part of the Company’s triple net leases, and which is included in cost of services for our home health and hospice and senior living leases, and general and administrative expense for our Service Center leases for the three and six months ended June 30, 2026 and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lease assets is included in Depreciation and amortization on our Condensed Consolidated Statements of Income.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Interest on lease liabilities is included in Interest expense, net on our Condensed Consolidated Statements of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lease maturity analysis for all leases as of June 30, 2026:</w:t>
      </w:r>
    </w:p>
    <w:p>
      <w:pPr>
        <w:pStyle w:val="TextBody"/>
        <w:bidi w:val="0"/>
        <w:spacing w:before="0" w:after="0"/>
        <w:ind w:left="0" w:right="0" w:firstLine="720"/>
        <w:jc w:val="both"/>
        <w:rPr/>
      </w:pPr>
      <w:r>
        <w:rPr/>
      </w:r>
    </w:p>
    <w:tbl>
      <w:tblPr>
        <w:tblW w:w="7573" w:type="dxa"/>
        <w:jc w:val="left"/>
        <w:tblInd w:w="0" w:type="dxa"/>
        <w:tblLayout w:type="fixed"/>
        <w:tblCellMar>
          <w:top w:w="28" w:type="dxa"/>
          <w:left w:w="28" w:type="dxa"/>
          <w:bottom w:w="28" w:type="dxa"/>
          <w:right w:w="28" w:type="dxa"/>
        </w:tblCellMar>
      </w:tblPr>
      <w:tblGrid>
        <w:gridCol w:w="1125"/>
        <w:gridCol w:w="984"/>
        <w:gridCol w:w="996"/>
        <w:gridCol w:w="425"/>
        <w:gridCol w:w="1665"/>
        <w:gridCol w:w="219"/>
        <w:gridCol w:w="464"/>
        <w:gridCol w:w="1356"/>
        <w:gridCol w:w="339"/>
      </w:tblGrid>
      <w:tr>
        <w:trPr/>
        <w:tc>
          <w:tcPr>
            <w:tcW w:w="112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 Amounts</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Amounts</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24,253 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429,245 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(139,330)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total lease liabilities</w:t>
            </w:r>
          </w:p>
        </w:tc>
        <w:tc>
          <w:tcPr>
            <w:tcW w:w="20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289,915 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2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(6,502)</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263,364 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June 30, 2026, for our operating leases, the weighted average remaining lease term is 10.5 years and the weighted average discount rate is 7.9%. As of December 31, 2025, for our operating leases, the weighted average remaining lease term was 10.7 years and the weighted average discount rate was 7.9%. As of June 30, 2026, for our finance leases, the weighted average remaining lease term and the weighted average discount rate was 1.4 years and 6.2%, respectively. As of December 31, 2025, for our finance leases, the weighted average remaining lease term and the weighted average discount rate was 1.5 years and 6.3%,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13. DEBT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w:t>
      </w:r>
    </w:p>
    <w:tbl>
      <w:tblPr>
        <w:tblW w:w="6279" w:type="dxa"/>
        <w:jc w:val="left"/>
        <w:tblInd w:w="0" w:type="dxa"/>
        <w:tblLayout w:type="fixed"/>
        <w:tblCellMar>
          <w:top w:w="28" w:type="dxa"/>
          <w:left w:w="28" w:type="dxa"/>
          <w:bottom w:w="28" w:type="dxa"/>
          <w:right w:w="28" w:type="dxa"/>
        </w:tblCellMar>
      </w:tblPr>
      <w:tblGrid>
        <w:gridCol w:w="1055"/>
        <w:gridCol w:w="924"/>
        <w:gridCol w:w="930"/>
        <w:gridCol w:w="234"/>
        <w:gridCol w:w="919"/>
        <w:gridCol w:w="121"/>
        <w:gridCol w:w="109"/>
        <w:gridCol w:w="109"/>
        <w:gridCol w:w="109"/>
        <w:gridCol w:w="313"/>
        <w:gridCol w:w="1228"/>
        <w:gridCol w:w="228"/>
      </w:tblGrid>
      <w:tr>
        <w:trPr/>
        <w:tc>
          <w:tcPr>
            <w:tcW w:w="105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revolving credit facility</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1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costs</w:t>
            </w:r>
            <w:r>
              <w:rPr>
                <w:rFonts w:ascii="Times New Roman;serif" w:hAnsi="Times New Roman;serif"/>
                <w:b w:val="false"/>
                <w:color w:val="000000"/>
                <w:sz w:val="13"/>
              </w:rPr>
              <w:t>(a)</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4"/>
        <w:gridCol w:w="2794"/>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For the three and six months ended June 30, 2026, outstanding debt issuance costs of $2,641 are recorded in Restricted and other assets and $1,001 are recorded in Long-term debt, net. For the year ended December 31, 2025, outstanding debt issuance costs of $3,058 are recorded in Restricted and other assets and $1,163 are recorded in Long-term debt, net. </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entered into an Amended and Restated Credit Agreement (the “Amended Credit Agreement”), which provides for a revolving credit facility (the “Amended Revolving Credit Facility”) with a syndicate of banks with a borrowing capacity of $250,000. In conjunction with the amendment, the Company incurred additional debt issuance costs of $3,915 and wrote off previously deferred unamortized debt issuance costs of $428 in 2024. Per the terms of the Amended Credit Agreement, the interest rates applicable to loans under the Amended Revolving Credit Facility are, at the Company’s election, either (i) Term Standard Overnight Financing Rate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Pennant entered into the First Amendment to Amended and Restated Credit Agreement (the “First Amendment”), which provides for an incremental term loan with an aggregate principal amount of $100,000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In conjunction with the First Amendment, the Company incurred additional debt issuance costs of $1,203. The debt issuance costs associated with the Incremental Term Loans are recorded in Long-term debt, net. As of June 30, 2026, the Company’s weighted average interest rate on its outstanding debt was 5.88%.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available borrowing on the Amended Revolving Credit Facility of $145,564, which was net of outstanding letters of credit of $3,436.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the Amended Revolving Credit Facility and the Incremental Term Loans approximates carrying value, due to the short-term natur</w:t>
      </w:r>
      <w:r>
        <w:rPr>
          <w:rFonts w:ascii="Times New Roman;serif" w:hAnsi="Times New Roman;serif"/>
          <w:b w:val="false"/>
          <w:color w:val="000000"/>
          <w:sz w:val="20"/>
          <w:shd w:fill="FFFFFF" w:val="clear"/>
        </w:rPr>
        <w:t xml:space="preserve">e and variable interest rates. </w:t>
      </w:r>
      <w:r>
        <w:rPr>
          <w:rFonts w:ascii="Times New Roman;serif" w:hAnsi="Times New Roman;serif"/>
          <w:b w:val="false"/>
          <w:color w:val="000000"/>
          <w:sz w:val="20"/>
        </w:rPr>
        <w:t>The fair value of this debt is categorized within Level 2 of the fair value hierarchy based on the observable market borrowing 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leverage ratios that impact the amount of interest. As of June 30, 2026, the Company was compliant with all such financial covenants.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14. OPTIONS AND AWARDS</w:t>
      </w:r>
    </w:p>
    <w:p>
      <w:pPr>
        <w:pStyle w:val="TextBody"/>
        <w:bidi w:val="0"/>
        <w:spacing w:lineRule="auto" w:line="288" w:before="0" w:after="0"/>
        <w:ind w:left="0" w:right="0" w:firstLine="720"/>
        <w:jc w:val="both"/>
        <w:rPr/>
      </w:pPr>
      <w:r>
        <w:rPr>
          <w:rFonts w:ascii="Times New Roman;serif" w:hAnsi="Times New Roman;serif"/>
          <w:b w:val="false"/>
          <w:color w:val="212529"/>
          <w:sz w:val="20"/>
        </w:rPr>
        <w:t xml:space="preserve">Outstanding options and restricted stock awards of the Company were granted under the Amended and Restated 2019 Omnibus Incentive Plan (the </w:t>
      </w:r>
      <w:r>
        <w:rPr>
          <w:color w:val="000000"/>
        </w:rPr>
        <w:t>“</w:t>
      </w:r>
      <w:r>
        <w:rPr>
          <w:rFonts w:ascii="Times New Roman;serif" w:hAnsi="Times New Roman;serif"/>
          <w:b w:val="false"/>
          <w:color w:val="212529"/>
          <w:sz w:val="20"/>
        </w:rPr>
        <w:t>Amended and Restated Plan</w:t>
      </w:r>
      <w:r>
        <w:rPr>
          <w:color w:val="000000"/>
        </w:rPr>
        <w:t>”</w:t>
      </w:r>
      <w:r>
        <w:rPr>
          <w:rFonts w:ascii="Times New Roman;serif" w:hAnsi="Times New Roman;serif"/>
          <w:b w:val="false"/>
          <w:color w:val="212529"/>
          <w:sz w:val="20"/>
        </w:rPr>
        <w:t xml:space="preserve">) and Long-Term Incentive Plan (the </w:t>
      </w:r>
      <w:r>
        <w:rPr>
          <w:color w:val="000000"/>
        </w:rPr>
        <w:t>“</w:t>
      </w:r>
      <w:r>
        <w:rPr>
          <w:rFonts w:ascii="Times New Roman;serif" w:hAnsi="Times New Roman;serif"/>
          <w:b w:val="false"/>
          <w:color w:val="212529"/>
          <w:sz w:val="20"/>
        </w:rPr>
        <w:t>LTIP</w:t>
      </w:r>
      <w:r>
        <w:rPr>
          <w:color w:val="000000"/>
        </w:rPr>
        <w:t>”</w:t>
      </w:r>
      <w:r>
        <w:rPr>
          <w:rFonts w:ascii="Times New Roman;serif" w:hAnsi="Times New Roman;serif"/>
          <w:b w:val="false"/>
          <w:color w:val="000000"/>
          <w:sz w:val="20"/>
        </w:rPr>
        <w:t>, and together with the Amended and Restated Plan, the “Pennant Plans”</w:t>
      </w:r>
      <w:r>
        <w:rPr>
          <w:rFonts w:ascii="Times New Roman;serif" w:hAnsi="Times New Roman;serif"/>
          <w:b w:val="false"/>
          <w:color w:val="212529"/>
          <w:sz w:val="20"/>
        </w:rPr>
        <w:t>). During the second quarter of 2025, the Company’s stockholders approved the Amended and Restated Plan, which increased the total number of shares authorized for issuance under the 2019 Omnibus Incentive Plan (the “Predecessor Plan”). Including the shares rolled over from the Predecessor Plan, the Amended and Restated Plan provides for the issuance of 3,293 shares of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disclosures represent share-based compensation expense relating to the Pennant Plans, including awards to employees of the Company’s subsidiaries.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for all Pennant Plans for the three and six months ended June 30, 2026 and 2025 was: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39"/>
        <w:gridCol w:w="1604"/>
        <w:gridCol w:w="1612"/>
        <w:gridCol w:w="235"/>
        <w:gridCol w:w="689"/>
        <w:gridCol w:w="122"/>
        <w:gridCol w:w="122"/>
        <w:gridCol w:w="122"/>
        <w:gridCol w:w="122"/>
        <w:gridCol w:w="235"/>
        <w:gridCol w:w="689"/>
        <w:gridCol w:w="122"/>
        <w:gridCol w:w="109"/>
        <w:gridCol w:w="109"/>
        <w:gridCol w:w="109"/>
        <w:gridCol w:w="221"/>
        <w:gridCol w:w="647"/>
        <w:gridCol w:w="114"/>
        <w:gridCol w:w="114"/>
        <w:gridCol w:w="114"/>
        <w:gridCol w:w="114"/>
        <w:gridCol w:w="221"/>
        <w:gridCol w:w="647"/>
        <w:gridCol w:w="173"/>
      </w:tblGrid>
      <w:tr>
        <w:trPr/>
        <w:tc>
          <w:tcPr>
            <w:tcW w:w="183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stock options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related to Restricted Stock to non-employee directors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future periods, the Company estimates it will recognize the following share-based compensation expense for unvested stock options and unvested Restricted Stock as of June 30, 2026: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77"/>
        <w:gridCol w:w="1235"/>
        <w:gridCol w:w="1241"/>
        <w:gridCol w:w="588"/>
        <w:gridCol w:w="2013"/>
        <w:gridCol w:w="308"/>
        <w:gridCol w:w="109"/>
        <w:gridCol w:w="109"/>
        <w:gridCol w:w="109"/>
        <w:gridCol w:w="882"/>
        <w:gridCol w:w="882"/>
        <w:gridCol w:w="1252"/>
      </w:tblGrid>
      <w:tr>
        <w:trPr/>
        <w:tc>
          <w:tcPr>
            <w:tcW w:w="147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Recognition Period </w:t>
              <w:br/>
              <w:t>(in years)</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Stock Options</w:t>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37,340 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3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w:t>
            </w:r>
          </w:p>
        </w:tc>
        <w:tc>
          <w:tcPr>
            <w:tcW w:w="2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share-based compensation expense</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38,842 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Pennant Plans, options granted to employees of the subsidiaries of Pennant generally vest over five years at 20% per year on the anniversary of the grant date. Options expire ten years after the date of grant.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option-pricing model to recognize the value of stock-based compensation expense for share-based payment awards under the Pennant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option is estimated on the grant date using a Black-Scholes option-pricing model with the following weighted average assumptions for stock options granted as of June 30:</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341"/>
        <w:gridCol w:w="341"/>
        <w:gridCol w:w="342"/>
        <w:gridCol w:w="109"/>
        <w:gridCol w:w="109"/>
        <w:gridCol w:w="109"/>
        <w:gridCol w:w="283"/>
        <w:gridCol w:w="283"/>
        <w:gridCol w:w="706"/>
        <w:gridCol w:w="109"/>
        <w:gridCol w:w="109"/>
        <w:gridCol w:w="109"/>
        <w:gridCol w:w="351"/>
        <w:gridCol w:w="351"/>
        <w:gridCol w:w="352"/>
        <w:gridCol w:w="109"/>
        <w:gridCol w:w="109"/>
        <w:gridCol w:w="109"/>
        <w:gridCol w:w="335"/>
        <w:gridCol w:w="277"/>
        <w:gridCol w:w="692"/>
        <w:gridCol w:w="109"/>
        <w:gridCol w:w="109"/>
        <w:gridCol w:w="109"/>
        <w:gridCol w:w="240"/>
        <w:gridCol w:w="227"/>
        <w:gridCol w:w="566"/>
        <w:gridCol w:w="109"/>
        <w:gridCol w:w="109"/>
        <w:gridCol w:w="109"/>
        <w:gridCol w:w="382"/>
        <w:gridCol w:w="1116"/>
        <w:gridCol w:w="286"/>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Grant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Risk-Free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Life</w:t>
            </w:r>
            <w:r>
              <w:rPr>
                <w:rFonts w:ascii="Times New Roman;serif" w:hAnsi="Times New Roman;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Expected Volatility</w:t>
            </w:r>
            <w:r>
              <w:rPr>
                <w:rFonts w:ascii="Times New Roman;serif" w:hAnsi="Times New Roman;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Fair Value of Options</w:t>
            </w:r>
          </w:p>
        </w:tc>
      </w:tr>
      <w:tr>
        <w:trPr/>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9"/>
        <w:gridCol w:w="2785"/>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Under the midpoint method, the expected option life is the midpoint between the contractual option life and the average vesting period for the options being granted. This resulted in an expected option life of 6.5 years for the options granted.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Because the Company’s equity shares have been traded for a relatively short period of time, expected volatility assumption was based on the volatility of related industry stocks.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employee stock option activity during the six months ended June 30, 2026:</w:t>
      </w:r>
    </w:p>
    <w:p>
      <w:pPr>
        <w:pStyle w:val="TextBody"/>
        <w:bidi w:val="0"/>
        <w:spacing w:before="0" w:after="0"/>
        <w:ind w:left="0" w:right="0" w:firstLine="720"/>
        <w:jc w:val="left"/>
        <w:rPr/>
      </w:pPr>
      <w:r>
        <w:rPr/>
      </w:r>
    </w:p>
    <w:tbl>
      <w:tblPr>
        <w:tblW w:w="7444" w:type="dxa"/>
        <w:jc w:val="left"/>
        <w:tblInd w:w="0" w:type="dxa"/>
        <w:tblLayout w:type="fixed"/>
        <w:tblCellMar>
          <w:top w:w="28" w:type="dxa"/>
          <w:left w:w="28" w:type="dxa"/>
          <w:bottom w:w="28" w:type="dxa"/>
          <w:right w:w="28" w:type="dxa"/>
        </w:tblCellMar>
      </w:tblPr>
      <w:tblGrid>
        <w:gridCol w:w="629"/>
        <w:gridCol w:w="554"/>
        <w:gridCol w:w="556"/>
        <w:gridCol w:w="360"/>
        <w:gridCol w:w="360"/>
        <w:gridCol w:w="361"/>
        <w:gridCol w:w="109"/>
        <w:gridCol w:w="109"/>
        <w:gridCol w:w="109"/>
        <w:gridCol w:w="260"/>
        <w:gridCol w:w="760"/>
        <w:gridCol w:w="134"/>
        <w:gridCol w:w="109"/>
        <w:gridCol w:w="109"/>
        <w:gridCol w:w="109"/>
        <w:gridCol w:w="429"/>
        <w:gridCol w:w="429"/>
        <w:gridCol w:w="431"/>
        <w:gridCol w:w="109"/>
        <w:gridCol w:w="109"/>
        <w:gridCol w:w="109"/>
        <w:gridCol w:w="258"/>
        <w:gridCol w:w="754"/>
        <w:gridCol w:w="18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Options 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Weighted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Exercise Price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of Options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Vested</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7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5,073 </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status of Pennant’s non-vested Restricted Stock, and changes during the six months ended June 30, 2026, is presented below: </w:t>
      </w:r>
    </w:p>
    <w:p>
      <w:pPr>
        <w:pStyle w:val="TextBody"/>
        <w:bidi w:val="0"/>
        <w:spacing w:before="0" w:after="0"/>
        <w:ind w:left="0" w:right="0" w:firstLine="720"/>
        <w:jc w:val="both"/>
        <w:rPr/>
      </w:pPr>
      <w:r>
        <w:rPr/>
      </w:r>
    </w:p>
    <w:tbl>
      <w:tblPr>
        <w:tblW w:w="7719" w:type="dxa"/>
        <w:jc w:val="left"/>
        <w:tblInd w:w="0" w:type="dxa"/>
        <w:tblLayout w:type="fixed"/>
        <w:tblCellMar>
          <w:top w:w="28" w:type="dxa"/>
          <w:left w:w="28" w:type="dxa"/>
          <w:bottom w:w="28" w:type="dxa"/>
          <w:right w:w="28" w:type="dxa"/>
        </w:tblCellMar>
      </w:tblPr>
      <w:tblGrid>
        <w:gridCol w:w="629"/>
        <w:gridCol w:w="554"/>
        <w:gridCol w:w="556"/>
        <w:gridCol w:w="774"/>
        <w:gridCol w:w="774"/>
        <w:gridCol w:w="776"/>
        <w:gridCol w:w="109"/>
        <w:gridCol w:w="109"/>
        <w:gridCol w:w="109"/>
        <w:gridCol w:w="716"/>
        <w:gridCol w:w="2091"/>
        <w:gridCol w:w="52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Non-Vested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5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15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7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15.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$3,936 and $2,598, or 26.5% and 24.6% of earnings before income taxes, for the three months ended June 30, 2026 and 2025, respectively. The increase in the effective tax rate is primarily attributable to higher state income taxes driven by changes in the geographic mix of earnings, net of the associated federal tax benefit.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$7,730 and $5,452, or 26.7% and 24.8% of earnings before income taxes, for the six months ended June 30, 2026 and 2025, respectively. The increase in the effective tax rate is primarily attributable to higher state income taxes driven by changes in the geographic mix of earnings, net of the associated federal tax benefit.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16. DEFINED CONTRIBUTION AND DEFERRED COMPENSATION PLANS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$962 and $1,813 for the three and six months ended June 30, 2026, and $549 and $1,127 for the three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non-qualified deferred compensation plan (the “DCP”) for executives, other highly compensated employees, independent contractors and non-employee directors.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deferred compensation liabilities were $6,638 and $3,816, respectively, in other long-term liabilities on the Condensed Consolidated Balance Sheets. The cash surrender value of the individual variable life insurance contracts is based on investment funds that shadow the investment allocations specified by participants in the DCP. At June 30, 2026 and December 31, 2025, the cash surrender value of the company owned life insurance (“COLI”) policies were $6,634 and $3,812, respectively, and were included as a component of restricted and other assets on the Condensed Consolidated Balance Sheets. There are no outstanding loan amounts offset against the cash surrender value of the COLI policies. The gains and losses recorded for the change in cash surrender value were immaterial for each period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Regulatory Matters - </w:t>
      </w:r>
      <w:r>
        <w:rPr>
          <w:rFonts w:ascii="Times New Roman;serif" w:hAnsi="Times New Roman;serif"/>
          <w:b w:val="false"/>
          <w:color w:val="000000"/>
          <w:sz w:val="20"/>
        </w:rPr>
        <w:t>The Company provides services in complex and highly regulated industries. The Company’s compliance with applicable 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temporary or permanent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(“DOJ”), Department of Health and Human Services (“HHS”), Centers for Medicare and Medicaid Services (“CMS”), or other federal and state enforcement and regulatory agencies may conduct additional investigations related to the Company's businesses. The Company believes it is presently in compliance in all material respects with all applicable laws and regulations.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Cost-Containment Measures - </w:t>
      </w:r>
      <w:r>
        <w:rPr>
          <w:rFonts w:ascii="Times New Roman;serif" w:hAnsi="Times New Roman;serif"/>
          <w:b w:val="false"/>
          <w:color w:val="000000"/>
          <w:sz w:val="20"/>
        </w:rPr>
        <w:t>Government and third-party payors have instituted cost-containment measures designed to limit payments made to providers of healthcare services, may propose or implement future cost-containment measures, and there can be no assurance that future measures designed to limit payments made to providers will not adversely affect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Indemnities - </w:t>
      </w:r>
      <w:r>
        <w:rPr>
          <w:rFonts w:ascii="Times New Roman;serif" w:hAnsi="Times New Roman;serif"/>
          <w:b w:val="false"/>
          <w:color w:val="000000"/>
          <w:sz w:val="20"/>
        </w:rPr>
        <w:t>From time to time, the Company enters into certain types of contracts that contingently require the Company to indemnify parties 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Litigation - </w:t>
      </w:r>
      <w:r>
        <w:rPr>
          <w:rFonts w:ascii="Times New Roman;serif" w:hAnsi="Times New Roman;serif"/>
          <w:b w:val="false"/>
          <w:color w:val="000000"/>
          <w:sz w:val="20"/>
        </w:rPr>
        <w:t xml:space="preserve">The Company’s businesses involve a significant risk of liability given the age and health of the patients and residents served by its independent operating subsidiaries. The Company, its operating subsidiaries,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common in our industry. If there were a significant increase in the number of these claims or an increase in amounts owing should plaintiffs be successful in their prosecution of these claims, this could materially adversely affect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business, financial condition, results of operations and cash flows. In addition, the defense of these lawsuits may result in significant legal costs, regardless of the outcome, and may result in large settlement amounts or damage awards.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potential lawsuits and claims described above, the Company also is subject to potential lawsuits under the False Claims Act (the “FCA”) and comparable state laws alleging submission of fraudulent claims for services to any healthcare program (such as Medicare) or payor. Litigation under the FCA may be commenced by the DOJ or individual plaintiffs alleging a violation of applicable federal laws regarding healthcare payments and service delivery.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scrutiny, potential liability and legal expenses and costs based on claims under state false claims acts in markets in which it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Fraud Enforcement and Recovery Act (“FERA”) and its associated rules, healthcare providers face significant penalties for the knowing retention of government overpayments, even if no false claim was involved. Under current regulations, providers have an obligation to return overpayments to CMS within 60 days of “identification” (i.e., a person has identified an overpayment when the person knowingly receives or retains an overpayment with the same knowledge standard under the FCA) or the date any corresponding cost report is due, whichever is later. This 60-day repayment obligation is suspended, however, when a provider is conducting a good faith investigation to determine the existence of related overpayments that may arise from the same (or similar) cause as the originally identified overpayment, and the provider conducts a timely, good-faith investigation to determine whether related overpayments exist. Retention of overpayments beyond this period may create liability under the FCA. In addition, FERA protects whistleblowers (including employees, contractors, and agents) from retaliation.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fines, or penalties,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Medicare Revenue Recoupments - </w:t>
      </w:r>
      <w:r>
        <w:rPr>
          <w:rFonts w:ascii="Times New Roman;serif" w:hAnsi="Times New Roman;serif"/>
          <w:b w:val="false"/>
          <w:color w:val="000000"/>
          <w:sz w:val="20"/>
        </w:rPr>
        <w:t xml:space="preserve">The Company is subject to probe reviews relating to Medicare services, billings and potential overpayments by 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16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June 30, 2026, and through the filing of this Quarterly Report on Form 10-Q,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PENNANT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Insurance</w:t>
      </w:r>
      <w:r>
        <w:rPr>
          <w:color w:val="000000"/>
        </w:rPr>
        <w:t xml:space="preserve"> </w:t>
      </w:r>
      <w:r>
        <w:rPr>
          <w:rFonts w:ascii="Times New Roman;serif" w:hAnsi="Times New Roman;serif"/>
          <w:b w:val="false"/>
          <w:color w:val="000000"/>
          <w:sz w:val="20"/>
        </w:rPr>
        <w:t xml:space="preserve">- The Company retains risk for a substantial portion of potential claims for general and professional liability, workers’ compensation 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$600 corridor as an additional out-of-pocket retention the Company must satisfy for claims within the policy year before the carrier will reimburse losses. The workers’ compensation insurance has a retention limit of $250 per claim, except for policies held in Texas, which has a retention limit of $100 per claim, California, which has a retention limit of $500 per claim, and Washington and Wyoming, which are subject to state insurance and possess their own limits.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2026 and fiscal year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2025 (the “2025 Annual Report”), which discusses our business and related risks in greater detail, as well as subsequent reports we may file from time to time on Form 10-K, Form 10-Q and Form 8-K, for additional information. The section entitled “Risk Factors” filed within our 2025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risk factors discussed in this Quarterly Report and the 2025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federal and state changes to, or delays receiving, reimbursement and other aspects of Medicaid and Medicare, including proposed Medicare reimbursement reductions in the Calendar Year 2026 Home Health Prospective Payment System Rate Update Final Rule and changes to Medicaid funding and eligibility within the One Big Beautiful Bill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the laws and regulations affecting the U.S. healthcare industry, and changes based on the outcomes of the 2026 midterm elections and state level elections that may affect how these laws are enacted and enforced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proposed changes to payment models and reimbursement amounts within the Medicare and Medicaid fee schedules for future calendar years, including potentially minimal increases in Medicare Advantage rates and payments in the future;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future cost containment measures undertaken by payors;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government reviews, audits and investigations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additional regulation affecting the transparency, ownership, operating standards, conditions of licensure or participation in certain payment programs, and staffing of businesses in our industry;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increased competition and increased cost of acquisition or retention for, or a shortage of, skilled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achievement and maintenance of competitive quality of care ratings and referrals from referral sources;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and compliance with, state and federal employment, fair housing, safety, licensing and other laws;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competition from other healthcare providers, federal and state efforts to regulate or deregulate the healthcare services industry, including through staffing levels and requirements, or the construction or expansion of the number of home health, hospice or senior living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actions of labor unions, including strikes, work stoppages, unfair labor practices claims, or related labor activity;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costs associated with litigation or any future litigation settlements;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leases of our affiliated senior living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inability to complete future acquisitions at attractive prices or at all, and failure to successfully or efficiently integrate new acquisitions into our existing operations and operating subsidiaries;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general economic conditions, including a housing downturn, which could affect seniors’ ability to afford resident fees, or inflation and increasing interest rates, which raise the costs of goods and borrowing capital, which may affect the delivery and affordability of our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security breaches and other cyber security incidents;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performance of the financial and credit markets and uncertainties related to our ability to obtain financing or the terms of such financing.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Alabama, Arizona, California, Colorado, Georgia, Idaho, Montana, Nevada, Oklahoma, Oregon, Tennessee, Texas, Utah, Washington, Wisconsin and Wyoming. We also provide home health and hospice operational support through a management service agreement in Connecticut. See Note 9, </w:t>
      </w:r>
      <w:r>
        <w:rPr>
          <w:rFonts w:ascii="Times New Roman;serif" w:hAnsi="Times New Roman;serif"/>
          <w:b w:val="false"/>
          <w:i/>
          <w:color w:val="000000"/>
          <w:sz w:val="20"/>
        </w:rPr>
        <w:t>Equity Method Investments</w:t>
      </w:r>
      <w:r>
        <w:rPr>
          <w:rFonts w:ascii="Times New Roman;serif" w:hAnsi="Times New Roman;serif"/>
          <w:b w:val="false"/>
          <w:color w:val="000000"/>
          <w:sz w:val="20"/>
        </w:rPr>
        <w:t xml:space="preserve">, for further details about our investment in these operations. As of June 30, 2026, our home health and hospice business provided home health, hospice and home care services from 175 agencies operating across these 16 states, and our senior living business operated 69 senior living communities throughout seven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affiliated home health and hospice agencies and senior living communities as of:</w:t>
      </w:r>
    </w:p>
    <w:p>
      <w:pPr>
        <w:pStyle w:val="TextBody"/>
        <w:bidi w:val="0"/>
        <w:spacing w:before="0" w:after="0"/>
        <w:ind w:left="0" w:right="0" w:firstLine="720"/>
        <w:jc w:val="left"/>
        <w:rPr/>
      </w:pPr>
      <w:r>
        <w:rPr/>
      </w:r>
    </w:p>
    <w:tbl>
      <w:tblPr>
        <w:tblW w:w="10971" w:type="dxa"/>
        <w:jc w:val="left"/>
        <w:tblInd w:w="0" w:type="dxa"/>
        <w:tblLayout w:type="fixed"/>
        <w:tblCellMar>
          <w:top w:w="28" w:type="dxa"/>
          <w:left w:w="28" w:type="dxa"/>
          <w:bottom w:w="28" w:type="dxa"/>
          <w:right w:w="28" w:type="dxa"/>
        </w:tblCellMar>
      </w:tblPr>
      <w:tblGrid>
        <w:gridCol w:w="644"/>
        <w:gridCol w:w="263"/>
        <w:gridCol w:w="264"/>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7"/>
        <w:gridCol w:w="309"/>
        <w:gridCol w:w="176"/>
        <w:gridCol w:w="109"/>
        <w:gridCol w:w="109"/>
        <w:gridCol w:w="109"/>
        <w:gridCol w:w="308"/>
        <w:gridCol w:w="308"/>
        <w:gridCol w:w="176"/>
        <w:gridCol w:w="109"/>
        <w:gridCol w:w="109"/>
        <w:gridCol w:w="109"/>
        <w:gridCol w:w="308"/>
        <w:gridCol w:w="308"/>
        <w:gridCol w:w="176"/>
        <w:gridCol w:w="109"/>
        <w:gridCol w:w="109"/>
        <w:gridCol w:w="109"/>
        <w:gridCol w:w="308"/>
        <w:gridCol w:w="308"/>
        <w:gridCol w:w="176"/>
        <w:gridCol w:w="109"/>
        <w:gridCol w:w="109"/>
        <w:gridCol w:w="109"/>
        <w:gridCol w:w="329"/>
        <w:gridCol w:w="287"/>
        <w:gridCol w:w="232"/>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agencies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communities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number of home health, hospice, and senior living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3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Recent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Acquisitions. </w:t>
      </w:r>
      <w:r>
        <w:rPr>
          <w:rFonts w:ascii="Times New Roman;serif" w:hAnsi="Times New Roman;serif"/>
          <w:b w:val="false"/>
          <w:color w:val="000000"/>
          <w:sz w:val="20"/>
        </w:rPr>
        <w:t>During the six months ended June 30, 2026, we expanded our operations with the addition of six senior living communities. A subsidiary of the Company entered into a separate operations transfer agreement with the prior operator of each acquired operation as part of each transaction.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under the heading “Government Regulation” in the 2025 Annual Report a summary of regulations that we believe materially affect our business, financial condition or results of operations. Since the time of the filing of the 2025 Annual Report, the following regulations have been updated.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CMS issued the Calendar Year (“CY”) 2027 Hospice Wage Index and Payment Rate Update proposed rule (“Hospice Payment Final Rule”). The Hospice Payment Final Rule’s net payment update percentage is 2.3%, which is an estimated increase of $755 million in payments from fiscal year 2026 in the aggregate across all hospice providers. The payment update percentage is based on a 3.2% market basket percentage increase, reduced by a 0.9% productivity adjustment. In addition, the Hospice Payment Final Rule updates the statutory aggregate cap of the total overall payments per patient that may be made to a hospice annually to $36,174.75 for fiscal year 2027, which is an increase of 2.3% from the 2026 fiscal year cap of $35,361.44.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Hospice Payment Final Rule makes a technical change extending a hospice’s ability to use telehealth to conduct encounters that otherwise have to be conducted face-to-face through December 31, 2027, to align with the Consolidated Appropriations Act of 2026. Further, CMS has made the hospice election statement addendum, which was originally only provided to hospice patients upon request, mandatory for all hospice elections. In publishing the Hospice Payment Final Rule, CMS explained that this requirement will provide beneficiaries additional transparency regarding the items, services, and drugs not covered under Medicare’s hospice benefits, so that those beneficiaries can make appropriate treatment decisions. Finally, as part of the Hospice Quality Reporting Program, CMS will add an icon to the Medicare.gov Compare Tool that will identify hospices failing to submit any data or submitting less than the required quality data beginning in the 2028 fiscal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May 13, 2026, CMS announced a six-month, nationwide moratorium on new Medicare enrollment applications for hospice providers and home health agencies (“HHA”); this applies to all initial Medicare enrollment applications and to certain changes in majority ownership of existing enrolled providers. The moratorium does not affect currently enrolled providers. This moratorium was announced in coordination with the Anti-Fraud Task Force focusing on initiatives to combat fraud, waste, and abuse. Also, in connection with such moratorium, CMS announced certain enforcement activity against hospices and HHAs (e.g., suspension of Medicare payments to certain providers). Notably, CMS announced heightened scrutiny of newly enrolled providers in Arizona, California, Georgia, Nevada, Ohio, Oklahoma, and Texas. Following CMS’s announcement of this moratorium, certain states have followed suit: Ohio announced a Medicaid enrollment moratorium on May 14, 2026, through November 14, 2026; Arkansas announced it will no longer accept applications for hospices effective May 13, 2026; and, Nevada announced a temporary pause on the issuance of new state licenses for hospices and HHAs on June 5, 2026. All of these reflect alignment with the federal enrollment moratorium.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CMS published the CY 2027 Home Health Prospective Payment System proposed rule (“HHA Payment Proposed Rule”). The HHA Payment Proposed Rule includes several changes that, if finalized, could materially impact our home health offerings. Under the HHA Payment Proposed Rule, CMS proposes increasing the aggregate net payments to home health agencies by 2.4%, resulting in an aggregate estimated increase across all home health providers of $420 million in payments compared to CY 2026. The payment update percentage includes a payment increase of 2.1% or $370 million, and a 0.3% update to the fixed dollar loss ratio for outlier payments, representing a $50 million increase in funding.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HHA Payment Proposed Rule also proposes several specific Home Health Quality Reporting Program (“QRP”) proposals. First, CMS proposed to shorten the OASIS assessment data submission and correction deadline to the fifteenth day of the second month after the end of the calendar quarter, beginning with the CY 2027 QRP. Second, CMS proposed aligning the OASIS APU reporting period, which currently begins each July 1 and ends the following June 30, with the calendar year. Third, CMS proposed regulatory changes to transition the QRP noncompliance reconsideration process from letter-based communications to a digital process using communications through CMS’s data submission system to expedite this process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HHA Payment Proposed Rule also set forth significant changes to Medicare provider and supplier enrollment processes. If adopted, these provisions would apply to any Medicare provider or supplier, consistent with HHS and CMS’s stated priorities of combatting fraud, waste, and abuse. First, CMS proposed to expand the false-or-misleading information basis for denying or revoking enrollment in Medicare so that this lower standard for denial or revocation of enrollment shall be applicable to any and all of CMS’s and Medicare’s provider-enrollment-related forms or documentation. Second, CMS proposed new and expanded grounds for denying enrollment in Medicare, including but not limited to, an applicant’s failure to abide by certain change in majority ownership rules for hospices and HHAs, if that applicant’s licensure or participation ins a state or federal program for the payment of healthcare services had been suspended or revoked. Third, CMS proposed to make all Medicare enrollment revocations retroactive to the date the event or circumstance giving rise to revocation began, rather than applying only prospectively and commencing 30 days after CMS or its contractor mails notice of revocation to the provider.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Fourth, the HHA Payment Proposed Rule expands the reapplication-bar authority so that CMS may prohibit a prospective provider or supplier from enrolling in Medicare for up to ten years if its prior application is denied for certain reasons defined by regulation, such as noncompliance with enrollment requirements, misconduct, or unpaid claims or debt owed to Medicare. The proposed rule, if adopted, would significantly expand the grounds on which providers or suppliers are barred from re-applying for enrollment in Medicare after a prior enrollment denial, which currently are limited to denials based on false or misleading information. Finally, a series of other enrollment-related changes were proposed including a new general signage requirement, documentation requirements, and clarification of procedures for appeals and rebuttals concerning CMS’s enrollment decisions.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CODM, reviews financial information at the operating segment level using segment adjusted EBITDAR from operations.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the fiscal aspects of our business by monitoring key performance indicators that affect our financial performance. These indicators and their definitions include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Home Health and Hospice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home health admissions</w:t>
      </w:r>
      <w:r>
        <w:rPr>
          <w:rFonts w:ascii="Times New Roman;serif" w:hAnsi="Times New Roman;serif"/>
          <w:b w:val="false"/>
          <w:color w:val="000000"/>
          <w:sz w:val="20"/>
        </w:rPr>
        <w:t>. Total admissions of home health patients,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Medicare home health admissions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Total admissions of home health patients, who are receiving care under Medicare reimbursement programs, including new acquisitions, new admissions, and readmissions.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Medicare revenue per completed 60-day home health episode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average amount of revenue for each completed 60-day home health episode generated from patients who are receiving care under Medicare reimbursement programs.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Total hospice admissions</w:t>
      </w:r>
      <w:r>
        <w:rPr>
          <w:rFonts w:ascii="Times New Roman;serif" w:hAnsi="Times New Roman;serif"/>
          <w:b w:val="false"/>
          <w:color w:val="000000"/>
          <w:sz w:val="20"/>
        </w:rPr>
        <w:t>. Total admissions of hospice patients, including new acquisitions, new admissions, and recertifications.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Average hospice daily census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average number of patients who are receiving hospice care during any measurement period divided by the number of days during such measurement period. </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Hospice Medicare revenue per day</w:t>
      </w:r>
      <w:r>
        <w:rPr>
          <w:rFonts w:ascii="Times New Roman;serif" w:hAnsi="Times New Roman;serif"/>
          <w:b w:val="false"/>
          <w:color w:val="000000"/>
          <w:sz w:val="20"/>
        </w:rPr>
        <w:t>. The average daily Medicare revenue recorded during any measurement period for services provided to hospice patients.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overall home health and hospice statistics for the periods indicated: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5"/>
        <w:gridCol w:w="1540"/>
        <w:gridCol w:w="1546"/>
        <w:gridCol w:w="250"/>
        <w:gridCol w:w="732"/>
        <w:gridCol w:w="129"/>
        <w:gridCol w:w="129"/>
        <w:gridCol w:w="129"/>
        <w:gridCol w:w="129"/>
        <w:gridCol w:w="250"/>
        <w:gridCol w:w="732"/>
        <w:gridCol w:w="129"/>
        <w:gridCol w:w="109"/>
        <w:gridCol w:w="109"/>
        <w:gridCol w:w="109"/>
        <w:gridCol w:w="227"/>
        <w:gridCol w:w="665"/>
        <w:gridCol w:w="117"/>
        <w:gridCol w:w="117"/>
        <w:gridCol w:w="117"/>
        <w:gridCol w:w="117"/>
        <w:gridCol w:w="227"/>
        <w:gridCol w:w="665"/>
        <w:gridCol w:w="176"/>
      </w:tblGrid>
      <w:tr>
        <w:trPr/>
        <w:tc>
          <w:tcPr>
            <w:tcW w:w="175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hospice daily census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8"/>
        <w:gridCol w:w="2748"/>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The year-to-date average Medicare revenue per 60-day completed episode includes post-period claim adjustments for prior quarters.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Living Services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Occupancy</w:t>
      </w:r>
      <w:r>
        <w:rPr>
          <w:rFonts w:ascii="Times New Roman;serif" w:hAnsi="Times New Roman;serif"/>
          <w:b w:val="false"/>
          <w:i/>
          <w:color w:val="000000"/>
          <w:sz w:val="20"/>
        </w:rPr>
        <w:t xml:space="preserve">. </w:t>
      </w:r>
      <w:r>
        <w:rPr>
          <w:rFonts w:ascii="Times New Roman;serif" w:hAnsi="Times New Roman;serif"/>
          <w:b w:val="false"/>
          <w:color w:val="000000"/>
          <w:sz w:val="20"/>
        </w:rPr>
        <w:t>The ratio of actual number of days our units are occupied during any measurement period to the number of units available for occupancy during such measurement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Average monthly revenue per occupied unit</w:t>
      </w:r>
      <w:r>
        <w:rPr>
          <w:rFonts w:ascii="Times New Roman;serif" w:hAnsi="Times New Roman;serif"/>
          <w:b w:val="false"/>
          <w:color w:val="000000"/>
          <w:sz w:val="20"/>
        </w:rPr>
        <w:t>. The revenue for senior living services during any measurement period divided by actual occupied senior living units for such measurement period divided by the number of months for such measurement period.</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senior living statistics for the periods indicated:</w:t>
      </w:r>
    </w:p>
    <w:p>
      <w:pPr>
        <w:pStyle w:val="TextBody"/>
        <w:bidi w:val="0"/>
        <w:spacing w:before="0" w:after="0"/>
        <w:ind w:left="0" w:right="0" w:firstLine="720"/>
        <w:jc w:val="left"/>
        <w:rPr/>
      </w:pPr>
      <w:r>
        <w:rPr/>
      </w:r>
    </w:p>
    <w:tbl>
      <w:tblPr>
        <w:tblW w:w="9208" w:type="dxa"/>
        <w:jc w:val="left"/>
        <w:tblInd w:w="0" w:type="dxa"/>
        <w:tblLayout w:type="fixed"/>
        <w:tblCellMar>
          <w:top w:w="28" w:type="dxa"/>
          <w:left w:w="28" w:type="dxa"/>
          <w:bottom w:w="28" w:type="dxa"/>
          <w:right w:w="28" w:type="dxa"/>
        </w:tblCellMar>
      </w:tblPr>
      <w:tblGrid>
        <w:gridCol w:w="1336"/>
        <w:gridCol w:w="1175"/>
        <w:gridCol w:w="1179"/>
        <w:gridCol w:w="219"/>
        <w:gridCol w:w="641"/>
        <w:gridCol w:w="282"/>
        <w:gridCol w:w="113"/>
        <w:gridCol w:w="113"/>
        <w:gridCol w:w="113"/>
        <w:gridCol w:w="219"/>
        <w:gridCol w:w="641"/>
        <w:gridCol w:w="282"/>
        <w:gridCol w:w="109"/>
        <w:gridCol w:w="109"/>
        <w:gridCol w:w="109"/>
        <w:gridCol w:w="211"/>
        <w:gridCol w:w="616"/>
        <w:gridCol w:w="271"/>
        <w:gridCol w:w="109"/>
        <w:gridCol w:w="109"/>
        <w:gridCol w:w="109"/>
        <w:gridCol w:w="211"/>
        <w:gridCol w:w="616"/>
        <w:gridCol w:w="31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Home Health and Hospice Services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Home Health.</w:t>
      </w:r>
      <w:r>
        <w:rPr>
          <w:color w:val="000000"/>
        </w:rPr>
        <w:t xml:space="preserve"> </w:t>
      </w:r>
      <w:r>
        <w:rPr>
          <w:rFonts w:ascii="Times New Roman;serif" w:hAnsi="Times New Roman;serif"/>
          <w:b w:val="false"/>
          <w:color w:val="000000"/>
          <w:sz w:val="20"/>
        </w:rPr>
        <w:t xml:space="preserve">We derive the majority of our home health revenue from Medicare and managed care. The Medicare payment is adjusted for differences 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payment periods; (e) changes to the acuity of the patient during the previous 30-day period of care; (f) changes in the base payments established by the Medicare program; (g) adjustments to the base payments for case mix and geographic wages; and (h) recoveries of overpayments.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variables are subject to periodic adjustments set by CMS regulations. For further detail regarding PDGM see the </w:t>
      </w:r>
      <w:r>
        <w:rPr>
          <w:rFonts w:ascii="Times New Roman;serif" w:hAnsi="Times New Roman;serif"/>
          <w:b w:val="false"/>
          <w:i/>
          <w:color w:val="000000"/>
          <w:sz w:val="20"/>
        </w:rPr>
        <w:t>Government Regulation</w:t>
      </w:r>
      <w:r>
        <w:rPr>
          <w:color w:val="000000"/>
        </w:rPr>
        <w:t xml:space="preserve"> </w:t>
      </w:r>
      <w:r>
        <w:rPr>
          <w:rFonts w:ascii="Times New Roman;serif" w:hAnsi="Times New Roman;serif"/>
          <w:b w:val="false"/>
          <w:color w:val="000000"/>
          <w:sz w:val="20"/>
        </w:rPr>
        <w:t>section of our 2025 Annual Report.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Hospice.</w:t>
      </w:r>
      <w:r>
        <w:rPr>
          <w:color w:val="000000"/>
        </w:rPr>
        <w:t xml:space="preserve"> </w:t>
      </w:r>
      <w:r>
        <w:rPr>
          <w:rFonts w:ascii="Times New Roman;serif" w:hAnsi="Times New Roman;serif"/>
          <w:b w:val="false"/>
          <w:color w:val="000000"/>
          <w:sz w:val="20"/>
        </w:rPr>
        <w:t>We derive the majority of our hospice business revenue from Medicare reimbursement. The estimated payment rates are calculated as 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Routine Home Care (“RHC”). </w:t>
      </w:r>
      <w:r>
        <w:rPr>
          <w:rFonts w:ascii="Times New Roman;serif" w:hAnsi="Times New Roman;serif"/>
          <w:b w:val="false"/>
          <w:color w:val="000000"/>
          <w:sz w:val="20"/>
        </w:rPr>
        <w:t>Care that is not classified under any of the other levels of care, such as the work of nurses, social workers, or home health aides.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General Inpatient Care. </w:t>
      </w:r>
      <w:r>
        <w:rPr>
          <w:rFonts w:ascii="Times New Roman;serif" w:hAnsi="Times New Roman;serif"/>
          <w:b w:val="false"/>
          <w:color w:val="000000"/>
          <w:sz w:val="20"/>
        </w:rPr>
        <w:t>Pain control or acute or chronic symptom management that cannot be managed in a setting other than an inpatient Medicare-certified facility, such as a hospital, skilled nursing facility, or hospice inpatient facility.</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Continuous Home Care. </w:t>
      </w:r>
      <w:r>
        <w:rPr>
          <w:rFonts w:ascii="Times New Roman;serif" w:hAnsi="Times New Roman;serif"/>
          <w:b w:val="false"/>
          <w:color w:val="000000"/>
          <w:sz w:val="20"/>
        </w:rPr>
        <w:t>Care for patients experiencing a medical crisis that requires nursing services to achieve palliation and symptom control, if the agency provides a minimum of eight hours of care within a 24-hour period.</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rPr>
        <w:t>Inpatient Respite Care.</w:t>
      </w:r>
      <w:r>
        <w:rPr>
          <w:color w:val="000000"/>
        </w:rPr>
        <w:t xml:space="preserve"> </w:t>
      </w:r>
      <w:r>
        <w:rPr>
          <w:rFonts w:ascii="Times New Roman;serif" w:hAnsi="Times New Roman;serif"/>
          <w:b w:val="false"/>
          <w:color w:val="000000"/>
          <w:sz w:val="20"/>
        </w:rPr>
        <w:t>Short-term, inpatient care to give temporary relief to the caregiver who regularly provides care to the patient.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CMS has established a two-tiered payment system for RHC services. Hospices are reimbursed at a higher rate for RHC services that are provided for days of service 1 through 60, and a lower rate for all subsequent days of service. CMS also provides for a Service Intensity Add-On, which increases payments for certain RHC services provided by registered nurses and social workers to hospice patients during the final seven days of life.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Senior Living Services</w:t>
      </w:r>
      <w:r>
        <w:rPr>
          <w:rFonts w:ascii="Times New Roman;serif" w:hAnsi="Times New Roman;serif"/>
          <w:b w:val="false"/>
          <w:i/>
          <w:color w:val="000000"/>
          <w:sz w:val="20"/>
        </w:rPr>
        <w:t xml:space="preserve">. </w:t>
      </w:r>
      <w:r>
        <w:rPr>
          <w:rFonts w:ascii="Times New Roman;serif" w:hAnsi="Times New Roman;serif"/>
          <w:b w:val="false"/>
          <w:color w:val="000000"/>
          <w:sz w:val="20"/>
        </w:rPr>
        <w:t>Within our senior living operations, we generate revenue primarily from private pay sources, with a portion earned from Medicaid or other state-specific programs.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Primary Components of Expense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Cost of Services (excluding rent, general and administrative expense, and depreciation and amortization)</w:t>
      </w:r>
      <w:r>
        <w:rPr>
          <w:rFonts w:ascii="Times New Roman;serif" w:hAnsi="Times New Roman;serif"/>
          <w:b w:val="false"/>
          <w:color w:val="000000"/>
          <w:sz w:val="20"/>
        </w:rPr>
        <w:t xml:space="preserve">. Our cost of services represents the costs of operating our independent operating subsidiaries, which primarily consists of employee wages and related benefits, share-based compensation, supplies, purchased services, and ancillary expenses such as the cost of pharmacy and therapy services provided to patients and residents. Cost of services also includes the cost of general and professional liability insurance and other general cost of services specifically attributable to our operations.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Rent—Cost of Services</w:t>
      </w:r>
      <w:r>
        <w:rPr>
          <w:rFonts w:ascii="Times New Roman;serif" w:hAnsi="Times New Roman;serif"/>
          <w:b w:val="false"/>
          <w:color w:val="000000"/>
          <w:sz w:val="20"/>
        </w:rPr>
        <w:t xml:space="preserve">. Rent—cost of services consists solely of base minimum rent amounts payable under lease agreements to our landlords. Our 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General and Administrative Expense</w:t>
      </w:r>
      <w:r>
        <w:rPr>
          <w:rFonts w:ascii="Times New Roman;serif" w:hAnsi="Times New Roman;serif"/>
          <w:b w:val="false"/>
          <w:color w:val="000000"/>
          <w:sz w:val="20"/>
        </w:rPr>
        <w:t>. General and administrative expense consists primarily of employee wages and related benefits and travel expenses for our Service Center personnel in providing training and other operational support. General and administrative expense also includes professional fees (including accounting and legal fees), costs relating to information systems, stock-based compensation, and rent for our Service Center offices.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Depreciation and Amortization</w:t>
      </w:r>
      <w:r>
        <w:rPr>
          <w:rFonts w:ascii="Times New Roman;serif" w:hAnsi="Times New Roman;serif"/>
          <w:b w:val="false"/>
          <w:color w:val="000000"/>
          <w:sz w:val="20"/>
        </w:rPr>
        <w:t>. Property and equipment are initially recorded at their historical cost. Depreciation is computed using the straight-line method over the estimated useful lives of the depreciable assets (ranging from one to forty years). Leasehold improvements are amortized on a straight-line basis over the shorter of their estimated useful lives or the remaining lease term.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intangible assets, and goodwill.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serif" w:hAnsi="Times New Roman;serif"/>
          <w:b w:val="false"/>
          <w:i/>
          <w:color w:val="000000"/>
          <w:sz w:val="20"/>
        </w:rPr>
        <w:t>Basis of Presentation and Summary of Significant Accounting Policies</w:t>
      </w:r>
      <w:r>
        <w:rPr>
          <w:rFonts w:ascii="Times New Roman;serif" w:hAnsi="Times New Roman;serif"/>
          <w:b w:val="false"/>
          <w:color w:val="000000"/>
          <w:sz w:val="20"/>
        </w:rPr>
        <w:t>, within the 2025 Annual Report for further information on our critical accounting estimates and policies, which are as follows: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Self-insurance reserves</w:t>
      </w:r>
      <w:r>
        <w:rPr>
          <w:color w:val="000000"/>
        </w:rPr>
        <w:t xml:space="preserve"> </w:t>
      </w:r>
      <w:r>
        <w:rPr>
          <w:rFonts w:ascii="Times New Roman;serif" w:hAnsi="Times New Roman;serif"/>
          <w:b w:val="false"/>
          <w:color w:val="000000"/>
          <w:sz w:val="20"/>
        </w:rPr>
        <w:t>- The Company is self-insured for general and professional liability, workers’ compensation, automobile, and its employee health plans while maintaining stop-loss coverage with third-party insurers to limit its total liability exposure. The Company accrues amounts equal to the actuarial estimated costs to settle open claims of insureds, as well as an estimate of the costs of insured claims that have been incurred but not reported. We develop information about the size of the ultimate claims based on historical experience, current industry information, and actuarial analysis;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 The amounts owed by private pay individuals for services and estimate of variable considerations to arrive at the transaction price, including methods and assumptions, used to determine settlements with Medicare and Medicaid adjustments due to audits and reviews; and</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Acquisition accounting and goodwill</w:t>
      </w:r>
      <w:r>
        <w:rPr>
          <w:color w:val="000000"/>
        </w:rPr>
        <w:t xml:space="preserve"> </w:t>
      </w:r>
      <w:r>
        <w:rPr>
          <w:rFonts w:ascii="Times New Roman;serif" w:hAnsi="Times New Roman;serif"/>
          <w:b w:val="false"/>
          <w:color w:val="000000"/>
          <w:sz w:val="20"/>
        </w:rPr>
        <w:t>- The assumptions used to allocate the purchase price paid for assets acquired and liabilities assumed in connection with our acquisitions, and the review of goodwill for impairment at the Company’s annual impairment test date or upon the occurrence of a triggering event.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Information concerning recently issued accounting pronouncements, if applicable, are included in Note 2, </w:t>
      </w:r>
      <w:r>
        <w:rPr>
          <w:rFonts w:ascii="Times New Roman;serif" w:hAnsi="Times New Roman;serif"/>
          <w:b w:val="false"/>
          <w:i/>
          <w:color w:val="000000"/>
          <w:sz w:val="20"/>
          <w:shd w:fill="FFFFFF" w:val="clear"/>
        </w:rPr>
        <w:t>Basis of Presentation and Summary of Significant Accounting Policies</w:t>
      </w:r>
      <w:r>
        <w:rPr>
          <w:color w:val="000000"/>
          <w:shd w:fill="FFFFFF" w:val="clear"/>
        </w:rPr>
        <w:t xml:space="preserve"> </w:t>
      </w:r>
      <w:r>
        <w:rPr>
          <w:rFonts w:ascii="Times New Roman;serif" w:hAnsi="Times New Roman;serif"/>
          <w:b w:val="false"/>
          <w:color w:val="000000"/>
          <w:sz w:val="20"/>
        </w:rPr>
        <w:t>in the Interim Financial Statements</w:t>
      </w:r>
      <w:r>
        <w:rPr>
          <w:rFonts w:ascii="Times New Roman;serif" w:hAnsi="Times New Roman;serif"/>
          <w:b w:val="false"/>
          <w:color w:val="000000"/>
          <w:sz w:val="20"/>
          <w:shd w:fill="FFFFFF" w:val="clear"/>
        </w:rPr>
        <w:t xml:space="preserv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details of our revenue, expenses and earnings as a percentage of total revenue for the periods indicated:</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26"/>
        <w:gridCol w:w="1271"/>
        <w:gridCol w:w="1266"/>
        <w:gridCol w:w="352"/>
        <w:gridCol w:w="264"/>
        <w:gridCol w:w="487"/>
        <w:gridCol w:w="195"/>
        <w:gridCol w:w="195"/>
        <w:gridCol w:w="195"/>
        <w:gridCol w:w="352"/>
        <w:gridCol w:w="264"/>
        <w:gridCol w:w="487"/>
        <w:gridCol w:w="109"/>
        <w:gridCol w:w="109"/>
        <w:gridCol w:w="109"/>
        <w:gridCol w:w="352"/>
        <w:gridCol w:w="264"/>
        <w:gridCol w:w="369"/>
        <w:gridCol w:w="148"/>
        <w:gridCol w:w="148"/>
        <w:gridCol w:w="148"/>
        <w:gridCol w:w="352"/>
        <w:gridCol w:w="264"/>
        <w:gridCol w:w="369"/>
        <w:gridCol w:w="148"/>
        <w:gridCol w:w="148"/>
        <w:gridCol w:w="148"/>
        <w:gridCol w:w="166"/>
      </w:tblGrid>
      <w:tr>
        <w:trPr/>
        <w:tc>
          <w:tcPr>
            <w:tcW w:w="152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6" w:type="dxa"/>
            <w:tcBorders/>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disposition of property and equipment,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The Pennant Group, Inc. </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r>
    </w:p>
    <w:p>
      <w:pPr>
        <w:pStyle w:val="TextBody"/>
        <w:bidi w:val="0"/>
        <w:spacing w:lineRule="auto" w:line="1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consolidated GAAP Financial measures for the three and six months ended June 30, 2026 and 2025: </w:t>
      </w:r>
    </w:p>
    <w:tbl>
      <w:tblPr>
        <w:tblW w:w="9198" w:type="dxa"/>
        <w:jc w:val="center"/>
        <w:tblInd w:w="0" w:type="dxa"/>
        <w:tblLayout w:type="fixed"/>
        <w:tblCellMar>
          <w:top w:w="28" w:type="dxa"/>
          <w:left w:w="28" w:type="dxa"/>
          <w:bottom w:w="28" w:type="dxa"/>
          <w:right w:w="28" w:type="dxa"/>
        </w:tblCellMar>
      </w:tblPr>
      <w:tblGrid>
        <w:gridCol w:w="1299"/>
        <w:gridCol w:w="1141"/>
        <w:gridCol w:w="1144"/>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GAAP Financial Measures: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certain financial information regarding our reportable segments for the periods presented. General and administrative expenses are not allocated to the reportable segments.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22"/>
        <w:gridCol w:w="873"/>
        <w:gridCol w:w="878"/>
        <w:gridCol w:w="109"/>
        <w:gridCol w:w="109"/>
        <w:gridCol w:w="109"/>
        <w:gridCol w:w="430"/>
        <w:gridCol w:w="1687"/>
        <w:gridCol w:w="222"/>
        <w:gridCol w:w="109"/>
        <w:gridCol w:w="109"/>
        <w:gridCol w:w="109"/>
        <w:gridCol w:w="335"/>
        <w:gridCol w:w="1146"/>
        <w:gridCol w:w="173"/>
        <w:gridCol w:w="109"/>
        <w:gridCol w:w="109"/>
        <w:gridCol w:w="109"/>
        <w:gridCol w:w="211"/>
        <w:gridCol w:w="616"/>
        <w:gridCol w:w="109"/>
        <w:gridCol w:w="109"/>
        <w:gridCol w:w="109"/>
        <w:gridCol w:w="109"/>
        <w:gridCol w:w="211"/>
        <w:gridCol w:w="826"/>
        <w:gridCol w:w="158"/>
      </w:tblGrid>
      <w:tr>
        <w:trPr/>
        <w:tc>
          <w:tcPr>
            <w:tcW w:w="10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5"/>
        <w:gridCol w:w="866"/>
        <w:gridCol w:w="872"/>
        <w:gridCol w:w="109"/>
        <w:gridCol w:w="109"/>
        <w:gridCol w:w="109"/>
        <w:gridCol w:w="428"/>
        <w:gridCol w:w="1677"/>
        <w:gridCol w:w="221"/>
        <w:gridCol w:w="109"/>
        <w:gridCol w:w="109"/>
        <w:gridCol w:w="109"/>
        <w:gridCol w:w="310"/>
        <w:gridCol w:w="1217"/>
        <w:gridCol w:w="160"/>
        <w:gridCol w:w="109"/>
        <w:gridCol w:w="109"/>
        <w:gridCol w:w="109"/>
        <w:gridCol w:w="211"/>
        <w:gridCol w:w="616"/>
        <w:gridCol w:w="109"/>
        <w:gridCol w:w="109"/>
        <w:gridCol w:w="109"/>
        <w:gridCol w:w="109"/>
        <w:gridCol w:w="211"/>
        <w:gridCol w:w="826"/>
        <w:gridCol w:w="158"/>
      </w:tblGrid>
      <w:tr>
        <w:trPr/>
        <w:tc>
          <w:tcPr>
            <w:tcW w:w="101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GAAP Financial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388,433 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provides a reconciliation of Segment Adjusted EBITDAR from Operations to Condensed Consolidated Income from Operations:</w:t>
      </w:r>
    </w:p>
    <w:p>
      <w:pPr>
        <w:pStyle w:val="TextBody"/>
        <w:bidi w:val="0"/>
        <w:spacing w:before="0" w:after="0"/>
        <w:ind w:left="0" w:right="0" w:firstLine="720"/>
        <w:jc w:val="both"/>
        <w:rPr/>
      </w:pPr>
      <w:r>
        <w:rPr/>
      </w:r>
    </w:p>
    <w:tbl>
      <w:tblPr>
        <w:tblW w:w="10126" w:type="dxa"/>
        <w:jc w:val="left"/>
        <w:tblInd w:w="0" w:type="dxa"/>
        <w:tblLayout w:type="fixed"/>
        <w:tblCellMar>
          <w:top w:w="28" w:type="dxa"/>
          <w:left w:w="28" w:type="dxa"/>
          <w:bottom w:w="28" w:type="dxa"/>
          <w:right w:w="28" w:type="dxa"/>
        </w:tblCellMar>
      </w:tblPr>
      <w:tblGrid>
        <w:gridCol w:w="1674"/>
        <w:gridCol w:w="1469"/>
        <w:gridCol w:w="1477"/>
        <w:gridCol w:w="230"/>
        <w:gridCol w:w="785"/>
        <w:gridCol w:w="118"/>
        <w:gridCol w:w="118"/>
        <w:gridCol w:w="118"/>
        <w:gridCol w:w="118"/>
        <w:gridCol w:w="230"/>
        <w:gridCol w:w="785"/>
        <w:gridCol w:w="118"/>
        <w:gridCol w:w="109"/>
        <w:gridCol w:w="109"/>
        <w:gridCol w:w="109"/>
        <w:gridCol w:w="211"/>
        <w:gridCol w:w="826"/>
        <w:gridCol w:w="109"/>
        <w:gridCol w:w="109"/>
        <w:gridCol w:w="109"/>
        <w:gridCol w:w="109"/>
        <w:gridCol w:w="211"/>
        <w:gridCol w:w="721"/>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EBITDAR from Operations</w:t>
            </w:r>
            <w:r>
              <w:rPr>
                <w:rFonts w:ascii="Times New Roman;serif" w:hAnsi="Times New Roman;serif"/>
                <w:b w:val="false"/>
                <w:color w:val="000000"/>
                <w:sz w:val="13"/>
              </w:rPr>
              <w:t>(a)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expenses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Segment EBITDAR from Operations: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Start-up operations</w:t>
            </w:r>
            <w:r>
              <w:rPr>
                <w:rFonts w:ascii="Times New Roman;serif" w:hAnsi="Times New Roman;serif"/>
                <w:b w:val="false"/>
                <w:color w:val="000000"/>
                <w:sz w:val="13"/>
              </w:rPr>
              <w:t>(b)</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(c)</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(d)</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(e)</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(f)</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(g)</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Net income attributable to noncontrolling interest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06"/>
        <w:gridCol w:w="2741"/>
        <w:gridCol w:w="38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other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Performance and Valuation Measures:</w:t>
      </w:r>
    </w:p>
    <w:p>
      <w:pPr>
        <w:pStyle w:val="TextBody"/>
        <w:bidi w:val="0"/>
        <w:spacing w:before="0" w:after="0"/>
        <w:ind w:left="0" w:right="0" w:firstLine="720"/>
        <w:jc w:val="left"/>
        <w:rPr/>
      </w:pPr>
      <w:r>
        <w:rPr/>
      </w:r>
    </w:p>
    <w:tbl>
      <w:tblPr>
        <w:tblW w:w="9390" w:type="dxa"/>
        <w:jc w:val="left"/>
        <w:tblInd w:w="0" w:type="dxa"/>
        <w:tblLayout w:type="fixed"/>
        <w:tblCellMar>
          <w:top w:w="28" w:type="dxa"/>
          <w:left w:w="28" w:type="dxa"/>
          <w:bottom w:w="28" w:type="dxa"/>
          <w:right w:w="28" w:type="dxa"/>
        </w:tblCellMar>
      </w:tblPr>
      <w:tblGrid>
        <w:gridCol w:w="1445"/>
        <w:gridCol w:w="1270"/>
        <w:gridCol w:w="1274"/>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Non-GAAP Financial Measures: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Metric</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1342"/>
        <w:gridCol w:w="1178"/>
        <w:gridCol w:w="118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Segment Non-GAAP Measures:</w:t>
            </w:r>
            <w:r>
              <w:rPr>
                <w:rFonts w:ascii="Times New Roman;serif" w:hAnsi="Times New Roman;serif"/>
                <w:b/>
                <w:color w:val="000000"/>
                <w:sz w:val="13"/>
              </w:rPr>
              <w:t>(a)</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07"/>
        <w:gridCol w:w="2507"/>
        <w:gridCol w:w="3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General and administrative expenses are not allocated to any segment for purposes of determining segment profit or loss.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Consolidated Net Income to the consolidated Non-GAAP financial measures, Consolidated EBITDA and Consolidated Adjusted EBITDA, and to the Non-GAAP valuation measure, Consolidated Adjusted EBITDAR, for the periods presented:</w:t>
      </w:r>
    </w:p>
    <w:tbl>
      <w:tblPr>
        <w:tblW w:w="10205" w:type="dxa"/>
        <w:jc w:val="left"/>
        <w:tblInd w:w="0" w:type="dxa"/>
        <w:tblLayout w:type="fixed"/>
        <w:tblCellMar>
          <w:top w:w="28" w:type="dxa"/>
          <w:left w:w="28" w:type="dxa"/>
          <w:bottom w:w="28" w:type="dxa"/>
          <w:right w:w="28" w:type="dxa"/>
        </w:tblCellMar>
      </w:tblPr>
      <w:tblGrid>
        <w:gridCol w:w="1594"/>
        <w:gridCol w:w="1393"/>
        <w:gridCol w:w="1401"/>
        <w:gridCol w:w="237"/>
        <w:gridCol w:w="813"/>
        <w:gridCol w:w="122"/>
        <w:gridCol w:w="122"/>
        <w:gridCol w:w="122"/>
        <w:gridCol w:w="122"/>
        <w:gridCol w:w="237"/>
        <w:gridCol w:w="695"/>
        <w:gridCol w:w="122"/>
        <w:gridCol w:w="109"/>
        <w:gridCol w:w="109"/>
        <w:gridCol w:w="109"/>
        <w:gridCol w:w="211"/>
        <w:gridCol w:w="721"/>
        <w:gridCol w:w="109"/>
        <w:gridCol w:w="109"/>
        <w:gridCol w:w="109"/>
        <w:gridCol w:w="109"/>
        <w:gridCol w:w="211"/>
        <w:gridCol w:w="721"/>
        <w:gridCol w:w="109"/>
        <w:gridCol w:w="109"/>
        <w:gridCol w:w="109"/>
        <w:gridCol w:w="109"/>
        <w:gridCol w:w="162"/>
      </w:tblGrid>
      <w:tr>
        <w:trPr/>
        <w:tc>
          <w:tcPr>
            <w:tcW w:w="159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489" w:type="dxa"/>
            <w:gridSpan w:val="4"/>
            <w:tcBorders/>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income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EBITDA</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Consolidated EBITDA</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Start-up operations</w:t>
            </w:r>
            <w:r>
              <w:rPr>
                <w:rFonts w:ascii="Times New Roman;serif" w:hAnsi="Times New Roman;serif"/>
                <w:b w:val="false"/>
                <w:color w:val="000000"/>
                <w:sz w:val="13"/>
              </w:rPr>
              <w:t>(a)</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Share-based compensation expense</w:t>
            </w:r>
            <w:r>
              <w:rPr>
                <w:rFonts w:ascii="Times New Roman;serif" w:hAnsi="Times New Roman;serif"/>
                <w:b w:val="false"/>
                <w:color w:val="000000"/>
                <w:sz w:val="13"/>
              </w:rPr>
              <w:t>(b)</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related costs</w:t>
            </w:r>
            <w:r>
              <w:rPr>
                <w:rFonts w:ascii="Times New Roman;serif" w:hAnsi="Times New Roman;serif"/>
                <w:b w:val="false"/>
                <w:color w:val="000000"/>
                <w:sz w:val="13"/>
              </w:rPr>
              <w:t>(c)</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Activities associated with transitioning operations</w:t>
            </w:r>
            <w:r>
              <w:rPr>
                <w:rFonts w:ascii="Times New Roman;serif" w:hAnsi="Times New Roman;serif"/>
                <w:b w:val="false"/>
                <w:color w:val="000000"/>
                <w:sz w:val="13"/>
              </w:rPr>
              <w:t>(d)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Transition services costs</w:t>
            </w:r>
            <w:r>
              <w:rPr>
                <w:rFonts w:ascii="Times New Roman;serif" w:hAnsi="Times New Roman;serif"/>
                <w:b w:val="false"/>
                <w:color w:val="000000"/>
                <w:sz w:val="13"/>
              </w:rPr>
              <w: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unusual, non-recurring, or redundant charges</w:t>
            </w:r>
            <w:r>
              <w:rPr>
                <w:rFonts w:ascii="Times New Roman;serif" w:hAnsi="Times New Roman;serif"/>
                <w:b w:val="false"/>
                <w:color w:val="000000"/>
                <w:sz w:val="13"/>
              </w:rPr>
              <w:t>(f)</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Rent—cost of services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items (a) and (d) above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rent—cost of services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Adjusted EBITDAR</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70"/>
        <w:gridCol w:w="2718"/>
        <w:gridCol w:w="3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Represents results related to start-up operations. This amount excludes rent and depreciation and amortization expense related to such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Share-based compensation expense and related payroll taxes incurred. Share-based compensation expense and related payroll taxes are included in cost of services and general and administrative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Non-capitalizable costs associated with acquisitions.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During 2025, an affiliate of the Company held its memory care units in transition and converted the facility into an assisted living community. In 2026, this community is included in start-up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6"/>
              </w:rPr>
            </w:pPr>
            <w:r>
              <w:rPr>
                <w:rFonts w:ascii="Times New Roman;serif" w:hAnsi="Times New Roman;serif"/>
                <w:b w:val="false"/>
                <w:color w:val="000000"/>
                <w:sz w:val="16"/>
              </w:rPr>
              <w:t>Costs identified as redundant or non-recurring incurred by the Company as a result of the transition services agreement between the Company and UnitedHealth Group Incorporated (“UnitedHealth”) entered into as part of the acquisition agreement consummated on October 1, 2025. All amounts are included in Cost of services. Fees incurred under the transition services agreement were $2,491 and $5,306 for the three and six months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Represents other unusual, non-recurring, or redundant charges for legal services, implementation costs, integration costs, and consulting fees in general and administrative and cost of services expenses. </w:t>
            </w:r>
          </w:p>
        </w:tc>
      </w:tr>
    </w:tbl>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reconciles Segment Adjusted EBITDAR from Operations to Segment Adjusted EBITDA from Operations for the periods presented:</w:t>
      </w:r>
    </w:p>
    <w:p>
      <w:pPr>
        <w:pStyle w:val="TextBody"/>
        <w:bidi w:val="0"/>
        <w:spacing w:before="0" w:after="0"/>
        <w:ind w:left="0" w:right="0" w:firstLine="72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9510" w:type="dxa"/>
        <w:jc w:val="left"/>
        <w:tblInd w:w="0" w:type="dxa"/>
        <w:tblLayout w:type="fixed"/>
        <w:tblCellMar>
          <w:top w:w="28" w:type="dxa"/>
          <w:left w:w="28" w:type="dxa"/>
          <w:bottom w:w="28" w:type="dxa"/>
          <w:right w:w="28" w:type="dxa"/>
        </w:tblCellMar>
      </w:tblPr>
      <w:tblGrid>
        <w:gridCol w:w="1563"/>
        <w:gridCol w:w="1374"/>
        <w:gridCol w:w="13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Home Health and Hospice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Senior Living</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EBITDAR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Rent—cost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related to start-up and transitioning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w:t>
      </w:r>
      <w:r>
        <w:rPr>
          <w:color w:val="000000"/>
        </w:rPr>
        <w:t> </w:t>
      </w:r>
      <w:r>
        <w:rPr>
          <w:rFonts w:ascii="Times New Roman;serif" w:hAnsi="Times New Roman;serif"/>
          <w:b w:val="false"/>
          <w:color w:val="000000"/>
          <w:sz w:val="20"/>
        </w:rPr>
        <w:t>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these Non-GAAP Financial Measures are useful to investors and other external users of our financial statements regarding our results of operations because: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term of the lease to which the asset applies, the method by which assets were acquired, and differences in capital structures;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help investors evaluate and compare the results of our operations from period to period by removing the impact of our asset base and capital structure from our operating results;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Consolidated Adjusted EBITDAR is used by investors and analysts in our industry to value the companies in our industry without regard to capital structures.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as measurements of our operating performance to assist us in comparing our operating performance on a consistent basis from period to period;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allocate resources to enhance the financial performance of our business;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potential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assess the value of a transformed operation’s performance;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to evaluate the effectiveness of our operational strategies;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to compare our operating performance to that of our competitors.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typically use Non-GAAP Financial Measures to compare the operating performance of each operation from period to period. We find that Non-GAAP Financial Measures are useful for this purpose because they do not include such costs as interest expense, income taxes, and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our current or future cash requirements for capital expenditures or contractual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the net interest expense, or the cash requirements necessary to service interest or principal payments, on our debt;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 the case of Consolidated Adjusted EBITDAR, it does not reflect rent expenses, which are normal and recurring operating expenses that are necessary to operate our leased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they do not reflect any income tax payments we may be required to make;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these non-cash charges do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companies in our industry may calculate the same Non-GAAP Financial Measures differently than we do, which may limit their usefulness as comparative measures.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compensate for these limitations by using Non-GAAP Financial Measures only to supplement net income on a basis prepared in accordance with GAAP in order to provide a more complete understanding of the factors and trends affecting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Consolidated net income to the Non-GAAP Financial Measures in the table presented above, along with the Interim Financial Statements and related notes included elsewhere in this Quarterly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following Non-GAAP Financial Measures are useful to investors as key operating performance measures and valuation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Performance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EBITDA as net income, adjusted for net income attributable to noncontrolling interest, before (a) interest expense (b) provision for income taxes and (c) depreciation and amortization.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Consolidated Adjusted EBITDA by adjusting Consolidated EBITDA to exclude the effects of non-core business items, which for the reported periods include, to the extent applicable: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at start-up operations;</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share-based compensation expense;</w:t>
      </w:r>
    </w:p>
    <w:p>
      <w:pPr>
        <w:pStyle w:val="TextBody"/>
        <w:bidi w:val="0"/>
        <w:spacing w:lineRule="auto" w:line="288" w:before="0" w:after="120"/>
        <w:jc w:val="left"/>
        <w:rPr/>
      </w:pPr>
      <w:r>
        <w:rPr>
          <w:color w:val="000000"/>
        </w:rPr>
        <w:t>•</w:t>
      </w:r>
      <w:r>
        <w:rPr>
          <w:rFonts w:ascii="Times New Roman;serif" w:hAnsi="Times New Roman;serif"/>
          <w:b w:val="false"/>
          <w:color w:val="000000"/>
          <w:sz w:val="20"/>
        </w:rPr>
        <w:t>acquisition related costs;</w:t>
      </w:r>
      <w:r>
        <w:rPr>
          <w:color w:val="000000"/>
          <w:shd w:fill="FFFFFF" w:val="clear"/>
        </w:rPr>
        <w:t xml:space="preserve"> </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rPr>
        <w:t xml:space="preserve">activities associated with transitioning operations; </w:t>
      </w:r>
      <w:r>
        <w:rPr>
          <w:rFonts w:ascii="Times New Roman;serif" w:hAnsi="Times New Roman;serif"/>
          <w:b w:val="false"/>
          <w:color w:val="000000"/>
          <w:sz w:val="20"/>
          <w:shd w:fill="FFFFFF" w:val="clear"/>
        </w:rPr>
        <w:t>and</w:t>
      </w:r>
    </w:p>
    <w:p>
      <w:pPr>
        <w:pStyle w:val="TextBody"/>
        <w:bidi w:val="0"/>
        <w:spacing w:lineRule="auto" w:line="288" w:before="0" w:after="120"/>
        <w:ind w:left="0" w:right="0" w:hanging="360"/>
        <w:jc w:val="left"/>
        <w:rPr/>
      </w:pPr>
      <w:r>
        <w:rPr>
          <w:color w:val="000000"/>
          <w:shd w:fill="FFFFFF" w:val="clear"/>
        </w:rPr>
        <w:t>•</w:t>
      </w:r>
      <w:r>
        <w:rPr>
          <w:rFonts w:ascii="Times New Roman;serif" w:hAnsi="Times New Roman;serif"/>
          <w:b w:val="false"/>
          <w:color w:val="000000"/>
          <w:sz w:val="20"/>
          <w:shd w:fill="FFFFFF" w:val="clear"/>
        </w:rPr>
        <w:t>other unusual, non-recurring, or redundant charges.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 from Operations</w:t>
      </w:r>
    </w:p>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Valuation Measure</w:t>
      </w:r>
      <w:r>
        <w:rPr>
          <w:rFonts w:ascii="Times New Roman;serif" w:hAnsi="Times New Roman;serif"/>
          <w:b/>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Consolidated Adjusted EBITDAR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Consolidated Adjusted EBITDAR as one measure in determining the value of prospective acquisitions. It is also a measure commonly used by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and finance leases. A significant portion of finance lease expenditures are recorded in interest, whereas operating lease expenditures are recorded in rent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adjustments made and previously described in the computation of Consolidated Adjusted EBITDA are also made when computing Consolidated Adjusted EBITDAR. We calculate Consolidated Adjusted EBITDAR by excluding rent-cost of services and rent related to start-up operations from Consolidated Adjusted EBITDA.</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the Three Months Ended June 30, 2025 </w:t>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237,770 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297,984 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219,501 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$78.5 million, or 35.8%, during the three months ended June 30, 2026. We experienced growth of $71.8 million from increased operational performance in our Home Health and Hospice segment from increased admissions and census, primarily driven by newly acquired agencies when compared to the three months ended June 30, 2025. The growth in our Senior Living segment resulted in an increase in revenue of $6.7 million driven by acquired senior living communities and an improved average rate per occupied room and improved occupancy.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729"/>
        <w:gridCol w:w="1511"/>
        <w:gridCol w:w="1520"/>
        <w:gridCol w:w="211"/>
        <w:gridCol w:w="827"/>
        <w:gridCol w:w="109"/>
        <w:gridCol w:w="109"/>
        <w:gridCol w:w="109"/>
        <w:gridCol w:w="109"/>
        <w:gridCol w:w="211"/>
        <w:gridCol w:w="827"/>
        <w:gridCol w:w="109"/>
        <w:gridCol w:w="109"/>
        <w:gridCol w:w="109"/>
        <w:gridCol w:w="109"/>
        <w:gridCol w:w="211"/>
        <w:gridCol w:w="721"/>
        <w:gridCol w:w="109"/>
        <w:gridCol w:w="109"/>
        <w:gridCol w:w="109"/>
        <w:gridCol w:w="109"/>
        <w:gridCol w:w="255"/>
        <w:gridCol w:w="256"/>
        <w:gridCol w:w="618"/>
      </w:tblGrid>
      <w:tr>
        <w:trPr/>
        <w:tc>
          <w:tcPr>
            <w:tcW w:w="172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Medicare revenue per 60-day completed episode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hospice census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Home health and hospice revenue increased $71.8 million, or 43.2%, for the three months ended June 30, 2026 compared to the prior year quarter. Revenue grew due to an increase in certain key performance indicators, including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of 62.3% in total home health admissions, an increase in total hospice admissions of 38.4%, and an increase in average daily hospice census of 40.1% during the three months ended June 30, 2026 compared to the prior year quarter. Growth was also driven by the addition of thirty-eight home health and hospice operations between June 30, 2025 and June 30, 2026. Agencies acquired during calendar year 2025 and year-to-date June 30, 2026 drove an increase in revenue of $55.8 million, representing an increase of 33.6% compared to the prior year quarter.</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Living Services</w:t>
      </w:r>
    </w:p>
    <w:tbl>
      <w:tblPr>
        <w:tblW w:w="9299" w:type="dxa"/>
        <w:jc w:val="left"/>
        <w:tblInd w:w="0" w:type="dxa"/>
        <w:tblLayout w:type="fixed"/>
        <w:tblCellMar>
          <w:top w:w="28" w:type="dxa"/>
          <w:left w:w="28" w:type="dxa"/>
          <w:bottom w:w="28" w:type="dxa"/>
          <w:right w:w="28" w:type="dxa"/>
        </w:tblCellMar>
      </w:tblPr>
      <w:tblGrid>
        <w:gridCol w:w="1334"/>
        <w:gridCol w:w="1174"/>
        <w:gridCol w:w="1181"/>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Senior living revenue increased $6.7 million, or 12.6%, for the three months ended June 30, 2026 compared to the prior year quarter. Revenue grew due to an increase of 3.9% in average monthly revenue per occupied unit and an increase of 10 basis points in occupancy between June 30, 2025</w:t>
      </w:r>
      <w:r>
        <w:rPr>
          <w:color w:val="000000"/>
          <w:shd w:fill="FFFFFF" w:val="clear"/>
        </w:rPr>
        <w:t xml:space="preserve"> </w:t>
      </w:r>
      <w:r>
        <w:rPr>
          <w:rFonts w:ascii="Times New Roman;serif" w:hAnsi="Times New Roman;serif"/>
          <w:b w:val="false"/>
          <w:color w:val="000000"/>
          <w:sz w:val="20"/>
          <w:shd w:fill="FFFFFF" w:val="clear"/>
        </w:rPr>
        <w:t xml:space="preserve">and June 30, 2026. </w:t>
      </w:r>
      <w:r>
        <w:rPr>
          <w:rFonts w:ascii="Times New Roman;serif" w:hAnsi="Times New Roman;serif"/>
          <w:b w:val="false"/>
          <w:color w:val="000000"/>
          <w:sz w:val="20"/>
        </w:rPr>
        <w:t xml:space="preserve">Growth was also driven by the addition of eight senior living communities between June 30, 2025 and June 30, 2026. Communities acquired during calendar year 2025 and year-to-date June 30, 2026 drove an increase in revenue of $3.2 million, representing an increase of 6.0% compared to the prior year quarter.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total cost of services by each of our reportable segments for the periods indicated: </w:t>
      </w:r>
    </w:p>
    <w:p>
      <w:pPr>
        <w:pStyle w:val="TextBody"/>
        <w:bidi w:val="0"/>
        <w:spacing w:before="0" w:after="0"/>
        <w:ind w:left="0" w:right="0" w:firstLine="720"/>
        <w:jc w:val="left"/>
        <w:rPr/>
      </w:pPr>
      <w:r>
        <w:rPr/>
      </w:r>
    </w:p>
    <w:tbl>
      <w:tblPr>
        <w:tblW w:w="7678" w:type="dxa"/>
        <w:jc w:val="left"/>
        <w:tblInd w:w="0" w:type="dxa"/>
        <w:tblLayout w:type="fixed"/>
        <w:tblCellMar>
          <w:top w:w="28" w:type="dxa"/>
          <w:left w:w="28" w:type="dxa"/>
          <w:bottom w:w="28" w:type="dxa"/>
          <w:right w:w="28" w:type="dxa"/>
        </w:tblCellMar>
      </w:tblPr>
      <w:tblGrid>
        <w:gridCol w:w="810"/>
        <w:gridCol w:w="710"/>
        <w:gridCol w:w="715"/>
        <w:gridCol w:w="211"/>
        <w:gridCol w:w="828"/>
        <w:gridCol w:w="109"/>
        <w:gridCol w:w="109"/>
        <w:gridCol w:w="109"/>
        <w:gridCol w:w="109"/>
        <w:gridCol w:w="211"/>
        <w:gridCol w:w="828"/>
        <w:gridCol w:w="109"/>
        <w:gridCol w:w="109"/>
        <w:gridCol w:w="109"/>
        <w:gridCol w:w="109"/>
        <w:gridCol w:w="211"/>
        <w:gridCol w:w="721"/>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consolidated cost of services increased $65.4 million, or 36.9%, for the three months ended June 30, 2026 when compared to the three months ended June 30, 2025. Cost of services as a percentage of revenue increased by 60 basis points from 80.8% to 81.4% for the three months ended June 30, 2026 when compared to the three months ended June 30, 2025.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p>
      <w:pPr>
        <w:pStyle w:val="TextBody"/>
        <w:bidi w:val="0"/>
        <w:spacing w:before="0" w:after="0"/>
        <w:jc w:val="both"/>
        <w:rPr/>
      </w:pPr>
      <w:r>
        <w:rPr/>
      </w:r>
    </w:p>
    <w:tbl>
      <w:tblPr>
        <w:tblW w:w="9495" w:type="dxa"/>
        <w:jc w:val="left"/>
        <w:tblInd w:w="0" w:type="dxa"/>
        <w:tblLayout w:type="fixed"/>
        <w:tblCellMar>
          <w:top w:w="28" w:type="dxa"/>
          <w:left w:w="28" w:type="dxa"/>
          <w:bottom w:w="28" w:type="dxa"/>
          <w:right w:w="28" w:type="dxa"/>
        </w:tblCellMar>
      </w:tblPr>
      <w:tblGrid>
        <w:gridCol w:w="1292"/>
        <w:gridCol w:w="1138"/>
        <w:gridCol w:w="1140"/>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$59.5 million, or 43.1%, for the three months ended June 30, 2026 when compared to the three months ended June 30, 2025, primarily due to increased volume of services provided and transition costs related to acquisitions. Cost of services as a percentage of revenue for the three months ended June 30, 2026 decreased 10 basis points when compared to the three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p>
      <w:pPr>
        <w:pStyle w:val="TextBody"/>
        <w:bidi w:val="0"/>
        <w:spacing w:before="0" w:after="0"/>
        <w:jc w:val="both"/>
        <w:rPr/>
      </w:pPr>
      <w:r>
        <w:rPr/>
      </w:r>
    </w:p>
    <w:tbl>
      <w:tblPr>
        <w:tblW w:w="9180" w:type="dxa"/>
        <w:jc w:val="left"/>
        <w:tblInd w:w="0" w:type="dxa"/>
        <w:tblLayout w:type="fixed"/>
        <w:tblCellMar>
          <w:top w:w="28" w:type="dxa"/>
          <w:left w:w="28" w:type="dxa"/>
          <w:bottom w:w="28" w:type="dxa"/>
          <w:right w:w="28" w:type="dxa"/>
        </w:tblCellMar>
      </w:tblPr>
      <w:tblGrid>
        <w:gridCol w:w="1292"/>
        <w:gridCol w:w="1138"/>
        <w:gridCol w:w="1140"/>
        <w:gridCol w:w="211"/>
        <w:gridCol w:w="721"/>
        <w:gridCol w:w="271"/>
        <w:gridCol w:w="109"/>
        <w:gridCol w:w="109"/>
        <w:gridCol w:w="109"/>
        <w:gridCol w:w="211"/>
        <w:gridCol w:w="721"/>
        <w:gridCol w:w="271"/>
        <w:gridCol w:w="109"/>
        <w:gridCol w:w="109"/>
        <w:gridCol w:w="109"/>
        <w:gridCol w:w="211"/>
        <w:gridCol w:w="616"/>
        <w:gridCol w:w="271"/>
        <w:gridCol w:w="109"/>
        <w:gridCol w:w="109"/>
        <w:gridCol w:w="109"/>
        <w:gridCol w:w="255"/>
        <w:gridCol w:w="256"/>
        <w:gridCol w:w="614"/>
      </w:tblGrid>
      <w:tr>
        <w:trPr/>
        <w:tc>
          <w:tcPr>
            <w:tcW w:w="129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services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$5.8 million, or 14.9%, for the three months ended June 30, 2026 when compared to the three months ended June 30, 2025, primarily due to increased wages and benefits and acquisition activity. As a percentage of revenue, costs of service increased by 150 basis points for the three months ended June 30, 2026 when compared to the three months ended June 30, 2025, primarily due to higher cost patterns at newly acquired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expense increased 12.6% from $11.9 million to $13.4 million in the three months ended June 30, 2026 when compared to the three months ended June 30, 2025, primarily as a result of the new leases related to the acquired home health and hospice operations and senior living communities. Rent as a percentage of total revenue decreased 90 basis points from 5.4% for the three months ended June 30, 2025, compared to 4.5% for the three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Our general and administrative expense increased $4.0 million, or 22.8%, from $17.6 million to $21.6 million for the three months ended June 30, 2026 when compared to the three months ended June 30, 2025. General and administrative expense as a percentage of revenue decreased 70 basis points from 8.0% to 7.3% during the period. The primary driver of the increase in general and administrative expense was due to an increase in payroll, incentives, and related benefits for the three months ended June 30, 2026 when compared to the three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 xml:space="preserve">Depreciation and amortization expense increased $0.9 million, or 39.9%, from $2.2 million to $3.1 million for the three months ended June 30, 2026 when compared to the three months ended June 30, 2025. The increase in depreciation and amortization was due to the increase in overall property and equipment, net balances driven in part by acquisition activity.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gain of $1.0 million for insurance proceeds received in excess of the carrying values of related assets during the three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$3.9 million and $2.6 million, or 26.5% and 24.6% of earnings before income taxes, for the three months ended June 30, 2026 and 2025, respectively. The increase in the effective tax rate is primarily attributable to higher state income taxes driven by changes in the geographic mix of earnings, net of the associated federal tax benefit.</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Revenue</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3"/>
        <w:gridCol w:w="916"/>
        <w:gridCol w:w="920"/>
        <w:gridCol w:w="264"/>
        <w:gridCol w:w="1037"/>
        <w:gridCol w:w="136"/>
        <w:gridCol w:w="109"/>
        <w:gridCol w:w="109"/>
        <w:gridCol w:w="109"/>
        <w:gridCol w:w="400"/>
        <w:gridCol w:w="374"/>
        <w:gridCol w:w="934"/>
        <w:gridCol w:w="109"/>
        <w:gridCol w:w="109"/>
        <w:gridCol w:w="109"/>
        <w:gridCol w:w="264"/>
        <w:gridCol w:w="1037"/>
        <w:gridCol w:w="136"/>
        <w:gridCol w:w="109"/>
        <w:gridCol w:w="109"/>
        <w:gridCol w:w="109"/>
        <w:gridCol w:w="378"/>
        <w:gridCol w:w="354"/>
        <w:gridCol w:w="1031"/>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 Percentage</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services</w:t>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9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 care and other</w:t>
            </w:r>
            <w:r>
              <w:rPr>
                <w:rFonts w:ascii="Times New Roman;serif" w:hAnsi="Times New Roman;serif"/>
                <w:b w:val="false"/>
                <w:color w:val="000000"/>
                <w:sz w:val="13"/>
              </w:rPr>
              <w:t>(a)</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services</w:t>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 services</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583,348 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9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429,343 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6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9"/>
        <w:gridCol w:w="2329"/>
        <w:gridCol w:w="3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3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care and other revenue is included with home health revenue in other disclosures in this Quarterly Report.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total revenue increased $154.0 million, or 35.9%, during the six months ended June 30, 2026. We experienced growth of $141.0 million from increased operational performance in our Home Health and Hospice segment from increased admissions and census, in part driven by newly acquired agencies when compared to the six months ended June 30, 2025. The growth in our Senior Living segment resulted in an increase in revenue of $13.0 million driven by acquired senior living communities and an improved average rate per occupied room.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10205" w:type="dxa"/>
        <w:jc w:val="left"/>
        <w:tblInd w:w="0" w:type="dxa"/>
        <w:tblLayout w:type="fixed"/>
        <w:tblCellMar>
          <w:top w:w="28" w:type="dxa"/>
          <w:left w:w="28" w:type="dxa"/>
          <w:bottom w:w="28" w:type="dxa"/>
          <w:right w:w="28" w:type="dxa"/>
        </w:tblCellMar>
      </w:tblPr>
      <w:tblGrid>
        <w:gridCol w:w="1698"/>
        <w:gridCol w:w="1477"/>
        <w:gridCol w:w="14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15"/>
      </w:tblGrid>
      <w:tr>
        <w:trPr/>
        <w:tc>
          <w:tcPr>
            <w:tcW w:w="169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care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and hospice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services: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 health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Medicare home health admissions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Medicare revenue per 60-day completed episode</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hospice admissions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census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Hospice Medicare revenue per day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home health and hospice agencies at period end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year-to-date average for Medicare revenue per 60-day completed episode includes post period claim adjustments for prior periods.</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Home health and hospice revenue increased $141.0 million, or 43.3%, during the six months ended June 30, 2026 compared to the same period in the prior year primarily due to an increase of 62.5% in home health admissions, inclusive of an increase in total Medicare home health admissions of 73.0%, an increase in hospice average daily census of 38.6%, and an increase of 32.5% in hospice admissions. Growth was also driven by the addition of thirty-eight home health and hospice operations between June 30, 2025 and June 30, 2026. Agencies acquired during calendar year 2025 and year-to-date June 30, 2026 drove an increase in revenue of $109.1 million, representing an increase of 33.5% compared to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Living Services</w:t>
      </w:r>
    </w:p>
    <w:p>
      <w:pPr>
        <w:pStyle w:val="TextBody"/>
        <w:bidi w:val="0"/>
        <w:spacing w:before="0" w:after="0"/>
        <w:jc w:val="left"/>
        <w:rPr/>
      </w:pPr>
      <w:r>
        <w:rPr/>
      </w:r>
    </w:p>
    <w:tbl>
      <w:tblPr>
        <w:tblW w:w="9614" w:type="dxa"/>
        <w:jc w:val="left"/>
        <w:tblInd w:w="0" w:type="dxa"/>
        <w:tblLayout w:type="fixed"/>
        <w:tblCellMar>
          <w:top w:w="28" w:type="dxa"/>
          <w:left w:w="28" w:type="dxa"/>
          <w:bottom w:w="28" w:type="dxa"/>
          <w:right w:w="28" w:type="dxa"/>
        </w:tblCellMar>
      </w:tblPr>
      <w:tblGrid>
        <w:gridCol w:w="1334"/>
        <w:gridCol w:w="1174"/>
        <w:gridCol w:w="1181"/>
        <w:gridCol w:w="211"/>
        <w:gridCol w:w="826"/>
        <w:gridCol w:w="271"/>
        <w:gridCol w:w="109"/>
        <w:gridCol w:w="109"/>
        <w:gridCol w:w="109"/>
        <w:gridCol w:w="211"/>
        <w:gridCol w:w="826"/>
        <w:gridCol w:w="271"/>
        <w:gridCol w:w="109"/>
        <w:gridCol w:w="109"/>
        <w:gridCol w:w="109"/>
        <w:gridCol w:w="211"/>
        <w:gridCol w:w="721"/>
        <w:gridCol w:w="271"/>
        <w:gridCol w:w="109"/>
        <w:gridCol w:w="109"/>
        <w:gridCol w:w="109"/>
        <w:gridCol w:w="255"/>
        <w:gridCol w:w="256"/>
        <w:gridCol w:w="614"/>
      </w:tblGrid>
      <w:tr>
        <w:trPr/>
        <w:tc>
          <w:tcPr>
            <w:tcW w:w="133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communities at period end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monthly revenue per occupied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Senior living revenue increased $13.0 million, or 12.6%, for the six months ended June 30, 2026 compared to the same period in the prior year primarily due to an increase of 4.4% in average monthly revenue per occupied unit between June 30, 2025 and June 30, 2026. Growth was also driven by the addition of eight senior living communities between June 30, 2025 and June 30, 2026. Communities acquired during calendar year 2025 and year-to-date June 30, 2026 drove an increase in revenue of $6.0 million, representing an increase of 5.8% compared to the same period in the prior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Cost of Services</w:t>
      </w:r>
      <w:r>
        <w:rPr>
          <w:color w:val="000000"/>
        </w:rPr>
        <w:t xml:space="preserve"> </w:t>
      </w:r>
    </w:p>
    <w:tbl>
      <w:tblPr>
        <w:tblW w:w="7779" w:type="dxa"/>
        <w:jc w:val="left"/>
        <w:tblInd w:w="0" w:type="dxa"/>
        <w:tblLayout w:type="fixed"/>
        <w:tblCellMar>
          <w:top w:w="28" w:type="dxa"/>
          <w:left w:w="28" w:type="dxa"/>
          <w:bottom w:w="28" w:type="dxa"/>
          <w:right w:w="28" w:type="dxa"/>
        </w:tblCellMar>
      </w:tblPr>
      <w:tblGrid>
        <w:gridCol w:w="810"/>
        <w:gridCol w:w="710"/>
        <w:gridCol w:w="7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614"/>
      </w:tblGrid>
      <w:tr>
        <w:trPr/>
        <w:tc>
          <w:tcPr>
            <w:tcW w:w="8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Health and Hospice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Living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services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Consolidated cost of services increased $129.3 million, or 37.4%, during the six months ended June 30, 2026 compared to the same period in the prior year. Cost of services as a percentage of revenue for the six months ended June 30, 2026 increased by 90 basis points to 81.5% from 80.6% compared to the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Health and Hospice Services</w:t>
      </w:r>
    </w:p>
    <w:tbl>
      <w:tblPr>
        <w:tblW w:w="9599" w:type="dxa"/>
        <w:jc w:val="left"/>
        <w:tblInd w:w="0" w:type="dxa"/>
        <w:tblLayout w:type="fixed"/>
        <w:tblCellMar>
          <w:top w:w="28" w:type="dxa"/>
          <w:left w:w="28" w:type="dxa"/>
          <w:bottom w:w="28" w:type="dxa"/>
          <w:right w:w="28" w:type="dxa"/>
        </w:tblCellMar>
      </w:tblPr>
      <w:tblGrid>
        <w:gridCol w:w="1290"/>
        <w:gridCol w:w="1136"/>
        <w:gridCol w:w="1143"/>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118,802 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related to our Home Health and Hospice services segment increased $118.8 million, or 43.8%, compared to the same period in the prior year primarily due to the increased volume of services from the growth in admissions and average daily census. Cost of services as a percentage of revenue for the six months ended June 30, 2026 increased by 30 basis points compared to the six months ended June 30, 2025.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Senior Living Services </w:t>
      </w:r>
    </w:p>
    <w:tbl>
      <w:tblPr>
        <w:tblW w:w="9284" w:type="dxa"/>
        <w:jc w:val="left"/>
        <w:tblInd w:w="0" w:type="dxa"/>
        <w:tblLayout w:type="fixed"/>
        <w:tblCellMar>
          <w:top w:w="28" w:type="dxa"/>
          <w:left w:w="28" w:type="dxa"/>
          <w:bottom w:w="28" w:type="dxa"/>
          <w:right w:w="28" w:type="dxa"/>
        </w:tblCellMar>
      </w:tblPr>
      <w:tblGrid>
        <w:gridCol w:w="1290"/>
        <w:gridCol w:w="1136"/>
        <w:gridCol w:w="1143"/>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55"/>
        <w:gridCol w:w="256"/>
        <w:gridCol w:w="614"/>
      </w:tblGrid>
      <w:tr>
        <w:trPr/>
        <w:tc>
          <w:tcPr>
            <w:tcW w:w="1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(in thousands)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related to our Senior Living services segment increased $10.5 million, or 14.0%, during the six months ended June 30, 2026 compared to the same period in the prior year primarily due to increased wages and benefits and acquisition activity. As a percentage of revenue, costs of service increased by 80 basis points during the six months ended June 30, 2026 when compared to the six months ended June 30, 2025 primarily due to higher cost patterns at newly acquired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Rent—Cost of Services</w:t>
      </w:r>
      <w:r>
        <w:rPr>
          <w:rFonts w:ascii="Times New Roman;serif" w:hAnsi="Times New Roman;serif"/>
          <w:b w:val="false"/>
          <w:color w:val="000000"/>
          <w:sz w:val="20"/>
        </w:rPr>
        <w:t>. Rent increased 12.2% from $23.6 million to $26.5 million during the six months ended June 30, 2026 compared to the same period in the prior year, primarily as a result of the new leases related to the acquired home health and hospice operations and senior living communities. As a percentage of revenue, rent</w:t>
      </w:r>
      <w:r>
        <w:rPr>
          <w:color w:val="000000"/>
        </w:rPr>
        <w:t>—</w:t>
      </w:r>
      <w:r>
        <w:rPr>
          <w:rFonts w:ascii="Times New Roman;serif" w:hAnsi="Times New Roman;serif"/>
          <w:b w:val="false"/>
          <w:color w:val="000000"/>
          <w:sz w:val="20"/>
        </w:rPr>
        <w:t>cost of services decreased 100 basis points when compared to the six months ended June 30,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General and Administrative Expense. </w:t>
      </w:r>
      <w:r>
        <w:rPr>
          <w:rFonts w:ascii="Times New Roman;serif" w:hAnsi="Times New Roman;serif"/>
          <w:b w:val="false"/>
          <w:color w:val="000000"/>
          <w:sz w:val="20"/>
        </w:rPr>
        <w:t xml:space="preserve">Our general and administrative expense increased $8.9 million, or 27.3%, from $32.4 million to $41.3 million for the six months ended June 30, 2026 when compared to the six months ended June 30, 2025. General and administrative expense as a percentage of revenue decreased 50 basis points from 7.6% to 7.1% during the period. The increase in general and administrative expense was due to an increase in payroll, incentive, and related benefits, along with increased professional services for the six months ended June 30, 2026 when compared to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increased $1.6 million, or 39.2%, from $4.1 million to $5.7 million for the six months ended June 30, 2026 when compared to the six months ended June 30, 2025. The increase in depreciation and amortization was due to the increase in overall property and equipment, net balances driven in part by acquisition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Gain on disposition of property and equipment, net. </w:t>
      </w:r>
      <w:r>
        <w:rPr>
          <w:rFonts w:ascii="Times New Roman;serif" w:hAnsi="Times New Roman;serif"/>
          <w:b w:val="false"/>
          <w:color w:val="000000"/>
          <w:sz w:val="20"/>
        </w:rPr>
        <w:t xml:space="preserve">We recorded a gain of $1.0 million for insurance proceeds received in excess of the carrying values of related assets during the six months ended June 30, 2025.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Provision for Income Taxes</w:t>
      </w:r>
      <w:r>
        <w:rPr>
          <w:rFonts w:ascii="Times New Roman;serif" w:hAnsi="Times New Roman;serif"/>
          <w:b w:val="false"/>
          <w:color w:val="000000"/>
          <w:sz w:val="20"/>
        </w:rPr>
        <w:t>. We recorded income tax expense of $7.7 million and $5.5 million, or 26.7% and 24.8% of earnings before income taxes, for the six months ended June 30, 2026 and 2025, respectively. The increase in the effective tax rate is primarily attributable to higher state income taxes driven by changes in the geographic mix of earnings, net of the associated federal tax benefit.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net cash provided by operating activities and borrowings under our Amended Revolving Credit Facility.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Revolving Credit Facility</w:t>
      </w:r>
      <w:r>
        <w:rPr>
          <w:color w:val="000000"/>
        </w:rPr>
        <w: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2025, Pennant entered into the First Amendment to Amended and Restated Credit Agreement (the “First Amendment”), which provides for an incremental term loan with an aggregate principal amount of $100.0 million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The Company used the proceeds of the Incremental Term Loans to refinance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portion of the outstanding revolving loans under the Amended Revolving Credit Facility and to pay fees and expenses incurred in connection with the First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June 30, 2026, the Company was compliant with all such financial covenants.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252525"/>
          <w:sz w:val="20"/>
        </w:rPr>
        <w:t>As of</w:t>
      </w:r>
      <w:r>
        <w:rPr>
          <w:color w:val="000000"/>
        </w:rPr>
        <w:t xml:space="preserve"> </w:t>
      </w:r>
      <w:r>
        <w:rPr>
          <w:rFonts w:ascii="Times New Roman;serif" w:hAnsi="Times New Roman;serif"/>
          <w:b w:val="false"/>
          <w:color w:val="000000"/>
          <w:sz w:val="20"/>
        </w:rPr>
        <w:t xml:space="preserve">June 30, 2026, we had $15.3 million of cash and $145.6 million of available borrowing capacity on our Amended Revolving Credit Facility.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cash generated through operations, and access to available borrowing capacity under our Amended Credit Agreement, will be sufficient to provide adequate liquidity for the next twelve months for both our operating activities and for opportunities of acquisition growth.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selected data from our Condensed Consolidated Statement of Cash Flows for the periods presented: </w:t>
      </w:r>
    </w:p>
    <w:tbl>
      <w:tblPr>
        <w:tblW w:w="6355" w:type="dxa"/>
        <w:jc w:val="left"/>
        <w:tblInd w:w="0" w:type="dxa"/>
        <w:tblLayout w:type="fixed"/>
        <w:tblCellMar>
          <w:top w:w="28" w:type="dxa"/>
          <w:left w:w="28" w:type="dxa"/>
          <w:bottom w:w="28" w:type="dxa"/>
          <w:right w:w="28" w:type="dxa"/>
        </w:tblCellMar>
      </w:tblPr>
      <w:tblGrid>
        <w:gridCol w:w="1254"/>
        <w:gridCol w:w="1104"/>
        <w:gridCol w:w="1107"/>
        <w:gridCol w:w="211"/>
        <w:gridCol w:w="721"/>
        <w:gridCol w:w="109"/>
        <w:gridCol w:w="109"/>
        <w:gridCol w:w="109"/>
        <w:gridCol w:w="109"/>
        <w:gridCol w:w="211"/>
        <w:gridCol w:w="721"/>
        <w:gridCol w:w="109"/>
        <w:gridCol w:w="109"/>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 cash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the Six Months Ended June 30,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for the six months ended June 30, 2026 increased by $5.0 million when compared to the six months ended June 30, 2025. The primary driver of this difference was an increase in net income of $4.7 million, an increase of $6.0 million in non-cash adjustments, and a decrease in cash flows from the change in operating assets and liabilities of $5.7 million, net.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for the six months ended June 30, 2026 decreased by $15.1 million compared to the six months ended June 30, 2025, primarily driven by a decrease in business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net cash provided by financing activities decreased by approximately $12.0 million for the six months ended June 30, 2026 compared to the six months ended June 30, 2025. The decrease was primarily due to a decrease in the net amount drawn on our line of credit used primarily to fund acquisition activity during the six months ended June 30, 2026 compared to the six months ended June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Commitments and Contingencies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continue to make draws and payments on our Amended Revolving Credit Facility, as described in Note 13, </w:t>
      </w:r>
      <w:r>
        <w:rPr>
          <w:rFonts w:ascii="Times New Roman;serif" w:hAnsi="Times New Roman;serif"/>
          <w:b w:val="false"/>
          <w:i/>
          <w:color w:val="000000"/>
          <w:sz w:val="20"/>
        </w:rPr>
        <w:t>Debt</w:t>
      </w:r>
      <w:r>
        <w:rPr>
          <w:rFonts w:ascii="Times New Roman;serif" w:hAnsi="Times New Roman;serif"/>
          <w:b w:val="false"/>
          <w:color w:val="000000"/>
          <w:sz w:val="20"/>
        </w:rPr>
        <w:t xml:space="preserve">, to the Interim Financial Statements in Part I of this Quarterly Report. Additionally, we have right-of-use assets obtained in exchange for new operating lease obligations, as described in the supplemental disclosures of cash flow information in the Condensed Consolidated Statement of Cash Flows and in Note 12,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to the Interim Financial Statements in Part I of this Quarterly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those transactions, there have been no other material changes to our total obligations during the period covered by this Quarterly Report outside of the normal course of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Interest Rate Risk</w:t>
      </w:r>
      <w:r>
        <w:rPr>
          <w:rFonts w:ascii="Times New Roman;serif" w:hAnsi="Times New Roman;serif"/>
          <w:b w:val="false"/>
          <w:color w:val="000000"/>
          <w:sz w:val="20"/>
        </w:rPr>
        <w:t xml:space="preserve">. We are exposed to risks associated with market changes in interest rates. On July 31, 2024, Pennant entered into the Amended Credit Agreement, which provides for a revolving credit facility with a syndicate of banks with a borrowing capacity of $250.0 million. On November 3, 2025, Pennant entered into the First Amendment, which provides for an incremental term loan with an aggregate principal amount of $100.0 million. A 1.0% interest rate change would cause interest expense to change by approximately $2.0 million annually based upon our outstanding long-term debt as of June 30, 2026. We manage our exposure to this market risk by monitoring available financing alternatives.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17,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Interim Financial Statements for a description of claims and legal actions arising in the ordinary course of our business.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have disclosed under the heading “Risk Factors” in the 2025 Annual Report risk factors that materially affect our business, financial condition or results of operations, and disclosed more recent events relevant to our business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You should carefully consider the risk factors set forth in the 2025 Annual Report and the other information set forth under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filing of our 2025 Annual Report on February 26, 2026, the following addition has been made to the risk factors previously disclosed.</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i/>
          <w:color w:val="000000"/>
          <w:sz w:val="20"/>
        </w:rPr>
        <w:t>The Increasing Use of Artificial Intelligence Creates or Increases Regulatory and Business Risks That May Have a Material Impact on Our Results.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increasingly incorporating artificial intelligence ("AI") and machine learning technologies into certain aspects of our operations. AI is also embedded in or utilized by third-party systems and vendor products on which we rely, in ways that may or may not be apparent. The inherent complexity of AI models may make it difficult to understand how decisions are made, and certain methodologies may lack transparency or explainability.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AI models may produce inaccurate, incomplete, or biased outputs due to limitations in data quality, biased training data, flawed algorithms, or changing data patterns. If AI-supported processes result in errors affecting clinical decision-making, patient care, administrative operations, or other aspects of our business, we could experience adverse patient outcomes, legal claims, regulatory enforcement, and reputational harm. There is also a risk that our confidential information or protected health information could become part of an AI model accessible to third-party applications or users as a result of a cybersecurity incident or a vendor's violation of its contractual obligations, which could create new privacy obligations under state and federal laws governing the privacy of patient health information, including the creation of new business associate obligations under HIPAA, and heighten the risk of data breaches or unauthorized use of protected health information.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legal and regulatory landscape governing AI in healthcare is rapidly evolving at the federal, state, and international levels. Changes in the laws or regulations, or uncertainty regarding their interpretation and enforcement, may increase our compliance costs, require modifications to our operations or technologies, restrict our use of AI, or render our current practices non-compliant. If we or our third-party providers fail to comply with applicable AI laws and regulations, we could face legal proceedings, investigations, penalties, and reputational harm.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compete effectively may depend in part on our ability to develop, adopt, and deploy AI technologies in a timely and cost-effective manner. If we are unable to do so, or if our competitors or new market entrants deploy AI more effectively, our competitive position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83"/>
        <w:gridCol w:w="249"/>
        <w:gridCol w:w="251"/>
        <w:gridCol w:w="109"/>
        <w:gridCol w:w="109"/>
        <w:gridCol w:w="109"/>
        <w:gridCol w:w="2735"/>
        <w:gridCol w:w="2630"/>
        <w:gridCol w:w="3730"/>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of The Pennant Group, Inc., effective as of September 27, 2019 (incorporated by reference to Exhibit 3.1 to The Pennant Group, Inc.’s Current Report on Form 8-K (File No. 001-38900) filed with the SEC on October 3, 2019).</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Bylaws of The Pennant Group, Inc., effective as of February 21, 2022 (incorporated by reference to Exhibit 3.1 to The Pennant Group, Inc.’s Current Report on Form 8-K (File No. 001-38900) filed with the SEC on February 22, 2022).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5"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5"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11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12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302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ocert-exhibit321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focert-exhibit322q22026.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Section 906 of the Sarbanes-Oxley Act of 2002</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bd17b1cda8f9496eb171d3c81302286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607" w:type="dxa"/>
        <w:jc w:val="left"/>
        <w:tblInd w:w="0" w:type="dxa"/>
        <w:tblLayout w:type="fixed"/>
        <w:tblCellMar>
          <w:top w:w="28" w:type="dxa"/>
          <w:left w:w="28" w:type="dxa"/>
          <w:bottom w:w="28" w:type="dxa"/>
          <w:right w:w="28" w:type="dxa"/>
        </w:tblCellMar>
      </w:tblPr>
      <w:tblGrid>
        <w:gridCol w:w="705"/>
        <w:gridCol w:w="619"/>
        <w:gridCol w:w="625"/>
        <w:gridCol w:w="328"/>
        <w:gridCol w:w="328"/>
        <w:gridCol w:w="328"/>
        <w:gridCol w:w="1940"/>
        <w:gridCol w:w="1940"/>
        <w:gridCol w:w="279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Pennant Group,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  </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Duly Authorized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Brent J. Guerisoli,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5870" w:type="dxa"/>
        <w:jc w:val="left"/>
        <w:tblInd w:w="0" w:type="dxa"/>
        <w:tblLayout w:type="fixed"/>
        <w:tblCellMar>
          <w:top w:w="28" w:type="dxa"/>
          <w:left w:w="28" w:type="dxa"/>
          <w:bottom w:w="28" w:type="dxa"/>
          <w:right w:w="28" w:type="dxa"/>
        </w:tblCellMar>
      </w:tblPr>
      <w:tblGrid>
        <w:gridCol w:w="124"/>
        <w:gridCol w:w="109"/>
        <w:gridCol w:w="109"/>
        <w:gridCol w:w="249"/>
        <w:gridCol w:w="249"/>
        <w:gridCol w:w="249"/>
        <w:gridCol w:w="731"/>
        <w:gridCol w:w="731"/>
        <w:gridCol w:w="731"/>
        <w:gridCol w:w="731"/>
        <w:gridCol w:w="731"/>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BRENT J. GUERISOLI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w:t>
            </w:r>
          </w:p>
        </w:tc>
        <w:tc>
          <w:tcPr>
            <w:tcW w:w="440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44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Lynette B. Walbom, certify that: </w:t>
      </w:r>
    </w:p>
    <w:p>
      <w:pPr>
        <w:pStyle w:val="TextBody"/>
        <w:bidi w:val="0"/>
        <w:spacing w:before="0" w:after="0"/>
        <w:jc w:val="both"/>
        <w:rPr/>
      </w:pPr>
      <w:r>
        <w:rPr/>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Pennant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263"/>
        <w:gridCol w:w="246"/>
        <w:gridCol w:w="223"/>
        <w:gridCol w:w="1213"/>
        <w:gridCol w:w="1213"/>
        <w:gridCol w:w="1180"/>
        <w:gridCol w:w="1168"/>
        <w:gridCol w:w="1168"/>
        <w:gridCol w:w="1177"/>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711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71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June 30, 2026, as filed with the Securities and Exchange Commission on the date hereof (the Report), I, Brent J. Guerisoli, Chief Executive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587"/>
        <w:gridCol w:w="587"/>
        <w:gridCol w:w="587"/>
        <w:gridCol w:w="655"/>
        <w:gridCol w:w="587"/>
        <w:gridCol w:w="587"/>
        <w:gridCol w:w="668"/>
        <w:gridCol w:w="587"/>
        <w:gridCol w:w="587"/>
        <w:gridCol w:w="587"/>
        <w:gridCol w:w="587"/>
        <w:gridCol w:w="587"/>
        <w:gridCol w:w="587"/>
        <w:gridCol w:w="587"/>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J. GUERISOLI</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60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J. Guerisoli</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2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The Pennant Group, Inc. (the Company) on Form 10-Q for the period ended June 30, 2026, as filed with the Securities and Exchange Commission on the date hereof (the Report), I, Lynette B. Walbom, Chief Financial Officer of the Company, certify, pursuant to 18 U.S.C. § 1350, as adopted pursuant to Section 906 of the Sarbanes-Oxley Act of 2002, that to my knowledge: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29"/>
        <w:gridCol w:w="429"/>
        <w:gridCol w:w="429"/>
        <w:gridCol w:w="555"/>
        <w:gridCol w:w="429"/>
        <w:gridCol w:w="429"/>
        <w:gridCol w:w="1009"/>
        <w:gridCol w:w="805"/>
        <w:gridCol w:w="805"/>
        <w:gridCol w:w="805"/>
        <w:gridCol w:w="805"/>
        <w:gridCol w:w="805"/>
        <w:gridCol w:w="429"/>
        <w:gridCol w:w="429"/>
        <w:gridCol w:w="6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r>
        <w:trP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LYNETTE B. WALBOM</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t>
            </w:r>
          </w:p>
        </w:tc>
        <w:tc>
          <w:tcPr>
            <w:tcW w:w="503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Lynette B. Walbom</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w:t>
            </w:r>
          </w:p>
        </w:tc>
        <w:tc>
          <w:tcPr>
            <w:tcW w:w="5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 Principal Accounting Officer and Duly Authorized Officer)</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A signed original of this written statement required by 18 U.S.C. Section 1350 has been provided to the Company and will be retained by the Company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66400/000119312519260914/d812063dex31.htm" TargetMode="External"/><Relationship Id="rId3" Type="http://schemas.openxmlformats.org/officeDocument/2006/relationships/hyperlink" Target="https://www.sec.gov/Archives/edgar/data/1766400/000176640022000027/pntg2ndarbylaw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25865</Words>
  <Characters>144631</Characters>
  <CharactersWithSpaces>168711</CharactersWithSpaces>
  <Paragraphs>3559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