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_____________________________</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31" w:lineRule="exact"/>
        <w:rPr>
          <w:sz w:val="24"/>
          <w:szCs w:val="24"/>
          <w:color w:val="auto"/>
        </w:rPr>
      </w:pPr>
    </w:p>
    <w:p>
      <w:pPr>
        <w:ind w:left="760" w:hanging="455"/>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46" w:lineRule="exact"/>
        <w:rPr>
          <w:sz w:val="24"/>
          <w:szCs w:val="24"/>
          <w:color w:val="auto"/>
        </w:rPr>
      </w:pPr>
    </w:p>
    <w:p>
      <w:pPr>
        <w:ind w:left="760" w:hanging="455"/>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3" w:lineRule="exact"/>
        <w:rPr>
          <w:sz w:val="24"/>
          <w:szCs w:val="24"/>
          <w:color w:val="auto"/>
        </w:rPr>
      </w:pPr>
    </w:p>
    <w:tbl>
      <w:tblPr>
        <w:tblLayout w:type="fixed"/>
        <w:tblInd w:w="180" w:type="dxa"/>
        <w:tblCellMar>
          <w:top w:w="0" w:type="dxa"/>
          <w:left w:w="0" w:type="dxa"/>
          <w:bottom w:w="0" w:type="dxa"/>
          <w:right w:w="0" w:type="dxa"/>
        </w:tblCellMar>
      </w:tblPr>
      <w:tr>
        <w:trPr>
          <w:trHeight w:val="184"/>
        </w:trPr>
        <w:tc>
          <w:tcPr>
            <w:tcW w:w="2120" w:type="dxa"/>
            <w:vAlign w:val="bottom"/>
          </w:tcPr>
          <w:p>
            <w:pPr>
              <w:spacing w:after="0"/>
              <w:rPr>
                <w:sz w:val="20"/>
                <w:szCs w:val="20"/>
                <w:color w:val="auto"/>
              </w:rPr>
            </w:pPr>
            <w:r>
              <w:rPr>
                <w:rFonts w:ascii="Arial" w:cs="Arial" w:eastAsia="Arial" w:hAnsi="Arial"/>
                <w:sz w:val="16"/>
                <w:szCs w:val="16"/>
                <w:b w:val="1"/>
                <w:bCs w:val="1"/>
                <w:color w:val="auto"/>
                <w:w w:val="93"/>
              </w:rPr>
              <w:t>For the transition period from</w:t>
            </w:r>
          </w:p>
        </w:tc>
        <w:tc>
          <w:tcPr>
            <w:tcW w:w="82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6"/>
                <w:szCs w:val="16"/>
                <w:b w:val="1"/>
                <w:bCs w:val="1"/>
                <w:color w:val="auto"/>
              </w:rPr>
              <w:t>to</w:t>
            </w:r>
          </w:p>
        </w:tc>
        <w:tc>
          <w:tcPr>
            <w:tcW w:w="5140" w:type="dxa"/>
            <w:vAlign w:val="bottom"/>
            <w:gridSpan w:val="2"/>
          </w:tcPr>
          <w:p>
            <w:pPr>
              <w:jc w:val="right"/>
              <w:ind w:right="4699"/>
              <w:spacing w:after="0"/>
              <w:rPr>
                <w:sz w:val="20"/>
                <w:szCs w:val="20"/>
                <w:color w:val="auto"/>
              </w:rPr>
            </w:pPr>
            <w:r>
              <w:rPr>
                <w:rFonts w:ascii="Arial" w:cs="Arial" w:eastAsia="Arial" w:hAnsi="Arial"/>
                <w:sz w:val="16"/>
                <w:szCs w:val="16"/>
                <w:b w:val="1"/>
                <w:bCs w:val="1"/>
                <w:color w:val="auto"/>
              </w:rPr>
              <w:t>.</w:t>
            </w:r>
          </w:p>
        </w:tc>
      </w:tr>
      <w:tr>
        <w:trPr>
          <w:trHeight w:val="379"/>
        </w:trPr>
        <w:tc>
          <w:tcPr>
            <w:tcW w:w="2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820" w:type="dxa"/>
            <w:vAlign w:val="bottom"/>
          </w:tcPr>
          <w:p>
            <w:pPr>
              <w:jc w:val="center"/>
              <w:ind w:right="1759"/>
              <w:spacing w:after="0"/>
              <w:rPr>
                <w:sz w:val="20"/>
                <w:szCs w:val="20"/>
                <w:color w:val="auto"/>
              </w:rPr>
            </w:pPr>
            <w:r>
              <w:rPr>
                <w:rFonts w:ascii="Arial" w:cs="Arial" w:eastAsia="Arial" w:hAnsi="Arial"/>
                <w:sz w:val="16"/>
                <w:szCs w:val="16"/>
                <w:b w:val="1"/>
                <w:bCs w:val="1"/>
                <w:color w:val="auto"/>
                <w:w w:val="91"/>
              </w:rPr>
              <w:t>Commission file number: 001-38900</w:t>
            </w:r>
          </w:p>
        </w:tc>
      </w:tr>
      <w:tr>
        <w:trPr>
          <w:trHeight w:val="263"/>
        </w:trPr>
        <w:tc>
          <w:tcPr>
            <w:tcW w:w="2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140" w:type="dxa"/>
            <w:vAlign w:val="bottom"/>
            <w:gridSpan w:val="2"/>
          </w:tcPr>
          <w:p>
            <w:pPr>
              <w:jc w:val="center"/>
              <w:ind w:right="1439"/>
              <w:spacing w:after="0"/>
              <w:rPr>
                <w:sz w:val="20"/>
                <w:szCs w:val="20"/>
                <w:color w:val="auto"/>
              </w:rPr>
            </w:pPr>
            <w:r>
              <w:rPr>
                <w:rFonts w:ascii="Arial" w:cs="Arial" w:eastAsia="Arial" w:hAnsi="Arial"/>
                <w:sz w:val="18"/>
                <w:szCs w:val="18"/>
                <w:b w:val="1"/>
                <w:bCs w:val="1"/>
                <w:color w:val="auto"/>
                <w:w w:val="89"/>
              </w:rPr>
              <w:t>__________________________</w:t>
            </w:r>
          </w:p>
        </w:tc>
      </w:tr>
      <w:tr>
        <w:trPr>
          <w:trHeight w:val="590"/>
        </w:trPr>
        <w:tc>
          <w:tcPr>
            <w:tcW w:w="2120" w:type="dxa"/>
            <w:vAlign w:val="bottom"/>
          </w:tcPr>
          <w:p>
            <w:pPr>
              <w:spacing w:after="0"/>
              <w:rPr>
                <w:sz w:val="24"/>
                <w:szCs w:val="24"/>
                <w:color w:val="auto"/>
              </w:rPr>
            </w:pPr>
          </w:p>
        </w:tc>
        <w:tc>
          <w:tcPr>
            <w:tcW w:w="6660" w:type="dxa"/>
            <w:vAlign w:val="bottom"/>
            <w:gridSpan w:val="5"/>
          </w:tcPr>
          <w:p>
            <w:pPr>
              <w:jc w:val="center"/>
              <w:spacing w:after="0"/>
              <w:rPr>
                <w:sz w:val="20"/>
                <w:szCs w:val="20"/>
                <w:color w:val="auto"/>
              </w:rPr>
            </w:pPr>
            <w:r>
              <w:rPr>
                <w:rFonts w:ascii="Arial" w:cs="Arial" w:eastAsia="Arial" w:hAnsi="Arial"/>
                <w:sz w:val="40"/>
                <w:szCs w:val="40"/>
                <w:b w:val="1"/>
                <w:bCs w:val="1"/>
                <w:color w:val="auto"/>
                <w:w w:val="98"/>
              </w:rPr>
              <w:t>THE PENNANT GROUP, INC.</w:t>
            </w:r>
          </w:p>
        </w:tc>
      </w:tr>
      <w:tr>
        <w:trPr>
          <w:trHeight w:val="430"/>
        </w:trPr>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40" w:type="dxa"/>
            <w:vAlign w:val="bottom"/>
            <w:gridSpan w:val="2"/>
          </w:tcPr>
          <w:p>
            <w:pPr>
              <w:jc w:val="center"/>
              <w:ind w:right="1459"/>
              <w:spacing w:after="0"/>
              <w:rPr>
                <w:sz w:val="20"/>
                <w:szCs w:val="20"/>
                <w:color w:val="auto"/>
              </w:rPr>
            </w:pPr>
            <w:r>
              <w:rPr>
                <w:rFonts w:ascii="Arial" w:cs="Arial" w:eastAsia="Arial" w:hAnsi="Arial"/>
                <w:sz w:val="16"/>
                <w:szCs w:val="16"/>
                <w:color w:val="auto"/>
                <w:w w:val="92"/>
              </w:rPr>
              <w:t>(Exact Name of Registrant as Specified in Its Charter)</w:t>
            </w:r>
          </w:p>
        </w:tc>
      </w:tr>
      <w:tr>
        <w:trPr>
          <w:trHeight w:val="229"/>
        </w:trPr>
        <w:tc>
          <w:tcPr>
            <w:tcW w:w="2120" w:type="dxa"/>
            <w:vAlign w:val="bottom"/>
          </w:tcPr>
          <w:p>
            <w:pPr>
              <w:spacing w:after="0"/>
              <w:rPr>
                <w:sz w:val="19"/>
                <w:szCs w:val="19"/>
                <w:color w:val="auto"/>
              </w:rPr>
            </w:pPr>
          </w:p>
        </w:tc>
        <w:tc>
          <w:tcPr>
            <w:tcW w:w="152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3"/>
              </w:rPr>
              <w:t>Delaware</w:t>
            </w:r>
          </w:p>
        </w:tc>
        <w:tc>
          <w:tcPr>
            <w:tcW w:w="5140" w:type="dxa"/>
            <w:vAlign w:val="bottom"/>
            <w:gridSpan w:val="2"/>
          </w:tcPr>
          <w:p>
            <w:pPr>
              <w:jc w:val="center"/>
              <w:ind w:left="3837"/>
              <w:spacing w:after="0"/>
              <w:rPr>
                <w:sz w:val="20"/>
                <w:szCs w:val="20"/>
                <w:color w:val="auto"/>
              </w:rPr>
            </w:pPr>
            <w:r>
              <w:rPr>
                <w:rFonts w:ascii="Arial" w:cs="Arial" w:eastAsia="Arial" w:hAnsi="Arial"/>
                <w:sz w:val="16"/>
                <w:szCs w:val="16"/>
                <w:b w:val="1"/>
                <w:bCs w:val="1"/>
                <w:color w:val="auto"/>
                <w:w w:val="91"/>
              </w:rPr>
              <w:t>83-3349931</w:t>
            </w:r>
          </w:p>
        </w:tc>
      </w:tr>
      <w:tr>
        <w:trPr>
          <w:trHeight w:val="216"/>
        </w:trPr>
        <w:tc>
          <w:tcPr>
            <w:tcW w:w="3640" w:type="dxa"/>
            <w:vAlign w:val="bottom"/>
            <w:gridSpan w:val="4"/>
          </w:tcPr>
          <w:p>
            <w:pPr>
              <w:jc w:val="center"/>
              <w:ind w:left="1419"/>
              <w:spacing w:after="0"/>
              <w:rPr>
                <w:sz w:val="20"/>
                <w:szCs w:val="20"/>
                <w:color w:val="auto"/>
              </w:rPr>
            </w:pPr>
            <w:r>
              <w:rPr>
                <w:rFonts w:ascii="Arial" w:cs="Arial" w:eastAsia="Arial" w:hAnsi="Arial"/>
                <w:sz w:val="16"/>
                <w:szCs w:val="16"/>
                <w:color w:val="auto"/>
                <w:w w:val="93"/>
              </w:rPr>
              <w:t>(State or Other Jurisdiction of</w:t>
            </w:r>
          </w:p>
        </w:tc>
        <w:tc>
          <w:tcPr>
            <w:tcW w:w="320" w:type="dxa"/>
            <w:vAlign w:val="bottom"/>
          </w:tcPr>
          <w:p>
            <w:pPr>
              <w:spacing w:after="0"/>
              <w:rPr>
                <w:sz w:val="18"/>
                <w:szCs w:val="18"/>
                <w:color w:val="auto"/>
              </w:rPr>
            </w:pPr>
          </w:p>
        </w:tc>
        <w:tc>
          <w:tcPr>
            <w:tcW w:w="4820" w:type="dxa"/>
            <w:vAlign w:val="bottom"/>
          </w:tcPr>
          <w:p>
            <w:pPr>
              <w:jc w:val="center"/>
              <w:ind w:left="3519"/>
              <w:spacing w:after="0"/>
              <w:rPr>
                <w:sz w:val="20"/>
                <w:szCs w:val="20"/>
                <w:color w:val="auto"/>
              </w:rPr>
            </w:pPr>
            <w:r>
              <w:rPr>
                <w:rFonts w:ascii="Arial" w:cs="Arial" w:eastAsia="Arial" w:hAnsi="Arial"/>
                <w:sz w:val="16"/>
                <w:szCs w:val="16"/>
                <w:color w:val="auto"/>
                <w:w w:val="93"/>
              </w:rPr>
              <w:t>(I.R.S. Employer</w:t>
            </w:r>
          </w:p>
        </w:tc>
      </w:tr>
      <w:tr>
        <w:trPr>
          <w:trHeight w:val="216"/>
        </w:trPr>
        <w:tc>
          <w:tcPr>
            <w:tcW w:w="3640" w:type="dxa"/>
            <w:vAlign w:val="bottom"/>
            <w:gridSpan w:val="4"/>
          </w:tcPr>
          <w:p>
            <w:pPr>
              <w:jc w:val="center"/>
              <w:ind w:left="1439"/>
              <w:spacing w:after="0"/>
              <w:rPr>
                <w:sz w:val="20"/>
                <w:szCs w:val="20"/>
                <w:color w:val="auto"/>
              </w:rPr>
            </w:pPr>
            <w:r>
              <w:rPr>
                <w:rFonts w:ascii="Arial" w:cs="Arial" w:eastAsia="Arial" w:hAnsi="Arial"/>
                <w:sz w:val="16"/>
                <w:szCs w:val="16"/>
                <w:color w:val="auto"/>
                <w:w w:val="94"/>
              </w:rPr>
              <w:t>Incorporation or Organization)</w:t>
            </w:r>
          </w:p>
        </w:tc>
        <w:tc>
          <w:tcPr>
            <w:tcW w:w="320" w:type="dxa"/>
            <w:vAlign w:val="bottom"/>
          </w:tcPr>
          <w:p>
            <w:pPr>
              <w:spacing w:after="0"/>
              <w:rPr>
                <w:sz w:val="18"/>
                <w:szCs w:val="18"/>
                <w:color w:val="auto"/>
              </w:rPr>
            </w:pPr>
          </w:p>
        </w:tc>
        <w:tc>
          <w:tcPr>
            <w:tcW w:w="4820" w:type="dxa"/>
            <w:vAlign w:val="bottom"/>
          </w:tcPr>
          <w:p>
            <w:pPr>
              <w:jc w:val="center"/>
              <w:ind w:left="3519"/>
              <w:spacing w:after="0"/>
              <w:rPr>
                <w:sz w:val="20"/>
                <w:szCs w:val="20"/>
                <w:color w:val="auto"/>
              </w:rPr>
            </w:pPr>
            <w:r>
              <w:rPr>
                <w:rFonts w:ascii="Arial" w:cs="Arial" w:eastAsia="Arial" w:hAnsi="Arial"/>
                <w:sz w:val="16"/>
                <w:szCs w:val="16"/>
                <w:color w:val="auto"/>
                <w:w w:val="97"/>
              </w:rPr>
              <w:t>Identification No.)</w:t>
            </w:r>
          </w:p>
        </w:tc>
      </w:tr>
    </w:tbl>
    <w:p>
      <w:pPr>
        <w:spacing w:after="0" w:line="87"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1675 East Riverside Drive, Suite 150, Eagle, ID 83616</w:t>
      </w:r>
    </w:p>
    <w:p>
      <w:pPr>
        <w:spacing w:after="0" w:line="23"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 and Zip Code)</w:t>
      </w:r>
    </w:p>
    <w:p>
      <w:pPr>
        <w:spacing w:after="0" w:line="5"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(208) 506-6100</w:t>
      </w:r>
    </w:p>
    <w:p>
      <w:pPr>
        <w:ind w:left="3820"/>
        <w:spacing w:after="0" w:line="235" w:lineRule="auto"/>
        <w:rPr>
          <w:sz w:val="20"/>
          <w:szCs w:val="20"/>
          <w:color w:val="auto"/>
        </w:rPr>
      </w:pPr>
      <w:r>
        <w:rPr>
          <w:rFonts w:ascii="Arial" w:cs="Arial" w:eastAsia="Arial" w:hAnsi="Arial"/>
          <w:sz w:val="16"/>
          <w:szCs w:val="16"/>
          <w:color w:val="auto"/>
        </w:rPr>
        <w:t>(Registrant’s Telephone Number, Including Area Code)</w:t>
      </w:r>
    </w:p>
    <w:p>
      <w:pPr>
        <w:jc w:val="center"/>
        <w:spacing w:after="0" w:line="211" w:lineRule="auto"/>
        <w:rPr>
          <w:sz w:val="20"/>
          <w:szCs w:val="20"/>
          <w:color w:val="auto"/>
        </w:rPr>
      </w:pPr>
      <w:r>
        <w:rPr>
          <w:rFonts w:ascii="Arial" w:cs="Arial" w:eastAsia="Arial" w:hAnsi="Arial"/>
          <w:sz w:val="16"/>
          <w:szCs w:val="16"/>
          <w:color w:val="auto"/>
        </w:rPr>
        <w:t>None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3"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282" w:right="339" w:bottom="1440" w:gutter="0" w:footer="0" w:header="0"/>
        </w:sectPr>
      </w:pPr>
    </w:p>
    <w:p>
      <w:pPr>
        <w:spacing w:after="0" w:line="36"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140" w:space="720"/>
            <w:col w:w="2240" w:space="720"/>
            <w:col w:w="3420"/>
          </w:cols>
          <w:pgMar w:left="320" w:top="1282" w:right="33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PNTG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36" w:lineRule="exact"/>
        <w:rPr>
          <w:sz w:val="24"/>
          <w:szCs w:val="24"/>
          <w:color w:val="auto"/>
        </w:rPr>
      </w:pPr>
    </w:p>
    <w:p>
      <w:pPr>
        <w:sectPr>
          <w:pgSz w:w="11900" w:h="16838" w:orient="portrait"/>
          <w:cols w:equalWidth="0" w:num="3">
            <w:col w:w="4580" w:space="720"/>
            <w:col w:w="2360" w:space="720"/>
            <w:col w:w="2860"/>
          </w:cols>
          <w:pgMar w:left="320" w:top="1282" w:right="339" w:bottom="1440" w:gutter="0" w:footer="0" w:header="0"/>
          <w:type w:val="continuous"/>
        </w:sectPr>
      </w:pPr>
    </w:p>
    <w:p>
      <w:pPr>
        <w:ind w:left="378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00" w:lineRule="exact"/>
        <w:rPr>
          <w:sz w:val="24"/>
          <w:szCs w:val="24"/>
          <w:color w:val="auto"/>
        </w:rPr>
      </w:pPr>
    </w:p>
    <w:p>
      <w:pPr>
        <w:spacing w:after="0" w:line="224" w:lineRule="exact"/>
        <w:rPr>
          <w:sz w:val="24"/>
          <w:szCs w:val="24"/>
          <w:color w:val="auto"/>
        </w:rPr>
      </w:pPr>
    </w:p>
    <w:p>
      <w:pPr>
        <w:jc w:val="both"/>
        <w:ind w:firstLine="445"/>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73" w:lineRule="exact"/>
        <w:rPr>
          <w:sz w:val="24"/>
          <w:szCs w:val="24"/>
          <w:color w:val="auto"/>
        </w:rPr>
      </w:pPr>
    </w:p>
    <w:p>
      <w:pPr>
        <w:ind w:firstLine="445"/>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08" w:lineRule="exact"/>
        <w:rPr>
          <w:sz w:val="24"/>
          <w:szCs w:val="24"/>
          <w:color w:val="auto"/>
        </w:rPr>
      </w:pPr>
    </w:p>
    <w:p>
      <w:pPr>
        <w:jc w:val="both"/>
        <w:ind w:right="300" w:firstLine="445"/>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40" w:type="dxa"/>
        <w:tblCellMar>
          <w:top w:w="0" w:type="dxa"/>
          <w:left w:w="0" w:type="dxa"/>
          <w:bottom w:w="0" w:type="dxa"/>
          <w:right w:w="0" w:type="dxa"/>
        </w:tblCellMar>
      </w:tblPr>
      <w:tr>
        <w:trPr>
          <w:trHeight w:val="166"/>
        </w:trPr>
        <w:tc>
          <w:tcPr>
            <w:tcW w:w="1400" w:type="dxa"/>
            <w:vAlign w:val="bottom"/>
          </w:tcPr>
          <w:p>
            <w:pPr>
              <w:ind w:left="560"/>
              <w:spacing w:after="0" w:line="166" w:lineRule="exact"/>
              <w:rPr>
                <w:sz w:val="20"/>
                <w:szCs w:val="20"/>
                <w:color w:val="auto"/>
              </w:rPr>
            </w:pPr>
            <w:r>
              <w:rPr>
                <w:rFonts w:ascii="Arial" w:cs="Arial" w:eastAsia="Arial" w:hAnsi="Arial"/>
                <w:sz w:val="16"/>
                <w:szCs w:val="16"/>
                <w:color w:val="auto"/>
              </w:rPr>
              <w:t>Large</w:t>
            </w:r>
          </w:p>
        </w:tc>
        <w:tc>
          <w:tcPr>
            <w:tcW w:w="760" w:type="dxa"/>
            <w:vAlign w:val="bottom"/>
            <w:vMerge w:val="restart"/>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1640" w:type="dxa"/>
            <w:vAlign w:val="bottom"/>
            <w:vMerge w:val="restart"/>
          </w:tcPr>
          <w:p>
            <w:pPr>
              <w:ind w:left="280"/>
              <w:spacing w:after="0"/>
              <w:rPr>
                <w:sz w:val="20"/>
                <w:szCs w:val="20"/>
                <w:color w:val="auto"/>
              </w:rPr>
            </w:pPr>
            <w:r>
              <w:rPr>
                <w:rFonts w:ascii="Arial" w:cs="Arial" w:eastAsia="Arial" w:hAnsi="Arial"/>
                <w:sz w:val="16"/>
                <w:szCs w:val="16"/>
                <w:color w:val="auto"/>
              </w:rPr>
              <w:t>Accelerated filer</w:t>
            </w:r>
          </w:p>
        </w:tc>
        <w:tc>
          <w:tcPr>
            <w:tcW w:w="66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1560" w:type="dxa"/>
            <w:vAlign w:val="bottom"/>
          </w:tcPr>
          <w:p>
            <w:pPr>
              <w:ind w:left="240"/>
              <w:spacing w:after="0" w:line="166" w:lineRule="exact"/>
              <w:rPr>
                <w:sz w:val="20"/>
                <w:szCs w:val="20"/>
                <w:color w:val="auto"/>
              </w:rPr>
            </w:pPr>
            <w:r>
              <w:rPr>
                <w:rFonts w:ascii="Arial" w:cs="Arial" w:eastAsia="Arial" w:hAnsi="Arial"/>
                <w:sz w:val="16"/>
                <w:szCs w:val="16"/>
                <w:color w:val="auto"/>
              </w:rPr>
              <w:t>Non-accelerated</w:t>
            </w:r>
          </w:p>
        </w:tc>
        <w:tc>
          <w:tcPr>
            <w:tcW w:w="2140" w:type="dxa"/>
            <w:vAlign w:val="bottom"/>
          </w:tcPr>
          <w:p>
            <w:pPr>
              <w:ind w:left="1180"/>
              <w:spacing w:after="0" w:line="166" w:lineRule="exact"/>
              <w:rPr>
                <w:sz w:val="20"/>
                <w:szCs w:val="20"/>
                <w:color w:val="auto"/>
              </w:rPr>
            </w:pPr>
            <w:r>
              <w:rPr>
                <w:rFonts w:ascii="Arial" w:cs="Arial" w:eastAsia="Arial" w:hAnsi="Arial"/>
                <w:sz w:val="16"/>
                <w:szCs w:val="16"/>
                <w:color w:val="auto"/>
              </w:rPr>
              <w:t>Smaller</w:t>
            </w:r>
          </w:p>
        </w:tc>
        <w:tc>
          <w:tcPr>
            <w:tcW w:w="740" w:type="dxa"/>
            <w:vAlign w:val="bottom"/>
            <w:vMerge w:val="restart"/>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1640" w:type="dxa"/>
            <w:vAlign w:val="bottom"/>
          </w:tcPr>
          <w:p>
            <w:pPr>
              <w:ind w:left="240"/>
              <w:spacing w:after="0" w:line="166" w:lineRule="exact"/>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4"/>
        </w:trPr>
        <w:tc>
          <w:tcPr>
            <w:tcW w:w="1400" w:type="dxa"/>
            <w:vAlign w:val="bottom"/>
          </w:tcPr>
          <w:p>
            <w:pPr>
              <w:spacing w:after="0"/>
              <w:rPr>
                <w:sz w:val="20"/>
                <w:szCs w:val="20"/>
                <w:color w:val="auto"/>
              </w:rPr>
            </w:pPr>
            <w:r>
              <w:rPr>
                <w:rFonts w:ascii="Arial" w:cs="Arial" w:eastAsia="Arial" w:hAnsi="Arial"/>
                <w:sz w:val="16"/>
                <w:szCs w:val="16"/>
                <w:color w:val="auto"/>
              </w:rPr>
              <w:t>accelerated filer</w:t>
            </w:r>
          </w:p>
        </w:tc>
        <w:tc>
          <w:tcPr>
            <w:tcW w:w="76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1560" w:type="dxa"/>
            <w:vAlign w:val="bottom"/>
          </w:tcPr>
          <w:p>
            <w:pPr>
              <w:ind w:left="420"/>
              <w:spacing w:after="0"/>
              <w:rPr>
                <w:sz w:val="20"/>
                <w:szCs w:val="20"/>
                <w:color w:val="auto"/>
              </w:rPr>
            </w:pPr>
            <w:r>
              <w:rPr>
                <w:rFonts w:ascii="Arial" w:cs="Arial" w:eastAsia="Arial" w:hAnsi="Arial"/>
                <w:sz w:val="16"/>
                <w:szCs w:val="16"/>
                <w:color w:val="auto"/>
              </w:rPr>
              <w:t>filer</w:t>
            </w:r>
          </w:p>
        </w:tc>
        <w:tc>
          <w:tcPr>
            <w:tcW w:w="2140" w:type="dxa"/>
            <w:vAlign w:val="bottom"/>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reporting company</w:t>
            </w:r>
          </w:p>
        </w:tc>
        <w:tc>
          <w:tcPr>
            <w:tcW w:w="740" w:type="dxa"/>
            <w:vAlign w:val="bottom"/>
            <w:vMerge w:val="continue"/>
          </w:tcPr>
          <w:p>
            <w:pPr>
              <w:spacing w:after="0"/>
              <w:rPr>
                <w:sz w:val="22"/>
                <w:szCs w:val="22"/>
                <w:color w:val="auto"/>
              </w:rPr>
            </w:pPr>
          </w:p>
        </w:tc>
        <w:tc>
          <w:tcPr>
            <w:tcW w:w="1640" w:type="dxa"/>
            <w:vAlign w:val="bottom"/>
          </w:tcPr>
          <w:p>
            <w:pPr>
              <w:ind w:left="300"/>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89" w:lineRule="exact"/>
        <w:rPr>
          <w:sz w:val="24"/>
          <w:szCs w:val="24"/>
          <w:color w:val="auto"/>
        </w:rPr>
      </w:pPr>
    </w:p>
    <w:p>
      <w:pPr>
        <w:ind w:firstLine="445"/>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6" w:lineRule="exact"/>
        <w:rPr>
          <w:sz w:val="24"/>
          <w:szCs w:val="24"/>
          <w:color w:val="auto"/>
        </w:rPr>
      </w:pPr>
    </w:p>
    <w:p>
      <w:pPr>
        <w:ind w:left="460"/>
        <w:spacing w:after="0" w:line="196"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8, 2021, 28,477,119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20" w:type="dxa"/>
            <w:vAlign w:val="bottom"/>
            <w:gridSpan w:val="11"/>
          </w:tcPr>
          <w:p>
            <w:pPr>
              <w:jc w:val="center"/>
              <w:ind w:right="3580"/>
              <w:spacing w:after="0"/>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 Financial Information</w:t>
              </w:r>
            </w:hyperlink>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480" w:type="dxa"/>
            <w:vAlign w:val="bottom"/>
            <w:gridSpan w:val="2"/>
          </w:tcPr>
          <w:p>
            <w:pPr>
              <w:spacing w:after="0"/>
              <w:rPr>
                <w:sz w:val="18"/>
                <w:szCs w:val="18"/>
                <w:color w:val="auto"/>
              </w:rPr>
            </w:pPr>
          </w:p>
        </w:tc>
        <w:tc>
          <w:tcPr>
            <w:tcW w:w="372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2240" w:type="dxa"/>
            <w:vAlign w:val="bottom"/>
            <w:tcBorders>
              <w:top w:val="single" w:sz="8" w:color="0000FF"/>
            </w:tcBorders>
            <w:gridSpan w:val="5"/>
          </w:tcPr>
          <w:p>
            <w:pPr>
              <w:spacing w:after="0"/>
              <w:rPr>
                <w:sz w:val="18"/>
                <w:szCs w:val="18"/>
                <w:color w:val="auto"/>
              </w:rPr>
            </w:pPr>
          </w:p>
        </w:tc>
        <w:tc>
          <w:tcPr>
            <w:tcW w:w="3580" w:type="dxa"/>
            <w:vAlign w:val="bottom"/>
            <w:gridSpan w:val="6"/>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September 30, 2021 and December 31, 2020</w:t>
              </w:r>
            </w:hyperlink>
          </w:p>
        </w:tc>
        <w:tc>
          <w:tcPr>
            <w:tcW w:w="500" w:type="dxa"/>
            <w:vAlign w:val="bottom"/>
            <w:gridSpan w:val="4"/>
          </w:tcPr>
          <w:p>
            <w:pPr>
              <w:jc w:val="center"/>
              <w:ind w:left="25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for the three and nine months ended September 30, 2021 and 2020</w:t>
              </w:r>
            </w:hyperlink>
          </w:p>
        </w:tc>
        <w:tc>
          <w:tcPr>
            <w:tcW w:w="500" w:type="dxa"/>
            <w:vAlign w:val="bottom"/>
            <w:gridSpan w:val="4"/>
          </w:tcPr>
          <w:p>
            <w:pPr>
              <w:jc w:val="center"/>
              <w:ind w:left="25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40" w:type="dxa"/>
            <w:vAlign w:val="bottom"/>
            <w:gridSpan w:val="18"/>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Condensed Consolidated Statements of Stockholders’ Equity for the three and nine months ended September 30, 2021 and 2020</w:t>
              </w:r>
            </w:hyperlink>
          </w:p>
        </w:tc>
        <w:tc>
          <w:tcPr>
            <w:tcW w:w="500" w:type="dxa"/>
            <w:vAlign w:val="bottom"/>
            <w:gridSpan w:val="4"/>
          </w:tcPr>
          <w:p>
            <w:pPr>
              <w:jc w:val="center"/>
              <w:ind w:left="25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2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nine months ended September 30, 2021 and 2020</w:t>
              </w:r>
            </w:hyperlink>
          </w:p>
        </w:tc>
        <w:tc>
          <w:tcPr>
            <w:tcW w:w="320" w:type="dxa"/>
            <w:vAlign w:val="bottom"/>
          </w:tcPr>
          <w:p>
            <w:pPr>
              <w:spacing w:after="0"/>
              <w:rPr>
                <w:sz w:val="18"/>
                <w:szCs w:val="18"/>
                <w:color w:val="auto"/>
              </w:rPr>
            </w:pPr>
          </w:p>
        </w:tc>
        <w:tc>
          <w:tcPr>
            <w:tcW w:w="500" w:type="dxa"/>
            <w:vAlign w:val="bottom"/>
            <w:gridSpan w:val="4"/>
          </w:tcPr>
          <w:p>
            <w:pPr>
              <w:jc w:val="center"/>
              <w:ind w:left="25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4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Condensed Consolidated Financial Statements</w:t>
              </w:r>
            </w:hyperlink>
          </w:p>
        </w:tc>
        <w:tc>
          <w:tcPr>
            <w:tcW w:w="1700" w:type="dxa"/>
            <w:vAlign w:val="bottom"/>
            <w:gridSpan w:val="3"/>
          </w:tcPr>
          <w:p>
            <w:pPr>
              <w:spacing w:after="0"/>
              <w:rPr>
                <w:sz w:val="18"/>
                <w:szCs w:val="18"/>
                <w:color w:val="auto"/>
              </w:rPr>
            </w:pPr>
          </w:p>
        </w:tc>
        <w:tc>
          <w:tcPr>
            <w:tcW w:w="500" w:type="dxa"/>
            <w:vAlign w:val="bottom"/>
            <w:gridSpan w:val="4"/>
          </w:tcPr>
          <w:p>
            <w:pPr>
              <w:jc w:val="center"/>
              <w:ind w:left="25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2.</w:t>
              </w:r>
            </w:hyperlink>
          </w:p>
        </w:tc>
        <w:tc>
          <w:tcPr>
            <w:tcW w:w="360" w:type="dxa"/>
            <w:vAlign w:val="bottom"/>
          </w:tcPr>
          <w:p>
            <w:pPr>
              <w:spacing w:after="0"/>
              <w:rPr>
                <w:sz w:val="18"/>
                <w:szCs w:val="18"/>
                <w:color w:val="auto"/>
              </w:rPr>
            </w:pPr>
          </w:p>
        </w:tc>
        <w:tc>
          <w:tcPr>
            <w:tcW w:w="9540" w:type="dxa"/>
            <w:vAlign w:val="bottom"/>
            <w:gridSpan w:val="18"/>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500" w:type="dxa"/>
            <w:vAlign w:val="bottom"/>
            <w:gridSpan w:val="4"/>
          </w:tcPr>
          <w:p>
            <w:pPr>
              <w:jc w:val="center"/>
              <w:ind w:left="230"/>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24</w:t>
              </w:r>
            </w:hyperlink>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0" w:type="dxa"/>
            <w:vAlign w:val="bottom"/>
            <w:tcBorders>
              <w:top w:val="single" w:sz="8" w:color="0000FF"/>
            </w:tcBorders>
            <w:gridSpan w:val="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3.</w:t>
              </w:r>
            </w:hyperlink>
          </w:p>
        </w:tc>
        <w:tc>
          <w:tcPr>
            <w:tcW w:w="360" w:type="dxa"/>
            <w:vAlign w:val="bottom"/>
          </w:tcPr>
          <w:p>
            <w:pPr>
              <w:spacing w:after="0"/>
              <w:rPr>
                <w:sz w:val="18"/>
                <w:szCs w:val="18"/>
                <w:color w:val="auto"/>
              </w:rPr>
            </w:pPr>
          </w:p>
        </w:tc>
        <w:tc>
          <w:tcPr>
            <w:tcW w:w="6440" w:type="dxa"/>
            <w:vAlign w:val="bottom"/>
            <w:tcBorders>
              <w:top w:val="single" w:sz="8" w:color="0000FF"/>
            </w:tcBorders>
            <w:gridSpan w:val="1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Quantitative and Qualitative Disclosures About Market Risk</w:t>
              </w:r>
            </w:hyperlink>
          </w:p>
        </w:tc>
        <w:tc>
          <w:tcPr>
            <w:tcW w:w="3100" w:type="dxa"/>
            <w:vAlign w:val="bottom"/>
            <w:gridSpan w:val="5"/>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0000FF"/>
            </w:tcBorders>
            <w:gridSpan w:val="2"/>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Item 4.</w:t>
              </w:r>
            </w:hyperlink>
          </w:p>
        </w:tc>
        <w:tc>
          <w:tcPr>
            <w:tcW w:w="360" w:type="dxa"/>
            <w:vAlign w:val="bottom"/>
          </w:tcPr>
          <w:p>
            <w:pPr>
              <w:spacing w:after="0"/>
              <w:rPr>
                <w:sz w:val="18"/>
                <w:szCs w:val="18"/>
                <w:color w:val="auto"/>
              </w:rPr>
            </w:pPr>
          </w:p>
        </w:tc>
        <w:tc>
          <w:tcPr>
            <w:tcW w:w="4360" w:type="dxa"/>
            <w:vAlign w:val="bottom"/>
            <w:tcBorders>
              <w:top w:val="single" w:sz="8" w:color="0000FF"/>
            </w:tcBorders>
            <w:gridSpan w:val="10"/>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Controls and Procedures</w:t>
              </w:r>
            </w:hyperlink>
          </w:p>
        </w:tc>
        <w:tc>
          <w:tcPr>
            <w:tcW w:w="5180" w:type="dxa"/>
            <w:vAlign w:val="bottom"/>
            <w:gridSpan w:val="8"/>
          </w:tcPr>
          <w:p>
            <w:pPr>
              <w:spacing w:after="0"/>
              <w:rPr>
                <w:sz w:val="18"/>
                <w:szCs w:val="18"/>
                <w:color w:val="auto"/>
              </w:rPr>
            </w:pPr>
          </w:p>
        </w:tc>
        <w:tc>
          <w:tcPr>
            <w:tcW w:w="500" w:type="dxa"/>
            <w:vAlign w:val="bottom"/>
            <w:gridSpan w:val="4"/>
          </w:tcPr>
          <w:p>
            <w:pPr>
              <w:jc w:val="center"/>
              <w:ind w:left="23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20" w:type="dxa"/>
            <w:vAlign w:val="bottom"/>
            <w:gridSpan w:val="11"/>
          </w:tcPr>
          <w:p>
            <w:pPr>
              <w:jc w:val="center"/>
              <w:ind w:right="3580"/>
              <w:spacing w:after="0"/>
              <w:rPr>
                <w:rFonts w:ascii="Arial" w:cs="Arial" w:eastAsia="Arial" w:hAnsi="Arial"/>
                <w:sz w:val="18"/>
                <w:szCs w:val="18"/>
                <w:b w:val="1"/>
                <w:bCs w:val="1"/>
                <w:color w:val="0000FF"/>
                <w:w w:val="96"/>
              </w:rPr>
            </w:pPr>
            <w:hyperlink w:anchor="page46">
              <w:r>
                <w:rPr>
                  <w:rFonts w:ascii="Arial" w:cs="Arial" w:eastAsia="Arial" w:hAnsi="Arial"/>
                  <w:sz w:val="18"/>
                  <w:szCs w:val="18"/>
                  <w:b w:val="1"/>
                  <w:bCs w:val="1"/>
                  <w:color w:val="0000FF"/>
                  <w:w w:val="96"/>
                </w:rPr>
                <w:t>Part II. Other Information</w:t>
              </w:r>
            </w:hyperlink>
          </w:p>
        </w:tc>
        <w:tc>
          <w:tcPr>
            <w:tcW w:w="32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1.</w:t>
              </w:r>
            </w:hyperlink>
          </w:p>
        </w:tc>
        <w:tc>
          <w:tcPr>
            <w:tcW w:w="480" w:type="dxa"/>
            <w:vAlign w:val="bottom"/>
            <w:gridSpan w:val="2"/>
          </w:tcPr>
          <w:p>
            <w:pPr>
              <w:spacing w:after="0"/>
              <w:rPr>
                <w:sz w:val="18"/>
                <w:szCs w:val="18"/>
                <w:color w:val="auto"/>
              </w:rPr>
            </w:pP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Legal Proceedings</w:t>
              </w:r>
            </w:hyperlink>
          </w:p>
        </w:tc>
        <w:tc>
          <w:tcPr>
            <w:tcW w:w="2480" w:type="dxa"/>
            <w:vAlign w:val="bottom"/>
            <w:gridSpan w:val="4"/>
          </w:tcPr>
          <w:p>
            <w:pPr>
              <w:spacing w:after="0"/>
              <w:rPr>
                <w:sz w:val="18"/>
                <w:szCs w:val="18"/>
                <w:color w:val="auto"/>
              </w:rPr>
            </w:pPr>
          </w:p>
        </w:tc>
        <w:tc>
          <w:tcPr>
            <w:tcW w:w="2040" w:type="dxa"/>
            <w:vAlign w:val="bottom"/>
            <w:tcBorders>
              <w:top w:val="single" w:sz="8" w:color="0000FF"/>
            </w:tcBorders>
            <w:gridSpan w:val="3"/>
          </w:tcPr>
          <w:p>
            <w:pPr>
              <w:spacing w:after="0"/>
              <w:rPr>
                <w:sz w:val="18"/>
                <w:szCs w:val="18"/>
                <w:color w:val="auto"/>
              </w:rPr>
            </w:pPr>
          </w:p>
        </w:tc>
        <w:tc>
          <w:tcPr>
            <w:tcW w:w="3680" w:type="dxa"/>
            <w:vAlign w:val="bottom"/>
            <w:gridSpan w:val="7"/>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954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500" w:type="dxa"/>
            <w:vAlign w:val="bottom"/>
            <w:gridSpan w:val="4"/>
          </w:tcPr>
          <w:p>
            <w:pPr>
              <w:jc w:val="center"/>
              <w:ind w:left="23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6.</w:t>
              </w:r>
            </w:hyperlink>
          </w:p>
        </w:tc>
        <w:tc>
          <w:tcPr>
            <w:tcW w:w="12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top w:val="single" w:sz="8" w:color="0000FF"/>
            </w:tcBorders>
            <w:gridSpan w:val="3"/>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8640" w:type="dxa"/>
            <w:vAlign w:val="bottom"/>
            <w:gridSpan w:val="15"/>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0000FF"/>
            </w:tcBorders>
            <w:gridSpan w:val="3"/>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80" w:type="dxa"/>
            <w:vAlign w:val="bottom"/>
            <w:gridSpan w:val="1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40" w:type="dxa"/>
            <w:vAlign w:val="bottom"/>
            <w:gridSpan w:val="1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Signatures</w:t>
              </w:r>
            </w:hyperlink>
          </w:p>
        </w:tc>
        <w:tc>
          <w:tcPr>
            <w:tcW w:w="500" w:type="dxa"/>
            <w:vAlign w:val="bottom"/>
            <w:gridSpan w:val="4"/>
          </w:tcPr>
          <w:p>
            <w:pPr>
              <w:jc w:val="center"/>
              <w:ind w:left="23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47</w:t>
              </w:r>
            </w:hyperlink>
          </w:p>
        </w:tc>
        <w:tc>
          <w:tcPr>
            <w:tcW w:w="180" w:type="dxa"/>
            <w:vAlign w:val="bottom"/>
          </w:tcPr>
          <w:p>
            <w:pPr>
              <w:spacing w:after="0"/>
              <w:rPr>
                <w:sz w:val="18"/>
                <w:szCs w:val="18"/>
                <w:color w:val="auto"/>
              </w:rPr>
            </w:pPr>
          </w:p>
        </w:tc>
      </w:tr>
      <w:tr>
        <w:trPr>
          <w:trHeight w:val="1877"/>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I.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par value)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09"/>
        </w:trPr>
        <w:tc>
          <w:tcPr>
            <w:tcW w:w="71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Accounts receivable—less allowance for doubtful accounts of $933 and $643, respectively</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47,221</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59,599</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18,509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17,884</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308,650</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Escrow deposits</w:t>
            </w:r>
          </w:p>
        </w:tc>
        <w:tc>
          <w:tcPr>
            <w:tcW w:w="18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Restricted and other assets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6,041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66,444</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indefinite-lived intangibles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47,488</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506,976</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9,763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9,761</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wages and related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26,873</w:t>
            </w: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Operating lease liabilities—current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15,399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14,106</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38,275</w:t>
            </w:r>
          </w:p>
        </w:tc>
        <w:tc>
          <w:tcPr>
            <w:tcW w:w="0" w:type="dxa"/>
            <w:vAlign w:val="bottom"/>
          </w:tcPr>
          <w:p>
            <w:pPr>
              <w:spacing w:after="0"/>
              <w:rPr>
                <w:sz w:val="1"/>
                <w:szCs w:val="1"/>
                <w:color w:val="auto"/>
              </w:rPr>
            </w:pPr>
          </w:p>
        </w:tc>
      </w:tr>
      <w:tr>
        <w:trPr>
          <w:trHeight w:val="223"/>
        </w:trPr>
        <w:tc>
          <w:tcPr>
            <w:tcW w:w="71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76,531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89,015</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liabilities—less current portion</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296,615</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8,841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11,897</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405,804</w:t>
            </w: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Common stock, $0.001 par value; 100,000 shares authorized; 28,800 and 28,464 shares issued</w:t>
            </w: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and outstanding, respectively, at September 30, 2021, and 28,696 and 28,243 shares issued and</w:t>
            </w:r>
          </w:p>
        </w:tc>
        <w:tc>
          <w:tcPr>
            <w:tcW w:w="18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respectively, at December 31, 2020</w:t>
            </w:r>
          </w:p>
        </w:tc>
        <w:tc>
          <w:tcPr>
            <w:tcW w:w="18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92,843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84,671</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Treasury stock, at cost, 3 shares at September 30, 2021 and December 31, 2020</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Pennant Group, Inc.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96,579</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101,172</w:t>
            </w:r>
          </w:p>
        </w:tc>
        <w:tc>
          <w:tcPr>
            <w:tcW w:w="0" w:type="dxa"/>
            <w:vAlign w:val="bottom"/>
          </w:tcPr>
          <w:p>
            <w:pPr>
              <w:spacing w:after="0"/>
              <w:rPr>
                <w:sz w:val="1"/>
                <w:szCs w:val="1"/>
                <w:color w:val="auto"/>
              </w:rPr>
            </w:pPr>
          </w:p>
        </w:tc>
      </w:tr>
      <w:tr>
        <w:trPr>
          <w:trHeight w:val="223"/>
        </w:trPr>
        <w:tc>
          <w:tcPr>
            <w:tcW w:w="7140" w:type="dxa"/>
            <w:vAlign w:val="bottom"/>
          </w:tcPr>
          <w:p>
            <w:pPr>
              <w:ind w:left="46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506,976</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for per-share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304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12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282,986</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75,486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259,908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213,834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Rent—cost of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29,194</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21,699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Total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110,219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93,919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321,045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268,161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14,825</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14,154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23"/>
        </w:trPr>
        <w:tc>
          <w:tcPr>
            <w:tcW w:w="5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loss attributable to noncontrolling interest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240" w:type="dxa"/>
            <w:vAlign w:val="bottom"/>
          </w:tcPr>
          <w:p>
            <w:pPr>
              <w:ind w:left="40"/>
              <w:spacing w:after="0" w:line="156" w:lineRule="exact"/>
              <w:rPr>
                <w:sz w:val="20"/>
                <w:szCs w:val="20"/>
                <w:color w:val="auto"/>
              </w:rPr>
            </w:pPr>
            <w:r>
              <w:rPr>
                <w:rFonts w:ascii="Arial" w:cs="Arial" w:eastAsia="Arial" w:hAnsi="Arial"/>
                <w:sz w:val="18"/>
                <w:szCs w:val="18"/>
                <w:color w:val="auto"/>
              </w:rPr>
              <w:t>Net income and other comprehensive income attributable to The</w:t>
            </w: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4,845</w:t>
            </w:r>
          </w:p>
        </w:tc>
        <w:tc>
          <w:tcPr>
            <w:tcW w:w="8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08"/>
        </w:trPr>
        <w:tc>
          <w:tcPr>
            <w:tcW w:w="5240" w:type="dxa"/>
            <w:vAlign w:val="bottom"/>
          </w:tcPr>
          <w:p>
            <w:pPr>
              <w:ind w:left="40"/>
              <w:spacing w:after="0" w:line="202" w:lineRule="exact"/>
              <w:rPr>
                <w:sz w:val="20"/>
                <w:szCs w:val="20"/>
                <w:color w:val="auto"/>
              </w:rPr>
            </w:pPr>
            <w:r>
              <w:rPr>
                <w:rFonts w:ascii="Arial" w:cs="Arial" w:eastAsia="Arial" w:hAnsi="Arial"/>
                <w:sz w:val="18"/>
                <w:szCs w:val="18"/>
                <w:color w:val="auto"/>
              </w:rPr>
              <w:t>Pennant Group, Inc.</w:t>
            </w:r>
          </w:p>
        </w:tc>
        <w:tc>
          <w:tcPr>
            <w:tcW w:w="3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27,967</w:t>
            </w:r>
          </w:p>
        </w:tc>
        <w:tc>
          <w:tcPr>
            <w:tcW w:w="0" w:type="dxa"/>
            <w:vAlign w:val="bottom"/>
          </w:tcPr>
          <w:p>
            <w:pPr>
              <w:spacing w:after="0"/>
              <w:rPr>
                <w:sz w:val="1"/>
                <w:szCs w:val="1"/>
                <w:color w:val="auto"/>
              </w:rPr>
            </w:pP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30,719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29,955</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920" w:type="dxa"/>
            <w:vAlign w:val="bottom"/>
            <w:gridSpan w:val="5"/>
          </w:tcPr>
          <w:p>
            <w:pPr>
              <w:ind w:left="38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5"/>
          </w:tcPr>
          <w:p>
            <w:pPr>
              <w:ind w:left="38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200" w:type="dxa"/>
            <w:vAlign w:val="bottom"/>
          </w:tcPr>
          <w:p>
            <w:pPr>
              <w:spacing w:after="0"/>
              <w:rPr>
                <w:sz w:val="4"/>
                <w:szCs w:val="4"/>
                <w:color w:val="auto"/>
              </w:rPr>
            </w:pPr>
          </w:p>
        </w:tc>
        <w:tc>
          <w:tcPr>
            <w:tcW w:w="1160" w:type="dxa"/>
            <w:vAlign w:val="bottom"/>
            <w:gridSpan w:val="2"/>
            <w:vMerge w:val="restart"/>
          </w:tcPr>
          <w:p>
            <w:pPr>
              <w:ind w:left="120"/>
              <w:spacing w:after="0" w:line="162" w:lineRule="exact"/>
              <w:rPr>
                <w:sz w:val="20"/>
                <w:szCs w:val="20"/>
                <w:color w:val="auto"/>
              </w:rPr>
            </w:pPr>
            <w:r>
              <w:rPr>
                <w:rFonts w:ascii="Arial" w:cs="Arial" w:eastAsia="Arial" w:hAnsi="Arial"/>
                <w:sz w:val="16"/>
                <w:szCs w:val="16"/>
                <w:b w:val="1"/>
                <w:bCs w:val="1"/>
                <w:color w:val="auto"/>
              </w:rPr>
              <w:t>Retained</w:t>
            </w: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780" w:type="dxa"/>
            <w:vAlign w:val="bottom"/>
          </w:tcPr>
          <w:p>
            <w:pPr>
              <w:spacing w:after="0"/>
              <w:rPr>
                <w:sz w:val="7"/>
                <w:szCs w:val="7"/>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7"/>
                <w:szCs w:val="7"/>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Earnings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101,172</w:t>
            </w: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line="166" w:lineRule="exact"/>
              <w:rPr>
                <w:sz w:val="20"/>
                <w:szCs w:val="20"/>
                <w:color w:val="auto"/>
              </w:rPr>
            </w:pPr>
            <w:r>
              <w:rPr>
                <w:rFonts w:ascii="Arial" w:cs="Arial" w:eastAsia="Arial" w:hAnsi="Arial"/>
                <w:sz w:val="16"/>
                <w:szCs w:val="16"/>
                <w:color w:val="auto"/>
                <w:w w:val="98"/>
              </w:rPr>
              <w:t>Net income attributable to The Pennant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Net loss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104,719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8"/>
              </w:rPr>
              <w:t>Net income attributable to The Pennant</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780" w:type="dxa"/>
            <w:vAlign w:val="bottom"/>
            <w:vMerge w:val="continue"/>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Net loss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109,982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8"/>
              </w:rPr>
              <w:t>Net income attributable to The Pennant</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780" w:type="dxa"/>
            <w:vAlign w:val="bottom"/>
            <w:vMerge w:val="continue"/>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Net loss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2,568</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113,847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920" w:type="dxa"/>
            <w:vAlign w:val="bottom"/>
            <w:gridSpan w:val="5"/>
          </w:tcPr>
          <w:p>
            <w:pPr>
              <w:ind w:left="38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140" w:type="dxa"/>
            <w:vAlign w:val="bottom"/>
          </w:tcPr>
          <w:p>
            <w:pPr>
              <w:spacing w:after="0"/>
              <w:rPr>
                <w:sz w:val="16"/>
                <w:szCs w:val="16"/>
                <w:color w:val="auto"/>
              </w:rPr>
            </w:pPr>
          </w:p>
        </w:tc>
        <w:tc>
          <w:tcPr>
            <w:tcW w:w="1760" w:type="dxa"/>
            <w:vAlign w:val="bottom"/>
            <w:gridSpan w:val="5"/>
          </w:tcPr>
          <w:p>
            <w:pPr>
              <w:ind w:left="240"/>
              <w:spacing w:after="0"/>
              <w:rPr>
                <w:sz w:val="20"/>
                <w:szCs w:val="20"/>
                <w:color w:val="auto"/>
              </w:rPr>
            </w:pPr>
            <w:r>
              <w:rPr>
                <w:rFonts w:ascii="Arial" w:cs="Arial" w:eastAsia="Arial" w:hAnsi="Arial"/>
                <w:sz w:val="16"/>
                <w:szCs w:val="16"/>
                <w:b w:val="1"/>
                <w:bCs w:val="1"/>
                <w:color w:val="auto"/>
              </w:rPr>
              <w:t>Treasury Stock</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40"/>
              <w:spacing w:after="0" w:line="148" w:lineRule="exact"/>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4"/>
                <w:szCs w:val="4"/>
                <w:color w:val="auto"/>
              </w:rPr>
            </w:pPr>
          </w:p>
        </w:tc>
        <w:tc>
          <w:tcPr>
            <w:tcW w:w="1260" w:type="dxa"/>
            <w:vAlign w:val="bottom"/>
            <w:gridSpan w:val="2"/>
            <w:vMerge w:val="restart"/>
          </w:tcPr>
          <w:p>
            <w:pPr>
              <w:jc w:val="center"/>
              <w:ind w:right="220"/>
              <w:spacing w:after="0" w:line="148" w:lineRule="exact"/>
              <w:rPr>
                <w:sz w:val="20"/>
                <w:szCs w:val="20"/>
                <w:color w:val="auto"/>
              </w:rPr>
            </w:pPr>
            <w:r>
              <w:rPr>
                <w:rFonts w:ascii="Arial" w:cs="Arial" w:eastAsia="Arial" w:hAnsi="Arial"/>
                <w:sz w:val="16"/>
                <w:szCs w:val="16"/>
                <w:b w:val="1"/>
                <w:bCs w:val="1"/>
                <w:color w:val="auto"/>
                <w:w w:val="93"/>
              </w:rPr>
              <w:t>Earnings/</w:t>
            </w: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gridSpan w:val="2"/>
            <w:vMerge w:val="restart"/>
          </w:tcPr>
          <w:p>
            <w:pPr>
              <w:jc w:val="center"/>
              <w:ind w:right="240"/>
              <w:spacing w:after="0" w:line="148" w:lineRule="exact"/>
              <w:rPr>
                <w:sz w:val="20"/>
                <w:szCs w:val="20"/>
                <w:color w:val="auto"/>
              </w:rPr>
            </w:pPr>
            <w:r>
              <w:rPr>
                <w:rFonts w:ascii="Arial" w:cs="Arial" w:eastAsia="Arial" w:hAnsi="Arial"/>
                <w:sz w:val="16"/>
                <w:szCs w:val="16"/>
                <w:b w:val="1"/>
                <w:bCs w:val="1"/>
                <w:color w:val="auto"/>
                <w:w w:val="93"/>
              </w:rPr>
              <w:t>Non-</w:t>
            </w: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4"/>
                <w:szCs w:val="14"/>
                <w:color w:val="auto"/>
              </w:rPr>
            </w:pPr>
          </w:p>
        </w:tc>
        <w:tc>
          <w:tcPr>
            <w:tcW w:w="10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4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4"/>
                <w:szCs w:val="14"/>
                <w:color w:val="auto"/>
              </w:rPr>
            </w:pPr>
          </w:p>
        </w:tc>
        <w:tc>
          <w:tcPr>
            <w:tcW w:w="10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180" w:type="dxa"/>
            <w:vAlign w:val="bottom"/>
          </w:tcPr>
          <w:p>
            <w:pPr>
              <w:spacing w:after="0"/>
              <w:rPr>
                <w:sz w:val="14"/>
                <w:szCs w:val="14"/>
                <w:color w:val="auto"/>
              </w:rPr>
            </w:pPr>
          </w:p>
        </w:tc>
        <w:tc>
          <w:tcPr>
            <w:tcW w:w="6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Deficit)</w:t>
            </w: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Interest</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71,111</w:t>
            </w: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line="166" w:lineRule="exact"/>
              <w:rPr>
                <w:sz w:val="20"/>
                <w:szCs w:val="20"/>
                <w:color w:val="auto"/>
              </w:rPr>
            </w:pPr>
            <w:r>
              <w:rPr>
                <w:rFonts w:ascii="Arial" w:cs="Arial" w:eastAsia="Arial" w:hAnsi="Arial"/>
                <w:sz w:val="16"/>
                <w:szCs w:val="16"/>
                <w:color w:val="auto"/>
                <w:w w:val="98"/>
              </w:rPr>
              <w:t>Net income attributable to The Pennant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2,980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880" w:type="dxa"/>
            <w:vAlign w:val="bottom"/>
          </w:tcPr>
          <w:p>
            <w:pPr>
              <w:jc w:val="right"/>
              <w:spacing w:after="0"/>
              <w:rPr>
                <w:sz w:val="20"/>
                <w:szCs w:val="20"/>
                <w:color w:val="auto"/>
              </w:rPr>
            </w:pPr>
            <w:r>
              <w:rPr>
                <w:rFonts w:ascii="Arial" w:cs="Arial" w:eastAsia="Arial" w:hAnsi="Arial"/>
                <w:sz w:val="16"/>
                <w:szCs w:val="16"/>
                <w:color w:val="auto"/>
              </w:rPr>
              <w:t>28,476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76,976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76,185</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78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Net income attributable to The Pennant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4,337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4,337</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Shares of common stock withheld to</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0E32E1"/>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0E32E1"/>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0E32E1"/>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satisfy tax withholding obligations</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880" w:type="dxa"/>
            <w:vAlign w:val="bottom"/>
          </w:tcPr>
          <w:p>
            <w:pPr>
              <w:jc w:val="right"/>
              <w:spacing w:after="0"/>
              <w:rPr>
                <w:sz w:val="20"/>
                <w:szCs w:val="20"/>
                <w:color w:val="auto"/>
              </w:rPr>
            </w:pPr>
            <w:r>
              <w:rPr>
                <w:rFonts w:ascii="Arial" w:cs="Arial" w:eastAsia="Arial" w:hAnsi="Arial"/>
                <w:sz w:val="16"/>
                <w:szCs w:val="16"/>
                <w:color w:val="auto"/>
              </w:rPr>
              <w:t>28,514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79,012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82,501</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78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Net income attributable to The Pennant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4,407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4,407</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2,102</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Shares of common stock withheld to</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satisfy tax withholding obligations</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880" w:type="dxa"/>
            <w:vAlign w:val="bottom"/>
          </w:tcPr>
          <w:p>
            <w:pPr>
              <w:jc w:val="right"/>
              <w:spacing w:after="0"/>
              <w:rPr>
                <w:sz w:val="20"/>
                <w:szCs w:val="20"/>
                <w:color w:val="auto"/>
              </w:rPr>
            </w:pPr>
            <w:r>
              <w:rPr>
                <w:rFonts w:ascii="Arial" w:cs="Arial" w:eastAsia="Arial" w:hAnsi="Arial"/>
                <w:sz w:val="16"/>
                <w:szCs w:val="16"/>
                <w:color w:val="auto"/>
              </w:rPr>
              <w:t>28,585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81,451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7,925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89,339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80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4,503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11,724</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3,434</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6,017</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operating assets and liabilities, net of acquisitions: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(6,708)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(4,201)</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Operating lease obligations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2,177</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Accrued wages and related liabilities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2,199</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accrued liabilities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Contract liabilities (CARES Act advance payments)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(14,638)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27,997</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long-term liabilities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provided by operating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(13,065)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53,087</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Purchase of property and equipment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(7,692)</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for business acquisitions, net of escrow</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(13,550)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(14,093)</w:t>
            </w: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Escrow deposits</w:t>
            </w:r>
          </w:p>
        </w:tc>
        <w:tc>
          <w:tcPr>
            <w:tcW w:w="9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(5,287)</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206"/>
        </w:trPr>
        <w:tc>
          <w:tcPr>
            <w:tcW w:w="80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(18,066)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(27,578)</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Proceeds from Revolving Credit Facility</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28,500</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Revolving Credit Facility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(61,500)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(46,500)</w:t>
            </w: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Repurchase of shares of common stock to satisfy tax withholding obligations</w:t>
            </w:r>
          </w:p>
        </w:tc>
        <w:tc>
          <w:tcPr>
            <w:tcW w:w="9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deferred financing costs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Issuance of common stock upon the exercise of options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r>
      <w:tr>
        <w:trPr>
          <w:trHeight w:val="213"/>
        </w:trPr>
        <w:tc>
          <w:tcPr>
            <w:tcW w:w="8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34,795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(17,591)</w:t>
            </w:r>
          </w:p>
        </w:tc>
      </w:tr>
      <w:tr>
        <w:trPr>
          <w:trHeight w:val="206"/>
        </w:trPr>
        <w:tc>
          <w:tcPr>
            <w:tcW w:w="8060" w:type="dxa"/>
            <w:vAlign w:val="bottom"/>
          </w:tcPr>
          <w:p>
            <w:pPr>
              <w:ind w:left="20"/>
              <w:spacing w:after="0"/>
              <w:rPr>
                <w:sz w:val="20"/>
                <w:szCs w:val="20"/>
                <w:color w:val="auto"/>
              </w:rPr>
            </w:pPr>
            <w:r>
              <w:rPr>
                <w:rFonts w:ascii="Arial" w:cs="Arial" w:eastAsia="Arial" w:hAnsi="Arial"/>
                <w:sz w:val="16"/>
                <w:szCs w:val="16"/>
                <w:color w:val="auto"/>
              </w:rPr>
              <w:t>Net increase in cash</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3,664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7,918</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end of period</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8,320</w:t>
            </w:r>
          </w:p>
        </w:tc>
      </w:tr>
      <w:tr>
        <w:trPr>
          <w:trHeight w:val="20"/>
        </w:trPr>
        <w:tc>
          <w:tcPr>
            <w:tcW w:w="8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Cash paid during the period for:</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tcPr>
          <w:p>
            <w:pPr>
              <w:ind w:left="240"/>
              <w:spacing w:after="0"/>
              <w:rPr>
                <w:sz w:val="20"/>
                <w:szCs w:val="20"/>
                <w:color w:val="auto"/>
              </w:rPr>
            </w:pPr>
            <w:r>
              <w:rPr>
                <w:rFonts w:ascii="Arial" w:cs="Arial" w:eastAsia="Arial" w:hAnsi="Arial"/>
                <w:sz w:val="16"/>
                <w:szCs w:val="16"/>
                <w:color w:val="auto"/>
              </w:rPr>
              <w:t>Income taxes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Lease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28,999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tcPr>
          <w:p>
            <w:pPr>
              <w:ind w:left="140"/>
              <w:spacing w:after="0"/>
              <w:rPr>
                <w:sz w:val="20"/>
                <w:szCs w:val="20"/>
                <w:color w:val="auto"/>
              </w:rPr>
            </w:pPr>
            <w:r>
              <w:rPr>
                <w:rFonts w:ascii="Arial" w:cs="Arial" w:eastAsia="Arial" w:hAnsi="Arial"/>
                <w:sz w:val="16"/>
                <w:szCs w:val="16"/>
                <w:color w:val="auto"/>
              </w:rPr>
              <w:t>Right-of-use assets obtained in exchange for new operating lease obligations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non-cash adjustment to right-of-use assets and lease liabilities from lease modifications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Non-cash investing activity: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Capital expenditures in accounts payable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operational senior living units)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5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September 30, 2021, the Company’s subsidiaries operated 88 home health, hospice and home care agencies and 54 senior living communities located in Arizona, California, Colorado, Idaho, Iowa, Montana, Nevada, Oklahoma, Oregon, Texas, Utah, Washington, Wisconsin and Wyoming.</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October 1, 2019, The Ensign Group, Inc. (NASDAQ: ENSG) (“Ensign” or the “Parent”) completed the separation of Pennant (the “Spin-Off”). To accomplish the Spin-Off, Ensign contributed all of its home health and hospice and substantially all of its senior living businesses into Pennant. Each Ensign stockholder received a distribution of one share of Pennant’s common stock for every two shares of Ensign’s common stock, plus cash in lieu of fractional shares. The noncontrolling interest was converted into shares of Pennant at the established conversion ratio. As a result of the Spin-Off on October 1, 2019, Pennant began trading as an independent company on the NASDAQ under the symbol “PNTG.”</w:t>
      </w:r>
    </w:p>
    <w:p>
      <w:pPr>
        <w:spacing w:after="0" w:line="13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Certain of the Company’s subsidiaries, collectively referred to as the Service Center, provide accounting, payroll, human resources, information technology, legal, risk management, and other services to the operations through contractual relationships.</w:t>
      </w:r>
    </w:p>
    <w:p>
      <w:pPr>
        <w:spacing w:after="0" w:line="1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of the Company’s affiliated operations are operated by separate, independent subsidiaries that have their own management, employees and assets. References herein to the consolidated “Company” and “its” assets and activities is not meant to imply, nor should it be construed as meaning, that Pennant has direct operating assets, employees or revenue, or that any of the subsidiaries are operated by Pennant.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5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 accompanying unaudited condensed consolidated financial statements of the Company (the “Interim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Condensed Consolidated Balance Sheet as of December 31, 2020 is derived from the Company’s annual audited Consolidated Financial Statements for the fiscal year ended December 31, 2020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Estimates and Assumptions - </w:t>
      </w:r>
      <w:r>
        <w:rPr>
          <w:rFonts w:ascii="Arial" w:cs="Arial" w:eastAsia="Arial" w:hAnsi="Arial"/>
          <w:sz w:val="17"/>
          <w:szCs w:val="17"/>
          <w:color w:val="auto"/>
        </w:rPr>
        <w:t>The preparation of the Interim Financial Statements in conformity with GAAP requires management to make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revenue, intangible assets and goodwill, right-of-use assets and lease liabilities for leases greater than 12 months, self-insurance reserves, and income taxes. Actual results could differ from those estimates.</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CARES Act</w:t>
      </w:r>
      <w:r>
        <w:rPr>
          <w:rFonts w:ascii="Arial" w:cs="Arial" w:eastAsia="Arial" w:hAnsi="Arial"/>
          <w:sz w:val="18"/>
          <w:szCs w:val="18"/>
          <w:color w:val="auto"/>
        </w:rPr>
        <w:t>: The Coronavirus Aid, Relief, and Economic Security Act (the “CARES Act”) was enacted on March 27, 2020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CARES Act allowed for deferred payment of the employer-paid portion of social security taxes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through the end of 2020, with 50% due on December 31, 2021 and the remainder due on December 31, 2022. As of September 30, 2021, the Company deferred approximately $7,836 of the employer-paid portion of social security taxes, of which $3,918 is included in other long-term liabilities and the current portion of $3,918 in accrued wages and related liabilities. The CARES Act also expanded the Centers for Medicare &amp; Medicaid Services’ (“CMS”) ability to provide accelerated/advance payments intended to increase the cash flow of healthcare providers and suppliers impacted by COVID-19. During the prior year, the Company applied for and received $27,997 in funds under the Accelerated and Advance Payment (“AAP”) Program, of which $14,638 had been recouped as of September 30, 2021. See Note 10, </w:t>
      </w:r>
      <w:r>
        <w:rPr>
          <w:rFonts w:ascii="Arial" w:cs="Arial" w:eastAsia="Arial" w:hAnsi="Arial"/>
          <w:sz w:val="17"/>
          <w:szCs w:val="17"/>
          <w:i w:val="1"/>
          <w:iCs w:val="1"/>
          <w:color w:val="auto"/>
        </w:rPr>
        <w:t>Other Accrued Liabilities</w:t>
      </w:r>
      <w:r>
        <w:rPr>
          <w:rFonts w:ascii="Arial" w:cs="Arial" w:eastAsia="Arial" w:hAnsi="Arial"/>
          <w:sz w:val="17"/>
          <w:szCs w:val="17"/>
          <w:color w:val="auto"/>
        </w:rPr>
        <w:t xml:space="preserve"> for further discussion of the AAP.</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American Rescue Plan Act of 2021 (the “ARP Act”) was enacted on March 11, 2021 in the United States. The ARP Act was designed to assist the country with the effects of the COVID-19 pandemic and included a number of tax components. The ARP Act’s primary tax impact on the Company requires the Company to include the next five highest paid employees to the list of covered officers already subject to the IRC Section 162(m) wage limitation beginning in the 2027 tax year. The Company will continue to assess the effect of the ARP Act and ongoing other government legislation related to the COVID-19 pandemic that may be issued.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Adopted by the Company</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FASB Accounting Standards Update, or ASU, ASU 2021-01 “Reference Rate Reform (Topic 848): Scope” or ASU 2020-4 - </w:t>
      </w:r>
      <w:r>
        <w:rPr>
          <w:rFonts w:ascii="Arial" w:cs="Arial" w:eastAsia="Arial" w:hAnsi="Arial"/>
          <w:sz w:val="16"/>
          <w:szCs w:val="16"/>
          <w:color w:val="auto"/>
        </w:rPr>
        <w:t>On January 7, 2021,</w:t>
      </w:r>
      <w:r>
        <w:rPr>
          <w:rFonts w:ascii="Arial" w:cs="Arial" w:eastAsia="Arial" w:hAnsi="Arial"/>
          <w:sz w:val="16"/>
          <w:szCs w:val="16"/>
          <w:i w:val="1"/>
          <w:iCs w:val="1"/>
          <w:color w:val="auto"/>
        </w:rPr>
        <w:t xml:space="preserve"> </w:t>
      </w:r>
      <w:r>
        <w:rPr>
          <w:rFonts w:ascii="Arial" w:cs="Arial" w:eastAsia="Arial" w:hAnsi="Arial"/>
          <w:sz w:val="16"/>
          <w:szCs w:val="16"/>
          <w:color w:val="auto"/>
        </w:rPr>
        <w:t>the FASB issued ASU 2021-01 to amend the scope of the guidance in ASU 2020-04 “Reference Rate Reform (Topic 848): Facilitation of the Effects of Reference Rate Reform on Financial Reporting” or ASU 2020-4. Specifically, the amendments in ASU 2021-01 clarify that “certain optional expedients and exceptions in Topic 848 for contract modifications and hedge accounting apply to derivatives that are affected by the discounting transition.” The amendment in ASU 2021-1 is available to all entities: (i) on a full retrospective basis as of any date from the beginning of an interim period that includes or is subsequent to March 12, 2020 through the date that the final update to the standard was issued or (ii) on a prospective basis for new contract modifications through December 31, 2022. The Company has adopted ASU 2021-01 on a prospective basis effective as of January 7, 2021. There was no material impact to the Company’s Interim Financial Statements or related disclosures as a result of the adoption of ASU 2021-01.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leases 31 of its senior living communities from subsidiaries of Ensign, and each of the leases have a term of between 14 and 20 years from the lease commencement date. The total amount of rent expense included in Rent - cost of services paid to subsidiaries of Ensign was $3,169 and $9,415 for the three and nine months ended September 30, 2021, respectively, and $3,131 and $9,363 for the three and nine months ended September 30, 2020, respectively.</w:t>
      </w:r>
    </w:p>
    <w:p>
      <w:pPr>
        <w:spacing w:after="0" w:line="21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Company’s subsidiaries received services from Ensign’s subsidiaries. Services included in cost of services were $760 and $2,377 for the three and nine months ended September 30, 2021 and $1,111 and $3,299 for the three and nine months ended September 30, 2020, respectively.</w:t>
      </w:r>
    </w:p>
    <w:p>
      <w:pPr>
        <w:spacing w:after="0" w:line="1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 2019, in connection with the Spin-Off, Pennant entered into several agreements with Ensign that set forth the principal actions taken or to be taken in connection with the Spin-Off and govern the relationship of the parties following the Spin-Off. The Company has incurred costs of $706 and $2,441 for the three and nine months ended September 30, 2021, respectively, and $1,502 and $4,583 for the three and nine months ended September 30, 2020, respectively, which costs related primarily to administrative support under the Transitions Services Agreement with Ensign (the “Transition Services Agreement”), which expired two years from the Spin-Off date.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COMPUTATION OF NET INCOME PER COMMON SHARE</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The following table sets forth the computation of basic and diluted net income per share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1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9"/>
                <w:szCs w:val="19"/>
                <w:color w:val="auto"/>
              </w:rPr>
            </w:pPr>
          </w:p>
        </w:tc>
        <w:tc>
          <w:tcPr>
            <w:tcW w:w="21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4,503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net loss attributable to noncontrolling interests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tcPr>
          <w:p>
            <w:pPr>
              <w:ind w:left="480"/>
              <w:spacing w:after="0"/>
              <w:rPr>
                <w:sz w:val="20"/>
                <w:szCs w:val="20"/>
                <w:color w:val="auto"/>
              </w:rPr>
            </w:pPr>
            <w:r>
              <w:rPr>
                <w:rFonts w:ascii="Arial" w:cs="Arial" w:eastAsia="Arial" w:hAnsi="Arial"/>
                <w:sz w:val="18"/>
                <w:szCs w:val="18"/>
                <w:color w:val="auto"/>
              </w:rPr>
              <w:t>Net income attributable to The Pennant Group, Inc.</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4,845</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for basic net income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27,967</w:t>
            </w:r>
          </w:p>
        </w:tc>
        <w:tc>
          <w:tcPr>
            <w:tcW w:w="0" w:type="dxa"/>
            <w:vAlign w:val="bottom"/>
          </w:tcPr>
          <w:p>
            <w:pPr>
              <w:spacing w:after="0"/>
              <w:rPr>
                <w:sz w:val="1"/>
                <w:szCs w:val="1"/>
                <w:color w:val="auto"/>
              </w:rPr>
            </w:pPr>
          </w:p>
        </w:tc>
      </w:tr>
      <w:tr>
        <w:trPr>
          <w:trHeight w:val="176"/>
        </w:trPr>
        <w:tc>
          <w:tcPr>
            <w:tcW w:w="6260" w:type="dxa"/>
            <w:vAlign w:val="bottom"/>
          </w:tcPr>
          <w:p>
            <w:pPr>
              <w:ind w:left="140"/>
              <w:spacing w:after="0" w:line="176" w:lineRule="exact"/>
              <w:rPr>
                <w:sz w:val="20"/>
                <w:szCs w:val="20"/>
                <w:color w:val="auto"/>
              </w:rPr>
            </w:pPr>
            <w:r>
              <w:rPr>
                <w:rFonts w:ascii="Arial" w:cs="Arial" w:eastAsia="Arial" w:hAnsi="Arial"/>
                <w:sz w:val="18"/>
                <w:szCs w:val="18"/>
                <w:color w:val="auto"/>
                <w:w w:val="90"/>
              </w:rPr>
              <w:t>Plus: assumed incremental shares from exercise of options and assumed conversion</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2,112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2,355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or vesting of restricted stock</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260" w:type="dxa"/>
            <w:vAlign w:val="bottom"/>
            <w:shd w:val="clear" w:color="auto" w:fill="CCEEFF"/>
          </w:tcPr>
          <w:p>
            <w:pPr>
              <w:ind w:left="460"/>
              <w:spacing w:after="0" w:line="156" w:lineRule="exact"/>
              <w:rPr>
                <w:sz w:val="20"/>
                <w:szCs w:val="20"/>
                <w:color w:val="auto"/>
              </w:rPr>
            </w:pPr>
            <w:r>
              <w:rPr>
                <w:rFonts w:ascii="Arial" w:cs="Arial" w:eastAsia="Arial" w:hAnsi="Arial"/>
                <w:sz w:val="18"/>
                <w:szCs w:val="18"/>
                <w:color w:val="auto"/>
                <w:w w:val="92"/>
              </w:rPr>
              <w:t>Adjusted weighted average common shares outstanding for diluted income per</w:t>
            </w: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30,556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30,243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30,719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29,955</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w:t>
            </w: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140"/>
              <w:spacing w:after="0"/>
              <w:rPr>
                <w:sz w:val="20"/>
                <w:szCs w:val="20"/>
                <w:color w:val="auto"/>
              </w:rPr>
            </w:pPr>
            <w:r>
              <w:rPr>
                <w:rFonts w:ascii="Arial" w:cs="Arial" w:eastAsia="Arial" w:hAnsi="Arial"/>
                <w:sz w:val="18"/>
                <w:szCs w:val="18"/>
                <w:color w:val="auto"/>
              </w:rPr>
              <w:t>Basic net income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net income per common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left="480" w:right="20" w:hanging="454"/>
        <w:spacing w:after="0" w:line="243" w:lineRule="auto"/>
        <w:tabs>
          <w:tab w:leader="none" w:pos="480" w:val="left"/>
        </w:tabs>
        <w:numPr>
          <w:ilvl w:val="1"/>
          <w:numId w:val="4"/>
        </w:numPr>
        <w:rPr>
          <w:rFonts w:ascii="Arial" w:cs="Arial" w:eastAsia="Arial" w:hAnsi="Arial"/>
          <w:sz w:val="13"/>
          <w:szCs w:val="13"/>
          <w:color w:val="auto"/>
        </w:rPr>
      </w:pPr>
      <w:r>
        <w:rPr>
          <w:rFonts w:ascii="Arial" w:cs="Arial" w:eastAsia="Arial" w:hAnsi="Arial"/>
          <w:sz w:val="13"/>
          <w:szCs w:val="13"/>
          <w:color w:val="auto"/>
        </w:rPr>
        <w:t>The calculation of dilutive shares outstanding excludes out-of-the-money stock options (i.e., such options’ exercise prices were greater than the average market price of our common shares for the period) because their inclusion would have been antidilutive. Options outstanding which are anti-dilutive and therefore not factored into the weighted average common shares amount above were 815 and 437 for the three and nine months ended September 30, 2021 and 224 and 45 for the three and nine months ended September 30, 2020.</w:t>
      </w:r>
    </w:p>
    <w:p>
      <w:pPr>
        <w:spacing w:after="0" w:line="369" w:lineRule="exact"/>
        <w:rPr>
          <w:rFonts w:ascii="Arial" w:cs="Arial" w:eastAsia="Arial" w:hAnsi="Arial"/>
          <w:sz w:val="13"/>
          <w:szCs w:val="13"/>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ACCOUNTS RECEIVABLE</w:t>
      </w:r>
    </w:p>
    <w:p>
      <w:pPr>
        <w:spacing w:after="0" w:line="40" w:lineRule="exact"/>
        <w:rPr>
          <w:sz w:val="20"/>
          <w:szCs w:val="20"/>
          <w:color w:val="auto"/>
        </w:rPr>
      </w:pPr>
    </w:p>
    <w:p>
      <w:pPr>
        <w:ind w:right="40" w:firstLine="648"/>
        <w:spacing w:after="0" w:line="239" w:lineRule="auto"/>
        <w:rPr>
          <w:sz w:val="20"/>
          <w:szCs w:val="20"/>
          <w:color w:val="auto"/>
        </w:rPr>
      </w:pPr>
      <w:r>
        <w:rPr>
          <w:rFonts w:ascii="Arial" w:cs="Arial" w:eastAsia="Arial" w:hAnsi="Arial"/>
          <w:sz w:val="17"/>
          <w:szCs w:val="17"/>
          <w:color w:val="auto"/>
        </w:rPr>
        <w:t>Revenue is recognized when services are provided to the patients at the amount that reflects the consideration to which the Company expects to be entitled from patients and third-party payors, including Medicaid, Medicare and managed care programs (Commercial, Medicare Advantage and Managed Medicaid plans), in exchange for providing patient care.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spacing w:after="0" w:line="2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from the Medicare and Medicaid programs accounted for 62.2% and 62.6% of the Company’s revenue, for the three and nine months ended September 30, 2021, and 60.4% and 59.3% for the three and nine months ended September 30, 2020, respectively. The Company records revenue from these governmental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disaggregates revenue from contracts with its patients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service specific revenue recognition policies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Health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Revenue</w:t>
      </w:r>
    </w:p>
    <w:p>
      <w:pPr>
        <w:spacing w:after="0" w:line="25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For Medicare episodes that began after January 1, 2020, net service revenue is recognized in accordance with the Patient Driven Groupings Model (“PDGM”). This new reimbursement structure involves case mix calculation methodology refinements, changes to low-utilization payment adjustment (“LUPA”) thresholds, the elimination of therapy thresholds, a change to the unit of payment from a 60-day episode to a 30-day payment period, and reduction of requests for anticipated payments (“RAPs”) to 20% of the estimated payment for a patient’s initial or subsequent period of care up-front (after the initial assessment is completed and upon initial billing). The RAPs were phased out effective January 1, 2021.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LUPA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w:t>
      </w:r>
    </w:p>
    <w:p>
      <w:pPr>
        <w:spacing w:after="0" w:line="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to the acuity of the patient during the previous 30-day payment period; (f) changes in the base payments established by the Medicare program;</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adjustments to the base payments for case mix and geographic wages; and (h) recoveries of overpayments.</w:t>
      </w:r>
    </w:p>
    <w:p>
      <w:pPr>
        <w:spacing w:after="0" w:line="23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For all episodes that began prior to January 1, 2020, net service revenue was recorded under the Medicare prospective payment system based on a 60-day episode payment rate that is subject to adjustment based on certain variables including, but not limited to: (a) an outlier payment if the patient’s care was unusually costly; (b) a LUPA if the number of visits was fewer than five; (c) a partial payment if the patient transferred to another provider or transferred from another provider before completing the episode; (d) a payment adjustment based upon the level of covered therapy services; (e) the number of episodes of care provided to a patient, regardless of whether the same home health provider provided care for the entire series of episodes;</w:t>
      </w:r>
    </w:p>
    <w:p>
      <w:pPr>
        <w:spacing w:after="0" w:line="2" w:lineRule="exact"/>
        <w:rPr>
          <w:sz w:val="20"/>
          <w:szCs w:val="20"/>
          <w:color w:val="auto"/>
        </w:rPr>
      </w:pPr>
    </w:p>
    <w:p>
      <w:pPr>
        <w:ind w:firstLine="8"/>
        <w:spacing w:after="0" w:line="260" w:lineRule="auto"/>
        <w:tabs>
          <w:tab w:leader="none" w:pos="231"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base episode payments established by the Medicare program; (g) adjustments to the base episode payments for case mix and geographic wages; and (h) recoveries of overpayments.</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revenue recognized on completed episodes and periods, the Company also recognizes a portion of revenue associated with episodes and periods in progress. Episodes in progress are 30-day payment periods, if the episode started after January 1, 2020, or 60-day episodes of care, if the episode started prior to January 1, 2020,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Non-Medicare Revenue</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Episodic Based Revenue - </w:t>
      </w:r>
      <w:r>
        <w:rPr>
          <w:rFonts w:ascii="Arial" w:cs="Arial" w:eastAsia="Arial" w:hAnsi="Arial"/>
          <w:sz w:val="17"/>
          <w:szCs w:val="17"/>
          <w:color w:val="auto"/>
        </w:rPr>
        <w:t>The Company recognizes revenue in a similar manner as it recognizes Medicare revenue for episodic-based rates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paid by other insurance carriers, including Medicare Advantage programs. These rates can vary based upon the negotiated terms.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Non-episodic Based Revenue - </w:t>
      </w:r>
      <w:r>
        <w:rPr>
          <w:rFonts w:ascii="Arial" w:cs="Arial" w:eastAsia="Arial" w:hAnsi="Arial"/>
          <w:sz w:val="18"/>
          <w:szCs w:val="18"/>
          <w:color w:val="auto"/>
        </w:rPr>
        <w:t>Revenue is recognized on an accrual basis based upon the date of service at amounts equal to its established or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per visit rates, as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Hospice Revenue</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Living Revenue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has elected the lessor practical expedient within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for its senior residency agreements, for which it has determined that the non-lease components of such residency agreements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component of each such contract.</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senior living revenue consists of fees for basic housing and assisted living care. Accordingly, the Company records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Payor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payor for the three months ended September 30, 2021 and 2020,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8"/>
          </w:tcPr>
          <w:p>
            <w:pPr>
              <w:ind w:left="940"/>
              <w:spacing w:after="0"/>
              <w:rPr>
                <w:sz w:val="20"/>
                <w:szCs w:val="20"/>
                <w:color w:val="auto"/>
              </w:rPr>
            </w:pPr>
            <w:r>
              <w:rPr>
                <w:rFonts w:ascii="Arial" w:cs="Arial" w:eastAsia="Arial" w:hAnsi="Arial"/>
                <w:sz w:val="18"/>
                <w:szCs w:val="18"/>
                <w:b w:val="1"/>
                <w:bCs w:val="1"/>
                <w:color w:val="auto"/>
              </w:rPr>
              <w:t>Three Months Ended September 30, 2021</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20,227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35,059</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55,286</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3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38,133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69,628</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12,848</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29,445</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111,921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480" w:hanging="454"/>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8"/>
          </w:tcPr>
          <w:p>
            <w:pPr>
              <w:ind w:left="940"/>
              <w:spacing w:after="0"/>
              <w:rPr>
                <w:sz w:val="20"/>
                <w:szCs w:val="20"/>
                <w:color w:val="auto"/>
              </w:rPr>
            </w:pPr>
            <w:r>
              <w:rPr>
                <w:rFonts w:ascii="Arial" w:cs="Arial" w:eastAsia="Arial" w:hAnsi="Arial"/>
                <w:sz w:val="18"/>
                <w:szCs w:val="18"/>
                <w:b w:val="1"/>
                <w:bCs w:val="1"/>
                <w:color w:val="auto"/>
              </w:rPr>
              <w:t>Three Months Ended September 30, 2020</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14"/>
                <w:szCs w:val="14"/>
                <w:color w:val="auto"/>
              </w:rPr>
            </w:pPr>
          </w:p>
        </w:tc>
        <w:tc>
          <w:tcPr>
            <w:tcW w:w="15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1"/>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15,156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30,321</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45,477</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46.2 %</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13,932</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22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33,134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59,409</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30,814</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480" w:hanging="454"/>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payor for the nine months ended September 30, 2021 and 2020,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gridSpan w:val="8"/>
          </w:tcPr>
          <w:p>
            <w:pPr>
              <w:ind w:left="1000"/>
              <w:spacing w:after="0"/>
              <w:rPr>
                <w:sz w:val="20"/>
                <w:szCs w:val="20"/>
                <w:color w:val="auto"/>
              </w:rPr>
            </w:pPr>
            <w:r>
              <w:rPr>
                <w:rFonts w:ascii="Arial" w:cs="Arial" w:eastAsia="Arial" w:hAnsi="Arial"/>
                <w:sz w:val="18"/>
                <w:szCs w:val="18"/>
                <w:b w:val="1"/>
                <w:bCs w:val="1"/>
                <w:color w:val="auto"/>
              </w:rPr>
              <w:t>Nine Months Ended September 30, 2021</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3"/>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40" w:type="dxa"/>
            <w:vAlign w:val="bottom"/>
          </w:tcPr>
          <w:p>
            <w:pPr>
              <w:spacing w:after="0"/>
              <w:rPr>
                <w:sz w:val="14"/>
                <w:szCs w:val="14"/>
                <w:color w:val="auto"/>
              </w:rPr>
            </w:pPr>
          </w:p>
        </w:tc>
        <w:tc>
          <w:tcPr>
            <w:tcW w:w="16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Services</w:t>
            </w:r>
          </w:p>
        </w:tc>
        <w:tc>
          <w:tcPr>
            <w:tcW w:w="14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ind w:left="20"/>
              <w:spacing w:after="0"/>
              <w:rPr>
                <w:sz w:val="20"/>
                <w:szCs w:val="20"/>
                <w:color w:val="auto"/>
              </w:rPr>
            </w:pPr>
            <w:r>
              <w:rPr>
                <w:rFonts w:ascii="Arial" w:cs="Arial" w:eastAsia="Arial" w:hAnsi="Arial"/>
                <w:sz w:val="18"/>
                <w:szCs w:val="18"/>
                <w:color w:val="auto"/>
              </w:rPr>
              <w:t>Medicare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61,055</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101,771</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162,826</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49.7 %</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42,432</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230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67,714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110,278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205,258</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36,827</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85,844</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8"/>
        </w:trPr>
        <w:tc>
          <w:tcPr>
            <w:tcW w:w="2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327,929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8"/>
          </w:tcPr>
          <w:p>
            <w:pPr>
              <w:ind w:left="1000"/>
              <w:spacing w:after="0"/>
              <w:rPr>
                <w:sz w:val="20"/>
                <w:szCs w:val="20"/>
                <w:color w:val="auto"/>
              </w:rPr>
            </w:pPr>
            <w:r>
              <w:rPr>
                <w:rFonts w:ascii="Arial" w:cs="Arial" w:eastAsia="Arial" w:hAnsi="Arial"/>
                <w:sz w:val="18"/>
                <w:szCs w:val="18"/>
                <w:b w:val="1"/>
                <w:bCs w:val="1"/>
                <w:color w:val="auto"/>
              </w:rPr>
              <w:t>Nine Months Ended September 30, 2020</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3"/>
              </w:rPr>
              <w:t>Home Health and Hospice Services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4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20" w:type="dxa"/>
            <w:vAlign w:val="bottom"/>
          </w:tcPr>
          <w:p>
            <w:pPr>
              <w:spacing w:after="0"/>
              <w:rPr>
                <w:sz w:val="14"/>
                <w:szCs w:val="14"/>
                <w:color w:val="auto"/>
              </w:rPr>
            </w:pPr>
          </w:p>
        </w:tc>
        <w:tc>
          <w:tcPr>
            <w:tcW w:w="15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1"/>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Services</w:t>
            </w:r>
          </w:p>
        </w:tc>
        <w:tc>
          <w:tcPr>
            <w:tcW w:w="14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ind w:left="20"/>
              <w:spacing w:after="0"/>
              <w:rPr>
                <w:sz w:val="20"/>
                <w:szCs w:val="20"/>
                <w:color w:val="auto"/>
              </w:rPr>
            </w:pPr>
            <w:r>
              <w:rPr>
                <w:rFonts w:ascii="Arial" w:cs="Arial" w:eastAsia="Arial" w:hAnsi="Arial"/>
                <w:sz w:val="18"/>
                <w:szCs w:val="18"/>
                <w:color w:val="auto"/>
              </w:rPr>
              <w:t>Medicare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39,540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85,551</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125,091</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44.2 %</w:t>
            </w: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42,639</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226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45,031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95,330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27,369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167,730</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2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92,307</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8"/>
        </w:trPr>
        <w:tc>
          <w:tcPr>
            <w:tcW w:w="2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282,986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Impact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As of September 30, 2021, the Company had contract liabilities in the amount of $13,359 related to Advance Payments received in connection with the CARES Act reported in other current liabilities. As further discussed in Note 10,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the repayment terms for Medicare advance payments were modified through the passage of the Continuing Appropriations Act,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Extensions Act on October 1,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as of September 30, 2021 and December 31, 2020 is summarized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 2021</w:t>
            </w:r>
          </w:p>
        </w:tc>
        <w:tc>
          <w:tcPr>
            <w:tcW w:w="300" w:type="dxa"/>
            <w:vAlign w:val="bottom"/>
          </w:tcPr>
          <w:p>
            <w:pPr>
              <w:spacing w:after="0"/>
              <w:rPr>
                <w:sz w:val="20"/>
                <w:szCs w:val="20"/>
                <w:color w:val="auto"/>
              </w:rPr>
            </w:pPr>
          </w:p>
        </w:tc>
        <w:tc>
          <w:tcPr>
            <w:tcW w:w="212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December 31, 2020</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28,569</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Medicaid</w:t>
            </w:r>
          </w:p>
        </w:tc>
        <w:tc>
          <w:tcPr>
            <w:tcW w:w="2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9,655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7,669</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 and other</w:t>
            </w: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4,036</w:t>
            </w:r>
          </w:p>
        </w:tc>
      </w:tr>
      <w:tr>
        <w:trPr>
          <w:trHeight w:val="223"/>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gross</w:t>
            </w:r>
          </w:p>
        </w:tc>
        <w:tc>
          <w:tcPr>
            <w:tcW w:w="2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47,864</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r>
      <w:tr>
        <w:trPr>
          <w:trHeight w:val="248"/>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340, </w:t>
      </w:r>
      <w:r>
        <w:rPr>
          <w:rFonts w:ascii="Arial" w:cs="Arial" w:eastAsia="Arial" w:hAnsi="Arial"/>
          <w:sz w:val="16"/>
          <w:szCs w:val="16"/>
          <w:i w:val="1"/>
          <w:iCs w:val="1"/>
          <w:color w:val="auto"/>
        </w:rPr>
        <w:t>Other Assets and Deferred Costs</w:t>
      </w:r>
      <w:r>
        <w:rPr>
          <w:rFonts w:ascii="Arial" w:cs="Arial" w:eastAsia="Arial" w:hAnsi="Arial"/>
          <w:sz w:val="16"/>
          <w:szCs w:val="16"/>
          <w:color w:val="auto"/>
        </w:rPr>
        <w:t xml:space="preserve"> (“ASC 340”), and all incremental customer contract acquisition costs are expensed as they are incurred because the amortization period would have been one year or less.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5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Our Chief Executive Officer, who is our Chief Operating Decision Maker (“CODM”), reviews financial information at the operating segment level. We also report an “all other” category that includes general and administrative expense from our Service Center.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2021, the Company provided services through 88 affiliated home health, hospice and home care agencies, and 54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CODM uses Segment Adjusted EBITDAR from Operations as the primary measure of profit and loss for the Company's reportable segments and to compare the performance of its operations with those of its competitors. 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(4) redundant and nonrecurring costs associated with the Transition Services Agreement, and (5) net loss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following tables present certain financial information regarding our reportable segments, general and administrative expenses are not allocated to the reportable segments and are included in “All Other” for the three and nine months ended September 30, 2021 and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Senior Living</w:t>
            </w:r>
          </w:p>
        </w:tc>
        <w:tc>
          <w:tcPr>
            <w:tcW w:w="240" w:type="dxa"/>
            <w:vAlign w:val="bottom"/>
          </w:tcPr>
          <w:p>
            <w:pPr>
              <w:spacing w:after="0"/>
              <w:rPr>
                <w:sz w:val="17"/>
                <w:szCs w:val="17"/>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99"/>
              </w:rPr>
              <w:t>Hospice Services</w:t>
            </w: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2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2021</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79,003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32,918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111,921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September 30, 2020</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98,397</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13,530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11,684</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(6,857)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18,357</w:t>
            </w:r>
          </w:p>
        </w:tc>
        <w:tc>
          <w:tcPr>
            <w:tcW w:w="0" w:type="dxa"/>
            <w:vAlign w:val="bottom"/>
          </w:tcPr>
          <w:p>
            <w:pPr>
              <w:spacing w:after="0"/>
              <w:rPr>
                <w:sz w:val="1"/>
                <w:szCs w:val="1"/>
                <w:color w:val="auto"/>
              </w:rPr>
            </w:pPr>
          </w:p>
        </w:tc>
      </w:tr>
    </w:tbl>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Senior Living</w:t>
            </w:r>
          </w:p>
        </w:tc>
        <w:tc>
          <w:tcPr>
            <w:tcW w:w="240" w:type="dxa"/>
            <w:vAlign w:val="bottom"/>
          </w:tcPr>
          <w:p>
            <w:pPr>
              <w:spacing w:after="0"/>
              <w:rPr>
                <w:sz w:val="17"/>
                <w:szCs w:val="17"/>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Hospice Services</w:t>
            </w: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2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2021</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231,715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96,214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327,929</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51,574</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 2020</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282,986</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34,681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37,673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(15,638)</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56,716</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following table provides a reconciliation of Segment Adjusted EBITDAR from Operations to income from operations: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27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Three Months Ended September</w:t>
            </w:r>
          </w:p>
        </w:tc>
        <w:tc>
          <w:tcPr>
            <w:tcW w:w="260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Nine Months Ended September</w:t>
            </w:r>
          </w:p>
        </w:tc>
      </w:tr>
      <w:tr>
        <w:trPr>
          <w:trHeight w:val="230"/>
        </w:trPr>
        <w:tc>
          <w:tcPr>
            <w:tcW w:w="5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87"/>
              </w:rPr>
              <w:t>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18,357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51,574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56,716</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r>
      <w:tr>
        <w:trPr>
          <w:trHeight w:val="230"/>
        </w:trPr>
        <w:tc>
          <w:tcPr>
            <w:tcW w:w="5940" w:type="dxa"/>
            <w:vAlign w:val="bottom"/>
          </w:tcPr>
          <w:p>
            <w:pPr>
              <w:ind w:left="480"/>
              <w:spacing w:after="0"/>
              <w:rPr>
                <w:sz w:val="20"/>
                <w:szCs w:val="20"/>
                <w:color w:val="auto"/>
              </w:rPr>
            </w:pPr>
            <w:r>
              <w:rPr>
                <w:rFonts w:ascii="Arial" w:cs="Arial" w:eastAsia="Arial" w:hAnsi="Arial"/>
                <w:sz w:val="18"/>
                <w:szCs w:val="18"/>
                <w:color w:val="auto"/>
              </w:rPr>
              <w:t>Rent—cost of services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10,334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29,194</w:t>
            </w:r>
          </w:p>
        </w:tc>
      </w:tr>
      <w:tr>
        <w:trPr>
          <w:trHeight w:val="229"/>
        </w:trPr>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Adjustments to Segment EBITDAR from Operations: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Less: Costs at start-up operations</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r>
      <w:tr>
        <w:trPr>
          <w:trHeight w:val="230"/>
        </w:trPr>
        <w:tc>
          <w:tcPr>
            <w:tcW w:w="5940" w:type="dxa"/>
            <w:vAlign w:val="bottom"/>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(b)</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6,017</w:t>
            </w:r>
          </w:p>
        </w:tc>
      </w:tr>
      <w:tr>
        <w:trPr>
          <w:trHeight w:val="229"/>
        </w:trPr>
        <w:tc>
          <w:tcPr>
            <w:tcW w:w="59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(c)</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46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(d)</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30"/>
        </w:trPr>
        <w:tc>
          <w:tcPr>
            <w:tcW w:w="59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Net COVID-19 related costs</w:t>
            </w:r>
            <w:r>
              <w:rPr>
                <w:rFonts w:ascii="Arial" w:cs="Arial" w:eastAsia="Arial" w:hAnsi="Arial"/>
                <w:sz w:val="23"/>
                <w:szCs w:val="23"/>
                <w:color w:val="auto"/>
                <w:vertAlign w:val="superscript"/>
              </w:rPr>
              <w:t>(e)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Add: Net loss attributable to noncontrolling interest</w:t>
            </w: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Condensed Consolidated Income from Operations</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 related costs related to business combinations during the periods.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57" w:lineRule="exact"/>
        <w:rPr>
          <w:sz w:val="20"/>
          <w:szCs w:val="20"/>
          <w:color w:val="auto"/>
        </w:rPr>
      </w:pPr>
    </w:p>
    <w:p>
      <w:pPr>
        <w:jc w:val="both"/>
        <w:ind w:left="480" w:right="340" w:hanging="323"/>
        <w:spacing w:after="0" w:line="212" w:lineRule="auto"/>
        <w:rPr>
          <w:sz w:val="20"/>
          <w:szCs w:val="20"/>
          <w:color w:val="auto"/>
        </w:rPr>
      </w:pPr>
      <w:r>
        <w:rPr>
          <w:rFonts w:ascii="Arial" w:cs="Arial" w:eastAsia="Arial" w:hAnsi="Arial"/>
          <w:sz w:val="14"/>
          <w:szCs w:val="14"/>
          <w:color w:val="auto"/>
        </w:rPr>
        <w:t>A portion of the costs incurred under the Transition Services Agreement identified as redundant or nonrecurring that are included in general and administrative expense. Fees incurred under the Transition Services Agreement, net of the Company’s payroll reimbursement, were $706 and $2,441 for the three and nine months ended September 30, 2021, and $1,502 and $4,583 for the three and nine months ended September 30, 2020, respectively. During the fourth quarter of fiscal 2020, we updated our Transition service costs adjustment to include duplicate software costs. The prior year transition service costs adjustment has been recast to reflect the change. The adjustment to the prior year transition service costs was $113 and $333 for the duplicative software costs for the three and nine months ended September 30, 2020 that were included in the 2020 full year amount in the Company’s as filed Form 10-K.</w:t>
      </w:r>
    </w:p>
    <w:p>
      <w:pPr>
        <w:spacing w:after="0" w:line="11" w:lineRule="exact"/>
        <w:rPr>
          <w:sz w:val="20"/>
          <w:szCs w:val="20"/>
          <w:color w:val="auto"/>
        </w:rPr>
      </w:pPr>
    </w:p>
    <w:p>
      <w:pPr>
        <w:jc w:val="both"/>
        <w:ind w:left="480" w:right="340" w:hanging="323"/>
        <w:spacing w:after="0" w:line="243" w:lineRule="auto"/>
        <w:rPr>
          <w:sz w:val="20"/>
          <w:szCs w:val="20"/>
          <w:color w:val="auto"/>
        </w:rPr>
      </w:pPr>
      <w:r>
        <w:rPr>
          <w:rFonts w:ascii="Arial" w:cs="Arial" w:eastAsia="Arial" w:hAnsi="Arial"/>
          <w:sz w:val="13"/>
          <w:szCs w:val="13"/>
          <w:color w:val="auto"/>
        </w:rPr>
        <w:t>Beginning in the first quarter of fiscal year 2021, we updated our definition of Segment Adjusted EBITDAR to no longer include an adjustment for COVID-19 expenses offset by the amount of sequestration relief. COVID-19 expenses continue to be part of daily operations for which less specific identification is visible. Furthermore, the sequestration relief has been extended through December 31, 2021. Sequestration relief was $867 and $2,685 for the three and nine months ended September 30, 2021, respectively.</w:t>
      </w:r>
    </w:p>
    <w:p>
      <w:pPr>
        <w:spacing w:after="0" w:line="194" w:lineRule="exact"/>
        <w:rPr>
          <w:sz w:val="20"/>
          <w:szCs w:val="20"/>
          <w:color w:val="auto"/>
        </w:rPr>
      </w:pPr>
    </w:p>
    <w:p>
      <w:pPr>
        <w:jc w:val="both"/>
        <w:ind w:left="480" w:right="340" w:hanging="323"/>
        <w:spacing w:after="0" w:line="224" w:lineRule="auto"/>
        <w:rPr>
          <w:sz w:val="20"/>
          <w:szCs w:val="20"/>
          <w:color w:val="auto"/>
        </w:rPr>
      </w:pPr>
      <w:r>
        <w:rPr>
          <w:rFonts w:ascii="Arial" w:cs="Arial" w:eastAsia="Arial" w:hAnsi="Arial"/>
          <w:sz w:val="14"/>
          <w:szCs w:val="14"/>
          <w:color w:val="auto"/>
        </w:rPr>
        <w:t>The 2020 amounts represent incremental costs incurred as part of the Company's response to COVID-19 including direct medical supplies, labor, and other expenses, net of $1,121 and $1,675 in increased revenue related to the 2% payment increase in Medicare reimbursements for sequestration relief for the three and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5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nine months ended September 30, 2021, the Company expanded its operations with the addition of five home health, four hospice and two home care agencies. The aggregate purchase price for these acquisitions was $14,135. A subsidiary of the Company entered into a separate operations transfer agreement with the prior operator of each acquired operation as part of each transaction.</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fair value of assets for home health, hospice and home care acquisitions was mostly concentrated in goodwill and intangible assets and as such, these transactions were classified as business combinations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The purchase price for the business combinations was $13,550, which consisted of equipment and other assets of $72, goodwill of $7,341, and indefinite-lived intangible assets of $6,137 related to Medicare and Medicaid licenses. The Company anticipates that the total goodwill recognized will be fully deductible for tax purposes. There were no material acquisition costs that were expensed related to the business combinations during the nine months ended September 30, 2021.</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Two of the hospice agencies were acquired Medicare licenses and are considered asset acquisitions. The fair value of assets for the hospice licenses acquired totaled $585 and was allocated to indefinite-lived intangible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During the nine months ended September 30, 2020, the Company expanded its operations with the addition of four home health agency, five hospice agencies, and two senior living communities. The aggregate purchase price for these acquisitions was $14,493. In connection with the addition of the senior living communities, the Company entered into new long-term “triple-net” leases with subsidiaries of Ensign. The addition of these operations added a total of 164 operational senior living units to be operated by the Company’s independent operating subsidiaries. A subsidiary of the Company entered into a separate operations transfer agreement with the prior operator of each acquired operation as part of each transaction.</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fair value of assets for all home health, hospice and home care acquisitions was concentrated in goodwill and as such, these transactions were classified as business combinations in accordance with ASC 805. The purchase price for the business combinations was $14,493, which mostly consisted of equipment of $78, goodwill of $7,860, indefinite-lived intangible assets of $6,636 related to Medicare and Medicaid licenses, net of assumed liabilities of $81. The majority of total goodwill recognized is fully deductible for tax purposes. There were no acquisition costs that were expensed related to the business combinations of home health, hospice, and home care during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8. PROPERTY AND EQUIPMENT—NET</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57"/>
        </w:trPr>
        <w:tc>
          <w:tcPr>
            <w:tcW w:w="7180" w:type="dxa"/>
            <w:vAlign w:val="bottom"/>
          </w:tcPr>
          <w:p>
            <w:pPr>
              <w:ind w:left="660"/>
              <w:spacing w:after="0"/>
              <w:rPr>
                <w:sz w:val="20"/>
                <w:szCs w:val="20"/>
                <w:color w:val="auto"/>
              </w:rPr>
            </w:pPr>
            <w:r>
              <w:rPr>
                <w:rFonts w:ascii="Arial" w:cs="Arial" w:eastAsia="Arial" w:hAnsi="Arial"/>
                <w:sz w:val="18"/>
                <w:szCs w:val="18"/>
                <w:color w:val="auto"/>
              </w:rPr>
              <w:t>Property and equipment, net consist of the following:</w:t>
            </w:r>
          </w:p>
        </w:tc>
        <w:tc>
          <w:tcPr>
            <w:tcW w:w="1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56"/>
        </w:trPr>
        <w:tc>
          <w:tcPr>
            <w:tcW w:w="7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9,984</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22,420</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r>
      <w:tr>
        <w:trPr>
          <w:trHeight w:val="223"/>
        </w:trPr>
        <w:tc>
          <w:tcPr>
            <w:tcW w:w="7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33,590</w:t>
            </w:r>
          </w:p>
        </w:tc>
      </w:tr>
      <w:tr>
        <w:trPr>
          <w:trHeight w:val="230"/>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(15,706)</w:t>
            </w:r>
          </w:p>
        </w:tc>
      </w:tr>
      <w:tr>
        <w:trPr>
          <w:trHeight w:val="248"/>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expense was $1,189 and $3,527 for the three and nine months ended September 30, 2021, respectively, and $1,209 and $3,424 for the three and nine months ended September 30, 2020, respectively.</w:t>
      </w:r>
    </w:p>
    <w:p>
      <w:pPr>
        <w:spacing w:after="0" w:line="19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Company measures certain assets at fair value on a non-recurring basis, including long-lived assets, which are evaluated for impairment. Long-lived assets include assets such as property and equipment, operating lease assets and certain intangible assets. The inputs used to determine the fair value of long-lived assets and a reporting unit are considered Level 3 measurements due to their subjective nature. Management has evaluated its long-lived assets and determined there was no impairment during the three and nine months ended September 30, 2021 and 2020.</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INDEFINITE-LIVED INTANGIBLE ASSETS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activity in goodwill by segment for the nine months ended September 30,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Home Health and</w:t>
            </w:r>
          </w:p>
        </w:tc>
        <w:tc>
          <w:tcPr>
            <w:tcW w:w="200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89"/>
              </w:rPr>
              <w:t>Senior Living Services</w:t>
            </w:r>
          </w:p>
        </w:tc>
        <w:tc>
          <w:tcPr>
            <w:tcW w:w="180" w:type="dxa"/>
            <w:vAlign w:val="bottom"/>
          </w:tcPr>
          <w:p>
            <w:pPr>
              <w:spacing w:after="0"/>
              <w:rPr>
                <w:sz w:val="18"/>
                <w:szCs w:val="18"/>
                <w:color w:val="auto"/>
              </w:rPr>
            </w:pPr>
          </w:p>
        </w:tc>
        <w:tc>
          <w:tcPr>
            <w:tcW w:w="176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5"/>
              </w:rPr>
              <w:t>Hospice Services</w:t>
            </w:r>
          </w:p>
        </w:tc>
        <w:tc>
          <w:tcPr>
            <w:tcW w:w="200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66,444</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September 30, 2021</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73,785</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660"/>
              <w:spacing w:after="0"/>
              <w:rPr>
                <w:sz w:val="20"/>
                <w:szCs w:val="20"/>
                <w:color w:val="auto"/>
              </w:rPr>
            </w:pPr>
            <w:r>
              <w:rPr>
                <w:rFonts w:ascii="Arial" w:cs="Arial" w:eastAsia="Arial" w:hAnsi="Arial"/>
                <w:sz w:val="18"/>
                <w:szCs w:val="18"/>
                <w:color w:val="auto"/>
                <w:w w:val="92"/>
              </w:rPr>
              <w:t>Other indefinite-lived intangible assets consist of the following:</w:t>
            </w: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 2021</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 and Medicaid licenses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46,133</w:t>
            </w:r>
          </w:p>
        </w:tc>
        <w:tc>
          <w:tcPr>
            <w:tcW w:w="0" w:type="dxa"/>
            <w:vAlign w:val="bottom"/>
          </w:tcPr>
          <w:p>
            <w:pPr>
              <w:spacing w:after="0"/>
              <w:rPr>
                <w:sz w:val="1"/>
                <w:szCs w:val="1"/>
                <w:color w:val="auto"/>
              </w:rPr>
            </w:pPr>
          </w:p>
        </w:tc>
      </w:tr>
      <w:tr>
        <w:trPr>
          <w:trHeight w:val="223"/>
        </w:trPr>
        <w:tc>
          <w:tcPr>
            <w:tcW w:w="526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2021, we evaluated potential triggering events that might be indicators that our goodwill and indefinite lived intangibles were impaired. The Company concluded that the current economic and business conditions did not result in a triggering event requiring a quantitative goodwill or intangible asset impairment analysis. No goodwill or intangible asset impairments were recorded during the three and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ACCRUED LIABILITIES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660"/>
              <w:spacing w:after="0"/>
              <w:rPr>
                <w:sz w:val="20"/>
                <w:szCs w:val="20"/>
                <w:color w:val="auto"/>
              </w:rPr>
            </w:pPr>
            <w:r>
              <w:rPr>
                <w:rFonts w:ascii="Arial" w:cs="Arial" w:eastAsia="Arial" w:hAnsi="Arial"/>
                <w:sz w:val="18"/>
                <w:szCs w:val="18"/>
                <w:color w:val="auto"/>
              </w:rPr>
              <w:t>Other accrued liabilities consist of the following:</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9"/>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2021</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2020</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Refunds payable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2,786</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2,664</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Contract Liabilities (CARES Act advance payments)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13,359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22,771</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 deposits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self-insurance liabilities - current portion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r>
      <w:tr>
        <w:trPr>
          <w:trHeight w:val="248"/>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Refunds payable includes payables related to overpayments, duplicate payments and credit balances from various payor sources. Deferred revenue occurs when the Company receives payments in advance of services provided. Resident deposits include refundable deposits to residents and a small portion consists of non-refundable deposits recognized into revenue over a period of time. The CARES Act also expanded the ability of CMS to provide accelerated or advance payments intended to increase the cash flow of healthcare providers and suppliers impacted by COVID-19. During the prior year the Company applied for and received $27,997 in funds under the AAP Program. On October 1, 2020, the Continuing Appropriations Act, 2021 and Other Extensions Act (the “CA Act”) was signed into law. Among other things, the CARES Act significantly changed the repayment terms for AAP. In April 2021 CMS began automatic recoupment of these amounts through offsets to new claims. Medicare will automatically recoup 25% of Medicare payments for 11 months. At the end of the 11 months and assuming full repayment has not occurred, recoupment will increase to 50% for another six months. Any balance outstanding after these two recoupment periods will be subject to repayment at a 4% interest rate. As of September 30, 2021, CMS had recouped $14,638 of the AAP. The Company anticipates completing repayment of the AAP within the allotted recoupment periods.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11. DEBT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6"/>
        </w:trPr>
        <w:tc>
          <w:tcPr>
            <w:tcW w:w="6640" w:type="dxa"/>
            <w:vAlign w:val="bottom"/>
          </w:tcPr>
          <w:p>
            <w:pPr>
              <w:ind w:left="660"/>
              <w:spacing w:after="0"/>
              <w:rPr>
                <w:sz w:val="20"/>
                <w:szCs w:val="20"/>
                <w:color w:val="auto"/>
              </w:rPr>
            </w:pPr>
            <w:r>
              <w:rPr>
                <w:rFonts w:ascii="Arial" w:cs="Arial" w:eastAsia="Arial" w:hAnsi="Arial"/>
                <w:sz w:val="18"/>
                <w:szCs w:val="18"/>
                <w:color w:val="auto"/>
              </w:rPr>
              <w:t>Long-term debt, net consists of the following:</w:t>
            </w:r>
          </w:p>
        </w:tc>
        <w:tc>
          <w:tcPr>
            <w:tcW w:w="2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56"/>
        </w:trPr>
        <w:tc>
          <w:tcPr>
            <w:tcW w:w="6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2021</w:t>
            </w:r>
          </w:p>
        </w:tc>
        <w:tc>
          <w:tcPr>
            <w:tcW w:w="240" w:type="dxa"/>
            <w:vAlign w:val="bottom"/>
          </w:tcPr>
          <w:p>
            <w:pPr>
              <w:spacing w:after="0"/>
              <w:rPr>
                <w:sz w:val="22"/>
                <w:szCs w:val="22"/>
                <w:color w:val="auto"/>
              </w:rPr>
            </w:pPr>
          </w:p>
        </w:tc>
        <w:tc>
          <w:tcPr>
            <w:tcW w:w="2000" w:type="dxa"/>
            <w:vAlign w:val="bottom"/>
          </w:tcPr>
          <w:p>
            <w:pPr>
              <w:ind w:left="16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45,000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center"/>
              <w:ind w:left="1350"/>
              <w:spacing w:after="0"/>
              <w:rPr>
                <w:sz w:val="20"/>
                <w:szCs w:val="20"/>
                <w:color w:val="auto"/>
              </w:rPr>
            </w:pPr>
            <w:r>
              <w:rPr>
                <w:rFonts w:ascii="Arial" w:cs="Arial" w:eastAsia="Arial" w:hAnsi="Arial"/>
                <w:sz w:val="18"/>
                <w:szCs w:val="18"/>
                <w:color w:val="auto"/>
                <w:w w:val="88"/>
              </w:rPr>
              <w:t>9,500</w:t>
            </w:r>
          </w:p>
        </w:tc>
      </w:tr>
      <w:tr>
        <w:trPr>
          <w:trHeight w:val="230"/>
        </w:trPr>
        <w:tc>
          <w:tcPr>
            <w:tcW w:w="66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Less: unamortized debt issuance costs</w:t>
            </w:r>
            <w:r>
              <w:rPr>
                <w:rFonts w:ascii="Arial" w:cs="Arial" w:eastAsia="Arial" w:hAnsi="Arial"/>
                <w:sz w:val="23"/>
                <w:szCs w:val="23"/>
                <w:color w:val="auto"/>
                <w:vertAlign w:val="superscript"/>
              </w:rPr>
              <w:t>(a)</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94"/>
              </w:rPr>
              <w:t>(2,258)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left="1330"/>
              <w:spacing w:after="0"/>
              <w:rPr>
                <w:sz w:val="20"/>
                <w:szCs w:val="20"/>
                <w:color w:val="auto"/>
              </w:rPr>
            </w:pPr>
            <w:r>
              <w:rPr>
                <w:rFonts w:ascii="Arial" w:cs="Arial" w:eastAsia="Arial" w:hAnsi="Arial"/>
                <w:sz w:val="18"/>
                <w:szCs w:val="18"/>
                <w:color w:val="auto"/>
                <w:w w:val="94"/>
              </w:rPr>
              <w:t>(1,223)</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42,742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center"/>
              <w:ind w:left="1350"/>
              <w:spacing w:after="0"/>
              <w:rPr>
                <w:sz w:val="20"/>
                <w:szCs w:val="20"/>
                <w:color w:val="auto"/>
              </w:rPr>
            </w:pPr>
            <w:r>
              <w:rPr>
                <w:rFonts w:ascii="Arial" w:cs="Arial" w:eastAsia="Arial" w:hAnsi="Arial"/>
                <w:sz w:val="18"/>
                <w:szCs w:val="18"/>
                <w:color w:val="auto"/>
                <w:w w:val="88"/>
              </w:rPr>
              <w:t>8,277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480" w:right="40" w:hanging="454"/>
        <w:spacing w:after="0" w:line="236" w:lineRule="auto"/>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Amortization expense for debt issuance costs was $129 and $358 for the three and nine months ended September 30, 2021, respectively, and $86 and $248 for the three and nine months ended September 30, 2020, respectively, and is recorded in interest expense, net on the Condensed Consolidated Statements of Income.</w:t>
      </w:r>
    </w:p>
    <w:p>
      <w:pPr>
        <w:spacing w:after="0" w:line="33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February 23, 2021, Pennant entered into an amendment to its existing credit agreement (as amended, the “Credit Agreement”), which provides for an increased revolving credit facility with a syndicate of banks with a borrowing capacity of $150,000 (the “Revolving Credit Facility”). The interest rates applicable to loans under the Revolving Credit Facility are, at the Company’s election, either (i) Adjusted LIBOR (as defined in the Credit Agreement) plus a margin ranging from 2.3% to 3.3% per annum or (ii) Base Rate plus a margin ranging from 1.3% to 2.3% per annum, in each case based on the ratio of Consolidated Total Net Debt to Consolidated EBITDA (each, as defined in the Credit Agreement). In addition, Pennant pays a commitment fee on the undrawn portion of the commitments under the Revolving Credit Facility which ranges from 0.35% to 0.50% per annum, depending on the Consolidated Total Net Debt to Consolidated EBITDA ratio of the Company and its subsidiaries. The Company is not required to repay any loans under the Credit Agreement prior to maturity in 2026, other than to the extent the outstanding borrowings exceed the aggregate commitments under the Credit Agreement. As of September 30, 2021, the Company’s weighted average interest rate on its outstanding debt was 2.97%. As of September 30, 2021, the Company had available borrowing on the Revolving Credit Facility of $101,664, which is net of outstanding letters of credit of $3,336.</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Revolving Credit Facility approximates carrying value, due to the short-term nature and variable interest rates. The fair value of this debt is categorized within Level 2 of the fair value hierarchy based on the observable market borrowing rates.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September 30, 2021, the Company was compliant with all such financial covenants.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OPTIONS AND AWARDS</w:t>
      </w:r>
    </w:p>
    <w:p>
      <w:pPr>
        <w:spacing w:after="0" w:line="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12529"/>
        </w:rPr>
        <w:t xml:space="preserve">Outstanding options held by employees of the Company under the </w:t>
      </w:r>
      <w:r>
        <w:rPr>
          <w:rFonts w:ascii="Arial" w:cs="Arial" w:eastAsia="Arial" w:hAnsi="Arial"/>
          <w:sz w:val="18"/>
          <w:szCs w:val="18"/>
          <w:color w:val="000000"/>
        </w:rPr>
        <w:t>Ensign stock plans (collectively the “Ensign Plans”) and outstanding options</w:t>
      </w:r>
      <w:r>
        <w:rPr>
          <w:rFonts w:ascii="Arial" w:cs="Arial" w:eastAsia="Arial" w:hAnsi="Arial"/>
          <w:sz w:val="18"/>
          <w:szCs w:val="18"/>
          <w:color w:val="212529"/>
        </w:rPr>
        <w:t xml:space="preserve"> </w:t>
      </w:r>
      <w:r>
        <w:rPr>
          <w:rFonts w:ascii="Arial" w:cs="Arial" w:eastAsia="Arial" w:hAnsi="Arial"/>
          <w:sz w:val="18"/>
          <w:szCs w:val="18"/>
          <w:color w:val="000000"/>
        </w:rPr>
        <w:t xml:space="preserve">and restricted stock awards under the Company Subsidiary Equity Plan (together with the Ensign Plans the “Pre-Spin Plans”) </w:t>
      </w:r>
      <w:r>
        <w:rPr>
          <w:rFonts w:ascii="Arial" w:cs="Arial" w:eastAsia="Arial" w:hAnsi="Arial"/>
          <w:sz w:val="18"/>
          <w:szCs w:val="18"/>
          <w:color w:val="212529"/>
        </w:rPr>
        <w:t>were modified and replaced</w:t>
      </w:r>
      <w:r>
        <w:rPr>
          <w:rFonts w:ascii="Arial" w:cs="Arial" w:eastAsia="Arial" w:hAnsi="Arial"/>
          <w:sz w:val="18"/>
          <w:szCs w:val="18"/>
          <w:color w:val="000000"/>
        </w:rPr>
        <w:t xml:space="preserve"> </w:t>
      </w:r>
      <w:r>
        <w:rPr>
          <w:rFonts w:ascii="Arial" w:cs="Arial" w:eastAsia="Arial" w:hAnsi="Arial"/>
          <w:sz w:val="18"/>
          <w:szCs w:val="18"/>
          <w:color w:val="212529"/>
        </w:rPr>
        <w:t xml:space="preserve">with Pennant awards under the Pennant Plans at the Spin-Off date. Additionally, in connection with the Spin-Off, the Company issued new options and restricted stock awards to Pennant and Ensign employees under the 2019 Omnibus Incentive Plan (the </w:t>
      </w:r>
      <w:r>
        <w:rPr>
          <w:rFonts w:ascii="Arial" w:cs="Arial" w:eastAsia="Arial" w:hAnsi="Arial"/>
          <w:sz w:val="18"/>
          <w:szCs w:val="18"/>
          <w:color w:val="000000"/>
        </w:rPr>
        <w:t>“</w:t>
      </w:r>
      <w:r>
        <w:rPr>
          <w:rFonts w:ascii="Arial" w:cs="Arial" w:eastAsia="Arial" w:hAnsi="Arial"/>
          <w:sz w:val="18"/>
          <w:szCs w:val="18"/>
          <w:color w:val="212529"/>
        </w:rPr>
        <w:t>OIP</w:t>
      </w:r>
      <w:r>
        <w:rPr>
          <w:rFonts w:ascii="Arial" w:cs="Arial" w:eastAsia="Arial" w:hAnsi="Arial"/>
          <w:sz w:val="18"/>
          <w:szCs w:val="18"/>
          <w:color w:val="000000"/>
        </w:rPr>
        <w:t>”</w:t>
      </w:r>
      <w:r>
        <w:rPr>
          <w:rFonts w:ascii="Arial" w:cs="Arial" w:eastAsia="Arial" w:hAnsi="Arial"/>
          <w:sz w:val="18"/>
          <w:szCs w:val="18"/>
          <w:color w:val="212529"/>
        </w:rPr>
        <w:t xml:space="preserve">) and Long-Term Incentive Plan (the </w:t>
      </w:r>
      <w:r>
        <w:rPr>
          <w:rFonts w:ascii="Arial" w:cs="Arial" w:eastAsia="Arial" w:hAnsi="Arial"/>
          <w:sz w:val="18"/>
          <w:szCs w:val="18"/>
          <w:color w:val="000000"/>
        </w:rPr>
        <w:t>“</w:t>
      </w:r>
      <w:r>
        <w:rPr>
          <w:rFonts w:ascii="Arial" w:cs="Arial" w:eastAsia="Arial" w:hAnsi="Arial"/>
          <w:sz w:val="18"/>
          <w:szCs w:val="18"/>
          <w:color w:val="212529"/>
        </w:rPr>
        <w:t>LTIP</w:t>
      </w:r>
      <w:r>
        <w:rPr>
          <w:rFonts w:ascii="Arial" w:cs="Arial" w:eastAsia="Arial" w:hAnsi="Arial"/>
          <w:sz w:val="18"/>
          <w:szCs w:val="18"/>
          <w:color w:val="000000"/>
        </w:rPr>
        <w:t>”,</w:t>
      </w:r>
      <w:r>
        <w:rPr>
          <w:rFonts w:ascii="Arial" w:cs="Arial" w:eastAsia="Arial" w:hAnsi="Arial"/>
          <w:sz w:val="18"/>
          <w:szCs w:val="18"/>
          <w:color w:val="212529"/>
        </w:rPr>
        <w:t xml:space="preserve"> </w:t>
      </w:r>
      <w:r>
        <w:rPr>
          <w:rFonts w:ascii="Arial" w:cs="Arial" w:eastAsia="Arial" w:hAnsi="Arial"/>
          <w:sz w:val="18"/>
          <w:szCs w:val="18"/>
          <w:color w:val="000000"/>
        </w:rPr>
        <w:t>together referred to as the “Pennant Plans”</w:t>
      </w:r>
      <w:r>
        <w:rPr>
          <w:rFonts w:ascii="Arial" w:cs="Arial" w:eastAsia="Arial" w:hAnsi="Arial"/>
          <w:sz w:val="18"/>
          <w:szCs w:val="18"/>
          <w:color w:val="212529"/>
        </w:rPr>
        <w:t>).</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Ensign Plans and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Ensign and Pennant Plans.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share-based compensation expense for all Plans for the three and nine months ended September 30, 2021 and 2020 was: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80" w:type="dxa"/>
            <w:vAlign w:val="bottom"/>
            <w:gridSpan w:val="6"/>
          </w:tcPr>
          <w:p>
            <w:pPr>
              <w:ind w:left="40"/>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229"/>
        </w:trPr>
        <w:tc>
          <w:tcPr>
            <w:tcW w:w="6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87"/>
              </w:rPr>
              <w:t>30,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 related to stock options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Share-based compensation expense related to Restricted Stock</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176"/>
        </w:trPr>
        <w:tc>
          <w:tcPr>
            <w:tcW w:w="6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Share-based compensation expense related to Restricted Stock to non-employee</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Pr>
          <w:p>
            <w:pPr>
              <w:ind w:left="240"/>
              <w:spacing w:after="0"/>
              <w:rPr>
                <w:sz w:val="20"/>
                <w:szCs w:val="20"/>
                <w:color w:val="auto"/>
              </w:rPr>
            </w:pPr>
            <w:r>
              <w:rPr>
                <w:rFonts w:ascii="Arial" w:cs="Arial" w:eastAsia="Arial" w:hAnsi="Arial"/>
                <w:sz w:val="18"/>
                <w:szCs w:val="18"/>
                <w:color w:val="auto"/>
              </w:rPr>
              <w:t>Total share-based compensation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future periods, the Company estimates it will recognize the following share-based compensation expense for unvested stock options and unvested Restricted Stock, which were unvested as of September 30,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Unrecognized</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Recognition Period (in</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Compensation Expense</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years)</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Stock</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6,325</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unrecognized share-based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19,040</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Pennant Plans, options granted to employees of the subsidiaries of Pennant generally vest over five years at 20% per year on the anniversary of the grant date. Options expire ten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uses the Black-Scholes option-pricing model to recognize the value of stock-based compensation expense for share-based payment awards under the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w:t>
      </w:r>
    </w:p>
    <w:p>
      <w:pPr>
        <w:spacing w:after="0" w:line="214"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The fair value of each option is estimated on the grant date using a Black-Scholes option-pricing model with the following weighted average assumptions for stock options granted:</w:t>
      </w:r>
    </w:p>
    <w:tbl>
      <w:tblPr>
        <w:tblLayout w:type="fixed"/>
        <w:tblInd w:w="0" w:type="dxa"/>
        <w:tblCellMar>
          <w:top w:w="0" w:type="dxa"/>
          <w:left w:w="0" w:type="dxa"/>
          <w:bottom w:w="0" w:type="dxa"/>
          <w:right w:w="0" w:type="dxa"/>
        </w:tblCellMar>
      </w:tblPr>
      <w:tr>
        <w:trPr>
          <w:trHeight w:val="181"/>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30"/>
              <w:spacing w:after="0" w:line="182"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Options</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Risk-Free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Expected</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0" w:type="dxa"/>
            <w:vAlign w:val="bottom"/>
          </w:tcPr>
          <w:p>
            <w:pPr>
              <w:spacing w:after="0"/>
              <w:rPr>
                <w:sz w:val="1"/>
                <w:szCs w:val="1"/>
                <w:color w:val="auto"/>
              </w:rPr>
            </w:pPr>
          </w:p>
        </w:tc>
      </w:tr>
      <w:tr>
        <w:trPr>
          <w:trHeight w:val="176"/>
        </w:trPr>
        <w:tc>
          <w:tcPr>
            <w:tcW w:w="2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Grant Year</w:t>
            </w:r>
          </w:p>
        </w:tc>
        <w:tc>
          <w:tcPr>
            <w:tcW w:w="13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7"/>
              </w:rPr>
              <w:t>Expected Life</w:t>
            </w:r>
            <w:r>
              <w:rPr>
                <w:rFonts w:ascii="Arial" w:cs="Arial" w:eastAsia="Arial" w:hAnsi="Arial"/>
                <w:sz w:val="23"/>
                <w:szCs w:val="23"/>
                <w:b w:val="1"/>
                <w:bCs w:val="1"/>
                <w:color w:val="auto"/>
                <w:w w:val="97"/>
                <w:vertAlign w:val="superscript"/>
              </w:rPr>
              <w:t>(a)</w:t>
            </w:r>
          </w:p>
        </w:tc>
        <w:tc>
          <w:tcPr>
            <w:tcW w:w="1540" w:type="dxa"/>
            <w:vAlign w:val="bottom"/>
            <w:gridSpan w:val="2"/>
            <w:vMerge w:val="continue"/>
          </w:tcPr>
          <w:p>
            <w:pPr>
              <w:spacing w:after="0"/>
              <w:rPr>
                <w:sz w:val="15"/>
                <w:szCs w:val="15"/>
                <w:color w:val="auto"/>
              </w:rPr>
            </w:pPr>
          </w:p>
        </w:tc>
        <w:tc>
          <w:tcPr>
            <w:tcW w:w="15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Dividend Yield</w:t>
            </w:r>
          </w:p>
        </w:tc>
        <w:tc>
          <w:tcPr>
            <w:tcW w:w="120" w:type="dxa"/>
            <w:vAlign w:val="bottom"/>
          </w:tcPr>
          <w:p>
            <w:pPr>
              <w:spacing w:after="0"/>
              <w:rPr>
                <w:sz w:val="15"/>
                <w:szCs w:val="15"/>
                <w:color w:val="auto"/>
              </w:rPr>
            </w:pPr>
          </w:p>
        </w:tc>
        <w:tc>
          <w:tcPr>
            <w:tcW w:w="11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29"/>
        </w:trPr>
        <w:tc>
          <w:tcPr>
            <w:tcW w:w="2660" w:type="dxa"/>
            <w:vAlign w:val="bottom"/>
            <w:gridSpan w:val="2"/>
            <w:vMerge w:val="continue"/>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Granted</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8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8"/>
              </w:rPr>
              <w:t>Volatility</w:t>
            </w:r>
            <w:r>
              <w:rPr>
                <w:rFonts w:ascii="Arial" w:cs="Arial" w:eastAsia="Arial" w:hAnsi="Arial"/>
                <w:sz w:val="23"/>
                <w:szCs w:val="23"/>
                <w:b w:val="1"/>
                <w:bCs w:val="1"/>
                <w:color w:val="auto"/>
                <w:w w:val="88"/>
                <w:vertAlign w:val="superscript"/>
              </w:rPr>
              <w:t>(b)</w:t>
            </w:r>
          </w:p>
        </w:tc>
        <w:tc>
          <w:tcPr>
            <w:tcW w:w="1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Options</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7"/>
              </w:rPr>
              <w:t>—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35.8 %</w:t>
            </w:r>
          </w:p>
        </w:tc>
        <w:tc>
          <w:tcPr>
            <w:tcW w:w="10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480" w:right="20" w:hanging="454"/>
        <w:spacing w:after="0" w:line="236" w:lineRule="auto"/>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Under the midpoint method, the expected option life is the midpoint between the contractual option life and the average vesting period for the options being granted. This resulted in an expected option life of 6.5 years for the options granted.</w:t>
      </w:r>
    </w:p>
    <w:p>
      <w:pPr>
        <w:spacing w:after="0" w:line="7" w:lineRule="exact"/>
        <w:rPr>
          <w:rFonts w:ascii="Arial" w:cs="Arial" w:eastAsia="Arial" w:hAnsi="Arial"/>
          <w:sz w:val="14"/>
          <w:szCs w:val="14"/>
          <w:color w:val="auto"/>
        </w:rPr>
      </w:pPr>
    </w:p>
    <w:p>
      <w:pPr>
        <w:ind w:left="480" w:hanging="454"/>
        <w:spacing w:after="0"/>
        <w:tabs>
          <w:tab w:leader="none" w:pos="4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Because the Company’s equity shares have been traded for a relatively short period of time, expected volatility assumption was based on the volatility of related industry stocks.</w:t>
      </w:r>
    </w:p>
    <w:p>
      <w:pPr>
        <w:spacing w:after="0" w:line="3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the employee stock option activity during the nine months ended September 30,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96"/>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76"/>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60" w:type="dxa"/>
            <w:vAlign w:val="bottom"/>
          </w:tcPr>
          <w:p>
            <w:pPr>
              <w:spacing w:after="0"/>
              <w:rPr>
                <w:sz w:val="14"/>
                <w:szCs w:val="14"/>
                <w:color w:val="auto"/>
              </w:rPr>
            </w:pPr>
          </w:p>
        </w:tc>
        <w:tc>
          <w:tcPr>
            <w:tcW w:w="1240" w:type="dxa"/>
            <w:vAlign w:val="bottom"/>
          </w:tcPr>
          <w:p>
            <w:pPr>
              <w:jc w:val="center"/>
              <w:ind w:right="96"/>
              <w:spacing w:after="0" w:line="162" w:lineRule="exact"/>
              <w:rPr>
                <w:sz w:val="20"/>
                <w:szCs w:val="20"/>
                <w:color w:val="auto"/>
              </w:rPr>
            </w:pPr>
            <w:r>
              <w:rPr>
                <w:rFonts w:ascii="Arial" w:cs="Arial" w:eastAsia="Arial" w:hAnsi="Arial"/>
                <w:sz w:val="16"/>
                <w:szCs w:val="16"/>
                <w:b w:val="1"/>
                <w:bCs w:val="1"/>
                <w:color w:val="auto"/>
                <w:w w:val="89"/>
              </w:rPr>
              <w:t>Exercise Price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Average</w:t>
            </w:r>
          </w:p>
        </w:tc>
        <w:tc>
          <w:tcPr>
            <w:tcW w:w="1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76"/>
              <w:spacing w:after="0" w:line="162" w:lineRule="exact"/>
              <w:rPr>
                <w:sz w:val="20"/>
                <w:szCs w:val="20"/>
                <w:color w:val="auto"/>
              </w:rPr>
            </w:pPr>
            <w:r>
              <w:rPr>
                <w:rFonts w:ascii="Arial" w:cs="Arial" w:eastAsia="Arial" w:hAnsi="Arial"/>
                <w:sz w:val="16"/>
                <w:szCs w:val="16"/>
                <w:b w:val="1"/>
                <w:bCs w:val="1"/>
                <w:color w:val="auto"/>
                <w:w w:val="89"/>
              </w:rPr>
              <w:t>of Options</w:t>
            </w: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Exercise Price</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Options Vested</w:t>
            </w:r>
          </w:p>
        </w:tc>
        <w:tc>
          <w:tcPr>
            <w:tcW w:w="160" w:type="dxa"/>
            <w:vAlign w:val="bottom"/>
          </w:tcPr>
          <w:p>
            <w:pPr>
              <w:spacing w:after="0"/>
              <w:rPr>
                <w:sz w:val="18"/>
                <w:szCs w:val="18"/>
                <w:color w:val="auto"/>
              </w:rPr>
            </w:pPr>
          </w:p>
        </w:tc>
        <w:tc>
          <w:tcPr>
            <w:tcW w:w="1240" w:type="dxa"/>
            <w:vAlign w:val="bottom"/>
          </w:tcPr>
          <w:p>
            <w:pPr>
              <w:jc w:val="center"/>
              <w:ind w:right="76"/>
              <w:spacing w:after="0"/>
              <w:rPr>
                <w:sz w:val="20"/>
                <w:szCs w:val="20"/>
                <w:color w:val="auto"/>
              </w:rPr>
            </w:pPr>
            <w:r>
              <w:rPr>
                <w:rFonts w:ascii="Arial" w:cs="Arial" w:eastAsia="Arial" w:hAnsi="Arial"/>
                <w:sz w:val="16"/>
                <w:szCs w:val="16"/>
                <w:b w:val="1"/>
                <w:bCs w:val="1"/>
                <w:color w:val="auto"/>
                <w:w w:val="83"/>
              </w:rPr>
              <w:t>Vested</w:t>
            </w:r>
          </w:p>
        </w:tc>
        <w:tc>
          <w:tcPr>
            <w:tcW w:w="0" w:type="dxa"/>
            <w:vAlign w:val="bottom"/>
          </w:tcPr>
          <w:p>
            <w:pPr>
              <w:spacing w:after="0"/>
              <w:rPr>
                <w:sz w:val="1"/>
                <w:szCs w:val="1"/>
                <w:color w:val="auto"/>
              </w:rPr>
            </w:pPr>
          </w:p>
        </w:tc>
      </w:tr>
      <w:tr>
        <w:trPr>
          <w:trHeight w:val="226"/>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&amp; Expired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status of Pennant’s non-vested Restricted Stock, and changes during the nine months ended September 30, 2021, is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w w:val="92"/>
              </w:rPr>
              <w:t>Non-Vested Restricted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Weighted Average</w:t>
            </w:r>
          </w:p>
        </w:tc>
      </w:tr>
      <w:tr>
        <w:trPr>
          <w:trHeight w:val="213"/>
        </w:trPr>
        <w:tc>
          <w:tcPr>
            <w:tcW w:w="784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Grant Date Fair Value</w:t>
            </w: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44.67</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14.30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independent operating subsidiaries lease 54 senior living communities and its administrative offices under non-cancelable operating leases, most of which have initial lease terms ranging from five to 21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As of September 30, 2021, the Company’s independent operating subsidiaries leased 31 communities from subsidiaries of Ensign (the “Ensign Leases”) under a master lease arrangement</w:t>
      </w:r>
      <w:r>
        <w:rPr>
          <w:rFonts w:ascii="Arial" w:cs="Arial" w:eastAsia="Arial" w:hAnsi="Arial"/>
          <w:sz w:val="17"/>
          <w:szCs w:val="17"/>
          <w:i w:val="1"/>
          <w:iCs w:val="1"/>
          <w:color w:val="auto"/>
        </w:rPr>
        <w:t>.</w:t>
      </w:r>
      <w:r>
        <w:rPr>
          <w:rFonts w:ascii="Arial" w:cs="Arial" w:eastAsia="Arial" w:hAnsi="Arial"/>
          <w:sz w:val="17"/>
          <w:szCs w:val="17"/>
          <w:color w:val="auto"/>
        </w:rPr>
        <w:t xml:space="preserve"> The existing leases with subsidiaries of Ensign are generally for initial terms of between 14 to 20 years. In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Fifteen of the Company’s affiliated senior living communities, excluding the communities that are operated under the Ensign Leases (as defined herein), are operated under two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660"/>
              <w:spacing w:after="0"/>
              <w:rPr>
                <w:sz w:val="20"/>
                <w:szCs w:val="20"/>
                <w:color w:val="auto"/>
              </w:rPr>
            </w:pPr>
            <w:r>
              <w:rPr>
                <w:rFonts w:ascii="Arial" w:cs="Arial" w:eastAsia="Arial" w:hAnsi="Arial"/>
                <w:sz w:val="18"/>
                <w:szCs w:val="18"/>
                <w:color w:val="auto"/>
              </w:rPr>
              <w:t>The components of operating lease cost, are as follows: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46"/>
        </w:trPr>
        <w:tc>
          <w:tcPr>
            <w:tcW w:w="5940" w:type="dxa"/>
            <w:vAlign w:val="bottom"/>
          </w:tcPr>
          <w:p>
            <w:pPr>
              <w:spacing w:after="0"/>
              <w:rPr>
                <w:sz w:val="24"/>
                <w:szCs w:val="24"/>
                <w:color w:val="auto"/>
              </w:rPr>
            </w:pPr>
          </w:p>
        </w:tc>
        <w:tc>
          <w:tcPr>
            <w:tcW w:w="27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Three Months Ended September</w:t>
            </w: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Nine Months Ended September</w:t>
            </w:r>
          </w:p>
        </w:tc>
      </w:tr>
      <w:tr>
        <w:trPr>
          <w:trHeight w:val="229"/>
        </w:trPr>
        <w:tc>
          <w:tcPr>
            <w:tcW w:w="5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87"/>
              </w:rPr>
              <w:t>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87"/>
              </w:rPr>
              <w:t>30,</w:t>
            </w:r>
          </w:p>
        </w:tc>
        <w:tc>
          <w:tcPr>
            <w:tcW w:w="960" w:type="dxa"/>
            <w:vAlign w:val="bottom"/>
            <w:tcBorders>
              <w:bottom w:val="single" w:sz="8" w:color="auto"/>
            </w:tcBorders>
          </w:tcPr>
          <w:p>
            <w:pPr>
              <w:spacing w:after="0"/>
              <w:rPr>
                <w:sz w:val="19"/>
                <w:szCs w:val="19"/>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0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Costs: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Facility Rent—cost of services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9,052</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8,876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26,844</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26,624</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Rent—cost of services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48"/>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Rent—cost of services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304"/>
        </w:trPr>
        <w:tc>
          <w:tcPr>
            <w:tcW w:w="5940" w:type="dxa"/>
            <w:vAlign w:val="bottom"/>
          </w:tcPr>
          <w:p>
            <w:pPr>
              <w:ind w:left="20"/>
              <w:spacing w:after="0"/>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(a)</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1,609</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4,598</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3,975</w:t>
            </w:r>
          </w:p>
        </w:tc>
      </w:tr>
    </w:tbl>
    <w:p>
      <w:pPr>
        <w:spacing w:after="0" w:line="41" w:lineRule="exact"/>
        <w:rPr>
          <w:sz w:val="20"/>
          <w:szCs w:val="20"/>
          <w:color w:val="auto"/>
        </w:rPr>
      </w:pPr>
    </w:p>
    <w:p>
      <w:pPr>
        <w:ind w:left="480" w:right="40" w:hanging="454"/>
        <w:spacing w:after="0" w:line="236" w:lineRule="auto"/>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variable lease cost for operating leases, which costs include property taxes and insurance, common area maintenance, and consumer price index increases, incurred as part of our triple net lease, and which is included in cost of services for the three and nine months ended September 30, 2021 and 2020.</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lease maturity analysis for all leases as of September 30, 2021, for the years ended December 31: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38,645</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37,686</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36,645</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35,681</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356,306</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514,741</w:t>
            </w:r>
          </w:p>
        </w:tc>
      </w:tr>
      <w:tr>
        <w:trPr>
          <w:trHeight w:val="229"/>
        </w:trPr>
        <w:tc>
          <w:tcPr>
            <w:tcW w:w="9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present value adjustments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(212,103)</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total lease 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302,638</w:t>
            </w:r>
          </w:p>
        </w:tc>
      </w:tr>
      <w:tr>
        <w:trPr>
          <w:trHeight w:val="229"/>
        </w:trPr>
        <w:tc>
          <w:tcPr>
            <w:tcW w:w="9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lease liabilities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(15,399)</w:t>
            </w:r>
          </w:p>
        </w:tc>
      </w:tr>
      <w:tr>
        <w:trPr>
          <w:trHeight w:val="248"/>
        </w:trPr>
        <w:tc>
          <w:tcPr>
            <w:tcW w:w="9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287,239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September 30, 2021, the weighted average remaining lease term is 14.3 years and the weighted average discount rate is 8.1%.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recorded income tax expense of $69 and $1,013 or 5.8% and 18.4% of earnings before income taxes for the three and nine months ended September 30, 2021, respectively and income tax expense of $104 and $2,430 or 2.3% and 17.2% of earnings before income taxes for the three and nine months ended September 30, 2020, respectively. The effective tax rate for both three and nine month periods includes excess tax benefits from share-based compensation which were offset by non-deductible expenses including non-deductible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Regulatory Matters - </w:t>
      </w:r>
      <w:r>
        <w:rPr>
          <w:rFonts w:ascii="Arial" w:cs="Arial" w:eastAsia="Arial" w:hAnsi="Arial"/>
          <w:sz w:val="17"/>
          <w:szCs w:val="17"/>
          <w:color w:val="auto"/>
        </w:rPr>
        <w:t>The Company provides services in complex and highly regulated industries. The Company’s compliance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The Department of Justice, CMS, or other federal and state enforcement and regulatory agencies may conduct additional investigations related to the Company's businesses. The Company believes that it is presently in compliance in all material respects with all applicable laws and regulations.</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Cost-Containment Measures - </w:t>
      </w:r>
      <w:r>
        <w:rPr>
          <w:rFonts w:ascii="Arial" w:cs="Arial" w:eastAsia="Arial" w:hAnsi="Arial"/>
          <w:sz w:val="18"/>
          <w:szCs w:val="18"/>
          <w:color w:val="auto"/>
        </w:rPr>
        <w:t>Government and third-party payors have instituted cost-containment measures designed to limit payments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of healthcare services, and there can be no assurance that future measures designed to limit payments made to providers will not adversely affect the Company.</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Indemnities - </w:t>
      </w:r>
      <w:r>
        <w:rPr>
          <w:rFonts w:ascii="Arial" w:cs="Arial" w:eastAsia="Arial" w:hAnsi="Arial"/>
          <w:sz w:val="16"/>
          <w:szCs w:val="16"/>
          <w:color w:val="auto"/>
        </w:rPr>
        <w:t>From time to time, the Company enters into certain types of contracts that contingently require the Company to indemnify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w:t>
      </w:r>
    </w:p>
    <w:p>
      <w:pPr>
        <w:spacing w:after="0" w:line="2" w:lineRule="exact"/>
        <w:rPr>
          <w:sz w:val="20"/>
          <w:szCs w:val="20"/>
          <w:color w:val="auto"/>
        </w:rPr>
      </w:pPr>
    </w:p>
    <w:p>
      <w:pPr>
        <w:jc w:val="both"/>
        <w:ind w:firstLine="8"/>
        <w:spacing w:after="0" w:line="281" w:lineRule="auto"/>
        <w:tabs>
          <w:tab w:leader="none" w:pos="273" w:val="left"/>
        </w:tabs>
        <w:numPr>
          <w:ilvl w:val="0"/>
          <w:numId w:val="14"/>
        </w:numPr>
        <w:rPr>
          <w:rFonts w:ascii="Arial" w:cs="Arial" w:eastAsia="Arial" w:hAnsi="Arial"/>
          <w:sz w:val="16"/>
          <w:szCs w:val="16"/>
          <w:color w:val="auto"/>
        </w:rPr>
      </w:pPr>
      <w:r>
        <w:rPr>
          <w:rFonts w:ascii="Arial" w:cs="Arial" w:eastAsia="Arial" w:hAnsi="Arial"/>
          <w:sz w:val="16"/>
          <w:szCs w:val="16"/>
          <w:color w:val="auto"/>
        </w:rPr>
        <w:t>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w:t>
      </w:r>
    </w:p>
    <w:p>
      <w:pPr>
        <w:spacing w:after="0" w:line="1" w:lineRule="exact"/>
        <w:rPr>
          <w:rFonts w:ascii="Arial" w:cs="Arial" w:eastAsia="Arial" w:hAnsi="Arial"/>
          <w:sz w:val="16"/>
          <w:szCs w:val="16"/>
          <w:color w:val="auto"/>
        </w:rPr>
      </w:pPr>
    </w:p>
    <w:p>
      <w:pPr>
        <w:jc w:val="both"/>
        <w:ind w:firstLine="8"/>
        <w:spacing w:after="0" w:line="253" w:lineRule="auto"/>
        <w:tabs>
          <w:tab w:leader="none" w:pos="3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spacing w:after="0" w:line="21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The Company’s businesses involve a significant risk of liability given the age and health of the patients and residents served by its</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as well as employment related claims.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w:t>
      </w:r>
    </w:p>
    <w:p>
      <w:pPr>
        <w:spacing w:after="0" w:line="20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to the potential lawsuits and claims described above, the Company is also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As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the Company could face increased scrutiny, potential liability and legal expenses and costs based on claims under state false claims acts in markets in which it conducts business.</w:t>
      </w:r>
    </w:p>
    <w:p>
      <w:pPr>
        <w:spacing w:after="0" w:line="18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spacing w:after="0" w:line="21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Medicare Revenue Recoupments - </w:t>
      </w:r>
      <w:r>
        <w:rPr>
          <w:rFonts w:ascii="Arial" w:cs="Arial" w:eastAsia="Arial" w:hAnsi="Arial"/>
          <w:sz w:val="17"/>
          <w:szCs w:val="17"/>
          <w:color w:val="auto"/>
        </w:rPr>
        <w:t>The Company is subject to probe reviews relating to Medicare services, billings and potential overpayments by</w:t>
      </w:r>
      <w:r>
        <w:rPr>
          <w:rFonts w:ascii="Arial" w:cs="Arial" w:eastAsia="Arial" w:hAnsi="Arial"/>
          <w:sz w:val="17"/>
          <w:szCs w:val="17"/>
          <w:i w:val="1"/>
          <w:iCs w:val="1"/>
          <w:color w:val="auto"/>
        </w:rPr>
        <w:t xml:space="preserve"> </w:t>
      </w:r>
      <w:r>
        <w:rPr>
          <w:rFonts w:ascii="Arial" w:cs="Arial" w:eastAsia="Arial" w:hAnsi="Arial"/>
          <w:sz w:val="17"/>
          <w:szCs w:val="17"/>
          <w:color w:val="auto"/>
        </w:rPr>
        <w:t>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 As of September 30, 2021, eight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As of September 30, 2021, and through the filing of this Quarterly Report on Form 10-Q, the Company’s independent operating subsidiaries have responded to the Reviews that are currently ongoing, on appeal or in dispute resolution process and the Company.</w:t>
      </w:r>
    </w:p>
    <w:p>
      <w:pPr>
        <w:spacing w:after="0" w:line="20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One hospice provider number is subject to a Medicare payment suspension imposed by a Uniform Program Integrity Contractor (UPIC). The UPIC is reviewing 42 patient records covering a 4-month period to determine whether, in its view, a Medicare overpayment was made. Medicare payments to that provider number are suspended pending the conclusion of the UPIC’s review. The payments suspended as of September 30, 2021 total $2.7 million. The suspended amounts represent all Medicare payments due to the provider number since the start of the suspension and are not an overpayment finding. If the UPIC concludes that an overpayment exists, it will recover the overpayment from the suspended funds and release the excess funds, if any, to the provider. The UPIC has not specified when the payment suspension will end or when it will reach an over-payment determination.</w:t>
      </w:r>
    </w:p>
    <w:p>
      <w:pPr>
        <w:spacing w:after="0" w:line="19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The Company retains risk for a substantial portion of potential claims for general and professional liability, workers’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automobile liability. The Company does not retain risk related to its employee health plans.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and Washington which are subject to state insurance and possess their own limits.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Credit Risk - </w:t>
      </w:r>
      <w:r>
        <w:rPr>
          <w:rFonts w:ascii="Arial" w:cs="Arial" w:eastAsia="Arial" w:hAnsi="Arial"/>
          <w:sz w:val="16"/>
          <w:szCs w:val="16"/>
          <w:color w:val="auto"/>
        </w:rPr>
        <w:t>The Company has significant accounts receivable balances, the collectability of which is dependent on the availability of funds from</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73.2% and 75.7%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its total gross accounts receivable as of September 30, 2021 and December 31, 2020, respectively. Revenue from reimbursement under the Medicare and Medicaid programs accounted for 62.2% and 62.6% for the three and nine months ended September 30, 2021, and 60.4% and 59.3% of the Company’s revenue for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2020 (the “2020 Annual Report”), which discusses our business and related risks in greater detail, as well as subsequent reports we may file from time to time on Form 10-K, Form 10-Q and 8-K, for additional information. The section entitled “Risk Factors” filed within our 2020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229" w:lineRule="exact"/>
        <w:rPr>
          <w:sz w:val="20"/>
          <w:szCs w:val="20"/>
          <w:color w:val="auto"/>
        </w:rPr>
      </w:pPr>
    </w:p>
    <w:p>
      <w:pPr>
        <w:jc w:val="both"/>
        <w:ind w:firstLine="212"/>
        <w:spacing w:after="0" w:line="269" w:lineRule="auto"/>
        <w:rPr>
          <w:sz w:val="20"/>
          <w:szCs w:val="20"/>
          <w:color w:val="auto"/>
        </w:rPr>
      </w:pPr>
      <w:r>
        <w:rPr>
          <w:rFonts w:ascii="Arial" w:cs="Arial" w:eastAsia="Arial" w:hAnsi="Arial"/>
          <w:sz w:val="17"/>
          <w:szCs w:val="17"/>
          <w:color w:val="auto"/>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benefits resulting from the Spin-Off, the effects of competition and the effects of future legislation or regulations and other non-historical statements. Additionally, many of these risks and uncertainties are currently amplified by and will continue to be amplified by, or in the future may be amplified by, the COVID-19 outbreak. The developments with respect to the spread of COVID-19 and its impacts have occurred rapidly, and because of the unprecedented nature of the pandemic, we are unable to predict the extent and duration of the adverse financial impact of COVID-19 on our business, financial condition and results of operations.</w:t>
      </w:r>
    </w:p>
    <w:p>
      <w:pPr>
        <w:spacing w:after="0" w:line="209" w:lineRule="exact"/>
        <w:rPr>
          <w:sz w:val="20"/>
          <w:szCs w:val="20"/>
          <w:color w:val="auto"/>
        </w:rPr>
      </w:pPr>
    </w:p>
    <w:p>
      <w:pPr>
        <w:jc w:val="both"/>
        <w:ind w:firstLine="257"/>
        <w:spacing w:after="0" w:line="263" w:lineRule="auto"/>
        <w:rPr>
          <w:sz w:val="20"/>
          <w:szCs w:val="20"/>
          <w:color w:val="auto"/>
        </w:rPr>
      </w:pPr>
      <w:r>
        <w:rPr>
          <w:rFonts w:ascii="Arial" w:cs="Arial" w:eastAsia="Arial" w:hAnsi="Arial"/>
          <w:sz w:val="18"/>
          <w:szCs w:val="18"/>
          <w:color w:val="auto"/>
        </w:rPr>
        <w:t>The risk factors discussed in this Quarterly Report and the 2020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spacing w:after="0" w:line="21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related to the COVID-19 outbreak;</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regarding the implementation of state and federal vaccination mandates and potential affects upon our workforce and ability to maintain staffing, retain work;</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regulations relating to COVID-19 imposed by state and federal authorities and payors;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changes to, or delays receiving, reimbursement and other aspects of Medicaid and Medicare;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regulation of the healthcare services industry;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the federal income tax 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and increased cost of acquisition or retention for, or a shortage of, skilled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reviews, audits and investigations of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federal and state employment related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state and federal employment, immigration, licensing and other laws;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from other healthcare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of national labor unions;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leases of our affiliated senior living communities;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complete future community or business acquisitions and failure to successfully integrate acquired communities and businesses into our operations;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security breaches and other cyber security incidents;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the financial and credit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related to our ability to realize the anticipated benefits of the Spin-Off;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uncertainties related to our ability to obtain financing or the terms of such financing.</w:t>
      </w:r>
    </w:p>
    <w:p>
      <w:pPr>
        <w:spacing w:after="0" w:line="306" w:lineRule="exact"/>
        <w:rPr>
          <w:sz w:val="20"/>
          <w:szCs w:val="20"/>
          <w:color w:val="auto"/>
        </w:rPr>
      </w:pPr>
    </w:p>
    <w:p>
      <w:pPr>
        <w:jc w:val="both"/>
        <w:ind w:firstLine="237"/>
        <w:spacing w:after="0" w:line="311" w:lineRule="auto"/>
        <w:rPr>
          <w:sz w:val="20"/>
          <w:szCs w:val="20"/>
          <w:color w:val="auto"/>
        </w:rPr>
      </w:pPr>
      <w:r>
        <w:rPr>
          <w:rFonts w:ascii="Arial" w:cs="Arial" w:eastAsia="Arial" w:hAnsi="Arial"/>
          <w:sz w:val="16"/>
          <w:szCs w:val="16"/>
          <w:color w:val="auto"/>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leading provider of high-quality healthcare services to patients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Iowa, Montana, Nevada, Oklahoma, Oregon, Texas, Utah, Washington, Wisconsin and Wyoming. As of September 30, 2021, our home health and hospice business provided home health, hospice and home care services from 88 agencies operating across these 14 states, and our senior living business operated 54 senior living communities throughout seven states.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affiliated home health and hospice agencies and senior living communities as of: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agencies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Senior living communities</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living units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line="176" w:lineRule="exact"/>
              <w:rPr>
                <w:sz w:val="20"/>
                <w:szCs w:val="20"/>
                <w:color w:val="auto"/>
              </w:rPr>
            </w:pPr>
            <w:r>
              <w:rPr>
                <w:rFonts w:ascii="Arial" w:cs="Arial" w:eastAsia="Arial" w:hAnsi="Arial"/>
                <w:sz w:val="18"/>
                <w:szCs w:val="18"/>
                <w:color w:val="auto"/>
                <w:w w:val="94"/>
              </w:rPr>
              <w:t>Total number of home health, hospice, and</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senior living operations</w:t>
            </w: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been, and we expect to continue to be, impacted by several factors related to the viral disease known as COVID-19 (“COVID-19”) that may cause actual results to differ from our historical results or current expectations. Due to the COVID-19 pandemic, the results presented in this report are not necessarily indicative of future operating results. The situation surrounding COVID-19 remains fluid. We are actively managing our response in collaboration with government officials, team members and business partners, and we are assessing potential impacts to our financial position and operating results, as well as adverse developments in our business.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Home Health and Hospice</w:t>
      </w:r>
    </w:p>
    <w:p>
      <w:pPr>
        <w:spacing w:after="0" w:line="23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During the third quarter, the labor challenges experienced throughout the year were exacerbated as COVID-19 cases rose sharply, leading to further wage pressure, increased overtime and greater use of agency and registry staffing. Home health admissions during the quarter were impacted as more and more staff entered the quarantine protocol and by a significant decline in elective procedures, particularly in a few key markets and states that re-imposed temporary halts on such procedures.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Living</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COVID-19 continues to impact all aspects of our senior living business and geographies, including impacts on our residents, team members, vendors and business partners. For much of the third quarter of 2021, we saw a continuation of increased occupancy that began in the second quarter, although our occupancy began to decline in September and our overall senior living occupancy has decreased since the onset of the COVID-19 pandemic due to a greater number of move outs net of move ins. We cannot be sure if or when the occupancy levels in our senior living communities will improve over multiple measurement periods or return to pre-pandemic levels.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Labor</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experienced and expect to continue to see increased labor costs due to increased overtime and premium pay and the increased need for temporary labor to supplement our existing staffing. We are monitoring the ongoing impact of our COVID-19 response actions on our revenue and expenses, including labor acquisition and turnover costs that may be imposed by existing and anticipated state and federal vaccination mandates imposed for skilled workers in home health agencies, senior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living communities and other health care service providers. However, the extent to which COVID-19 will continue to impact our operations will depend on future developments, which remain uncertain and cannot be predicted with confidence, including the pace of spread and impact of the B.1.617.2 variant of COVID-19 (the “Delta variant”) and other potential variant strains, and the actions taken to contain COVID-19 or treat its impact, among others.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Activities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nine months ended September 30, 2021, we expanded our operations with the addition of five home health, four hospice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two home care agencies. We entered into a separate operations transfer agreement with each respective prior operator as a part of each transaction. The aggregate purchase price for these acquisitions was $14.1 million. For further discussion of our acquisitions, see Note 7, </w:t>
      </w:r>
      <w:r>
        <w:rPr>
          <w:rFonts w:ascii="Arial" w:cs="Arial" w:eastAsia="Arial" w:hAnsi="Arial"/>
          <w:sz w:val="18"/>
          <w:szCs w:val="18"/>
          <w:i w:val="1"/>
          <w:iCs w:val="1"/>
          <w:color w:val="auto"/>
        </w:rPr>
        <w:t>Acquisitions</w:t>
      </w:r>
      <w:r>
        <w:rPr>
          <w:rFonts w:ascii="Arial" w:cs="Arial" w:eastAsia="Arial" w:hAnsi="Arial"/>
          <w:sz w:val="18"/>
          <w:szCs w:val="18"/>
          <w:color w:val="auto"/>
        </w:rPr>
        <w:t>, in the Notes to the Interim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the pandemic began and until the first quarter of 2021, we experienced a steady decline in senior living occupancy as move-ins declined relative to move-outs due to the pandemic. Beginning in the second quarter of 2021, and continuing into the third quarter, we have experienced a slight increase in our senior living occupancy. We cannot be sure when the occupancy levels in our senior living communities will return to pre-pandemic levels. As uncertainty regarding the COVID-19 pandemic persists, if there is a resurgence in cases, or if variant strains aggressively emerge, we could see a more prolonged recovery.</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 We established one start-up hospice agency in Washington during the three months ended September 30,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disclosed under the heading “Government Regulation” in the 2020 Annual Report a summary of regulations that we believe materially affect our business, financial condition or results of operations. Since the time of the filing of the 2020 Annual Report, the following regulations have been updated.</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Coronavirus Aid, Relief, and Economic Security Act (the “CARES Act”) was enacted on March 27, 2020 in the United States and subsequent regulatory actions. The CARES Act contained provisions for accelerated or advance Medicare payments (“AAP”) to provide supporting cash flow to providers and suppliers combating the effects of the COVID-19 pandemic. We applied for and received $28.0 million in the prior year. These funds are subject to automatic recoupment through offsets to new claims beginning one year after payment were issued. In April, 2021, CMS began to automatically recoup 25% of Medicare payments, which will continue for 11 months. At the end of the 11 months, assuming full repayment has not occurred, recoupment will increase to 50% for another six months. Any balance outstanding after these two recoupment periods will be subject to repayment at a 4% interest rate. We anticipate completing repayment of the AAP within the allotted recoupment periods.</w:t>
      </w:r>
    </w:p>
    <w:p>
      <w:pPr>
        <w:spacing w:after="0" w:line="20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CARES Act temporarily suspended the 2% sequestration payment adjustment on Medicare fee-for-service payment beginning May 1, 2020 until December 31, 2020. The suspension was initially extended to go through March 31, 2021, and in April 2021 was extended through December 31, 2021. We recognized $0.9 million and $2.7 million in revenue related to the suspension of sequestration for the three and nine months ended September 30, 2021, respectively, and $1.1 million and $1.7 million for the three and nine months ended September 30, 2020, respectively, exclusive of our start-up operations. Further, the CARES Act payroll tax deferral program allowed employers to defer the deposit and payment of the employer’s portion of social security taxes that otherwise would be due between March 27, 2020, and December 31, 2020. The CARES Act permits employers to deposit half of these deferred payments by the end of 2021 and the other half by the end of 2022. We deferred approximately $7.8 million of the employer-paid portion of social security taxes, of which $3.9 million is included in other long-term liabilities and the current portion of $3.9 million in accrued wages and related liabilities.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American Rescue Plan Act of 2021 (the “ARP Act”) was enacted on March 11, 2021 in the United States. The ARP Act was designed to assist the country with the effects of the COVID-19 pandemic and included a number of tax components. The ARP Act’s primary tax impact on us is a new revenue raising provision that requires us to include the next five highest paid employees to the list of covered officers already subject to the IRC Section 162(m) wage limitation beginning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2027 tax year. We will continue to assess the effect of the ARP Act and ongoing other government legislation related to the COVID-19 pandemic that may be issued.</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third quarter of 2021, President Biden directed the Department of Labor, Occupational Safety and Health Administration (“OSHA”) to implement a rule requiring employers with more than 100 employees to require its employees to be fully vaccinated for COVID-19 or submit to weekly testing for the virus. This OSHA regulation has not yet been announced and is expected in the fourth quarter of 2021. Similarly, during the third quarter the Department of Health and Human Services, Centers for Medicare and Medicaid Services (“CMS”) announced that it would be issuing a rule requiring workers at home health agencies, and potentially other health care provider services, to be fully vaccinated for COVID-19 without an option for testing in lieu of vaccination. This CMS regulation also has not yet been announced and is expected in the fourth quarter of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two reportable segments: (1) home health and hospice services, which includes our home health, home care and hospice businesses; and</w:t>
      </w:r>
    </w:p>
    <w:p>
      <w:pPr>
        <w:spacing w:after="0" w:line="46" w:lineRule="exact"/>
        <w:rPr>
          <w:sz w:val="20"/>
          <w:szCs w:val="20"/>
          <w:color w:val="auto"/>
        </w:rPr>
      </w:pPr>
    </w:p>
    <w:p>
      <w:pPr>
        <w:jc w:val="both"/>
        <w:ind w:firstLine="8"/>
        <w:spacing w:after="0" w:line="255" w:lineRule="auto"/>
        <w:tabs>
          <w:tab w:leader="none" w:pos="2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senior living services, which includes the operation of assisted living, independent living and memory care communities. Our Chief Executive Officer, who is our Chief Operating Decision Maker (“CODM”), reviews financial information at the operating segment level. We also report an “all other” category that includes general and administrative expense from our Service Center.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the fiscal aspects of our business by monitoring key performance indicators that affect our financial performance. These indicators and their definitions include the following: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and Hospice Services</w:t>
      </w: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Total home health admissions</w:t>
      </w:r>
      <w:r>
        <w:rPr>
          <w:rFonts w:ascii="Arial" w:cs="Arial" w:eastAsia="Arial" w:hAnsi="Arial"/>
          <w:sz w:val="16"/>
          <w:szCs w:val="16"/>
          <w:color w:val="auto"/>
        </w:rPr>
        <w:t>. The total admissions of home health patients, including new acquisitions, new admissions and readmissions.</w:t>
      </w:r>
    </w:p>
    <w:p>
      <w:pPr>
        <w:spacing w:after="0" w:line="140" w:lineRule="exact"/>
        <w:rPr>
          <w:rFonts w:ascii="Arial" w:cs="Arial" w:eastAsia="Arial" w:hAnsi="Arial"/>
          <w:sz w:val="16"/>
          <w:szCs w:val="16"/>
          <w:i w:val="1"/>
          <w:iCs w:val="1"/>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Total Medicare home health admissions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admissions of home health patients, who are receiving care under Medicare reimbursement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including new acquisitions, new admissions and readmissions.</w:t>
      </w:r>
    </w:p>
    <w:p>
      <w:pPr>
        <w:spacing w:after="0" w:line="62"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Average Medicare revenue per completed 60-day home health episode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amount of revenue for each completed 60-day home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episode generated from patients who are receiving care under Medicare reimbursement programs.</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Total hospice admissions</w:t>
      </w:r>
      <w:r>
        <w:rPr>
          <w:rFonts w:ascii="Arial" w:cs="Arial" w:eastAsia="Arial" w:hAnsi="Arial"/>
          <w:sz w:val="18"/>
          <w:szCs w:val="18"/>
          <w:color w:val="auto"/>
        </w:rPr>
        <w:t>. Total admissions of hospice patients, including new acquisitions, new admissions and recertifications.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Average hospice daily census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number of patients who are receiving hospice care during any measurement period divided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days during such measurement period.</w:t>
      </w:r>
    </w:p>
    <w:p>
      <w:pPr>
        <w:spacing w:after="0" w:line="62" w:lineRule="exact"/>
        <w:rPr>
          <w:rFonts w:ascii="Arial" w:cs="Arial" w:eastAsia="Arial" w:hAnsi="Arial"/>
          <w:sz w:val="18"/>
          <w:szCs w:val="18"/>
          <w:b w:val="1"/>
          <w:bCs w:val="1"/>
          <w:i w:val="1"/>
          <w:iCs w:val="1"/>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Hospice Medicare revenue per day</w:t>
      </w:r>
      <w:r>
        <w:rPr>
          <w:rFonts w:ascii="Arial" w:cs="Arial" w:eastAsia="Arial" w:hAnsi="Arial"/>
          <w:sz w:val="18"/>
          <w:szCs w:val="18"/>
          <w:color w:val="auto"/>
        </w:rPr>
        <w:t>. The average daily Medicare revenue recorded during any measurement period for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hospice patients.</w:t>
      </w:r>
    </w:p>
    <w:p>
      <w:pPr>
        <w:spacing w:after="0" w:line="6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our overall home health and hospice statistics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776"/>
        </w:trPr>
        <w:tc>
          <w:tcPr>
            <w:tcW w:w="1280" w:type="dxa"/>
            <w:vAlign w:val="bottom"/>
            <w:tcBorders>
              <w:top w:val="single" w:sz="8" w:color="0000FF"/>
            </w:tcBorders>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r>
      <w:tr>
        <w:trPr>
          <w:trHeight w:val="230"/>
        </w:trPr>
        <w:tc>
          <w:tcPr>
            <w:tcW w:w="12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19"/>
                <w:szCs w:val="19"/>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1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Total home health admissions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18,166</w:t>
            </w:r>
          </w:p>
        </w:tc>
      </w:tr>
      <w:tr>
        <w:trPr>
          <w:trHeight w:val="229"/>
        </w:trPr>
        <w:tc>
          <w:tcPr>
            <w:tcW w:w="6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Medicare home health admissions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w:t>
            </w:r>
          </w:p>
        </w:tc>
      </w:tr>
      <w:tr>
        <w:trPr>
          <w:trHeight w:val="230"/>
        </w:trPr>
        <w:tc>
          <w:tcPr>
            <w:tcW w:w="610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Average Medicare revenue per 60-day completed episode</w:t>
            </w:r>
            <w:r>
              <w:rPr>
                <w:rFonts w:ascii="Arial" w:cs="Arial" w:eastAsia="Arial" w:hAnsi="Arial"/>
                <w:sz w:val="23"/>
                <w:szCs w:val="23"/>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3,382</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3,311</w:t>
            </w:r>
          </w:p>
        </w:tc>
      </w:tr>
      <w:tr>
        <w:trPr>
          <w:trHeight w:val="22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Total hospice admissions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5,763</w:t>
            </w:r>
          </w:p>
        </w:tc>
      </w:tr>
      <w:tr>
        <w:trPr>
          <w:trHeight w:val="229"/>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Average hospice daily census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r>
      <w:tr>
        <w:trPr>
          <w:trHeight w:val="23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Hospice Medicare revenue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w:t>
            </w:r>
          </w:p>
        </w:tc>
      </w:tr>
    </w:tbl>
    <w:p>
      <w:pPr>
        <w:spacing w:after="0" w:line="115" w:lineRule="exact"/>
        <w:rPr>
          <w:sz w:val="20"/>
          <w:szCs w:val="20"/>
          <w:color w:val="auto"/>
        </w:rPr>
      </w:pPr>
    </w:p>
    <w:p>
      <w:pPr>
        <w:ind w:left="480" w:hanging="454"/>
        <w:spacing w:after="0"/>
        <w:tabs>
          <w:tab w:leader="none" w:pos="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year to date average Medicare revenue per 60-day completed episode includes post period claim adjustments for prior quarters.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Living Services</w:t>
      </w:r>
    </w:p>
    <w:p>
      <w:pPr>
        <w:spacing w:after="0" w:line="252" w:lineRule="exact"/>
        <w:rPr>
          <w:sz w:val="20"/>
          <w:szCs w:val="20"/>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Occupancy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ratio of actual number of days our units are occupied during any measurement period to the number of units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during such measurement period.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Average monthly revenue per occupied unit</w:t>
      </w:r>
      <w:r>
        <w:rPr>
          <w:rFonts w:ascii="Arial" w:cs="Arial" w:eastAsia="Arial" w:hAnsi="Arial"/>
          <w:sz w:val="18"/>
          <w:szCs w:val="18"/>
          <w:color w:val="auto"/>
        </w:rPr>
        <w:t>. The revenue for senior living services during any measurement period divided by actual occupied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living units for such measurement period divided by the number of months for such measurement period.</w:t>
      </w:r>
    </w:p>
    <w:p>
      <w:pPr>
        <w:spacing w:after="0" w:line="6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our senior living statistics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80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0"/>
              </w:rPr>
              <w:t>Three Months Ended September</w:t>
            </w:r>
          </w:p>
        </w:tc>
        <w:tc>
          <w:tcPr>
            <w:tcW w:w="140" w:type="dxa"/>
            <w:vAlign w:val="bottom"/>
          </w:tcPr>
          <w:p>
            <w:pPr>
              <w:spacing w:after="0"/>
              <w:rPr>
                <w:sz w:val="17"/>
                <w:szCs w:val="17"/>
                <w:color w:val="auto"/>
              </w:rPr>
            </w:pPr>
          </w:p>
        </w:tc>
        <w:tc>
          <w:tcPr>
            <w:tcW w:w="25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29"/>
        </w:trPr>
        <w:tc>
          <w:tcPr>
            <w:tcW w:w="5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19"/>
                <w:szCs w:val="19"/>
                <w:color w:val="auto"/>
              </w:rPr>
            </w:pPr>
          </w:p>
        </w:tc>
      </w:tr>
      <w:tr>
        <w:trPr>
          <w:trHeight w:val="223"/>
        </w:trPr>
        <w:tc>
          <w:tcPr>
            <w:tcW w:w="5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78.5 %</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3,174</w:t>
            </w:r>
          </w:p>
        </w:tc>
        <w:tc>
          <w:tcPr>
            <w:tcW w:w="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3,179</w:t>
            </w:r>
          </w:p>
        </w:tc>
        <w:tc>
          <w:tcPr>
            <w:tcW w:w="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3,195</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and Hospice Services</w:t>
      </w:r>
    </w:p>
    <w:p>
      <w:pPr>
        <w:spacing w:after="0" w:line="25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i w:val="1"/>
          <w:iCs w:val="1"/>
          <w:color w:val="auto"/>
        </w:rPr>
        <w:t xml:space="preserve">Home Health. </w:t>
      </w:r>
      <w:r>
        <w:rPr>
          <w:rFonts w:ascii="Arial" w:cs="Arial" w:eastAsia="Arial" w:hAnsi="Arial"/>
          <w:sz w:val="16"/>
          <w:szCs w:val="16"/>
          <w:color w:val="auto"/>
        </w:rPr>
        <w:t>We derive the majority of our home health revenue from Medicare and managed care. The Medicare payment is adjusted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differences between estimated and actual payment amounts, an inability to obtain appropriate billing documentation or authorizations acceptable to the payor and other reasons unrelated to credit risk. For Medicare episodes that began prior to January 1, 2020, home health agencies were reimbursed under the Medicare HH PPS, while Medicare periods of care that began on or after that date are reimbursed under the Patient-Driven Groupings Model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w:t>
      </w: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recoveries of overpayments. For further detail regarding PDGM see the </w:t>
      </w:r>
      <w:r>
        <w:rPr>
          <w:rFonts w:ascii="Arial" w:cs="Arial" w:eastAsia="Arial" w:hAnsi="Arial"/>
          <w:sz w:val="18"/>
          <w:szCs w:val="18"/>
          <w:i w:val="1"/>
          <w:iCs w:val="1"/>
          <w:color w:val="auto"/>
        </w:rPr>
        <w:t>Government Regulation</w:t>
      </w:r>
      <w:r>
        <w:rPr>
          <w:rFonts w:ascii="Arial" w:cs="Arial" w:eastAsia="Arial" w:hAnsi="Arial"/>
          <w:sz w:val="18"/>
          <w:szCs w:val="18"/>
          <w:color w:val="auto"/>
        </w:rPr>
        <w:t xml:space="preserve"> section of our 2020 Annual Report.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Hospice. </w:t>
      </w:r>
      <w:r>
        <w:rPr>
          <w:rFonts w:ascii="Arial" w:cs="Arial" w:eastAsia="Arial" w:hAnsi="Arial"/>
          <w:sz w:val="18"/>
          <w:szCs w:val="18"/>
          <w:color w:val="auto"/>
        </w:rPr>
        <w:t>We derive the majority of our hospice business revenue from Medicare reimbursement. The estimated payment rates are calculated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214" w:lineRule="exact"/>
        <w:rPr>
          <w:sz w:val="20"/>
          <w:szCs w:val="20"/>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Routine Home Care (“RHC”). </w:t>
      </w:r>
      <w:r>
        <w:rPr>
          <w:rFonts w:ascii="Arial" w:cs="Arial" w:eastAsia="Arial" w:hAnsi="Arial"/>
          <w:sz w:val="18"/>
          <w:szCs w:val="18"/>
          <w:color w:val="auto"/>
        </w:rPr>
        <w:t>Care that is not classified under any of the other levels of care, such as the work of nurses, social workers or 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 aides.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Inpatient Care. </w:t>
      </w:r>
      <w:r>
        <w:rPr>
          <w:rFonts w:ascii="Arial" w:cs="Arial" w:eastAsia="Arial" w:hAnsi="Arial"/>
          <w:sz w:val="18"/>
          <w:szCs w:val="18"/>
          <w:color w:val="auto"/>
        </w:rPr>
        <w:t>Pain control or acute or chronic symptom management that cannot be managed in a setting other than an inpatient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Medicare-certified facility, such as a hospital, skilled nursing facility or hospice inpatient facility.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 Home Care. </w:t>
      </w:r>
      <w:r>
        <w:rPr>
          <w:rFonts w:ascii="Arial" w:cs="Arial" w:eastAsia="Arial" w:hAnsi="Arial"/>
          <w:sz w:val="18"/>
          <w:szCs w:val="18"/>
          <w:color w:val="auto"/>
        </w:rPr>
        <w:t>Care for patients experiencing a medical crisis that requires nursing services to achieve palliation and symptom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agency provides a minimum of eight hours of care within a 24-hour period.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Inpatient Respite Care. </w:t>
      </w:r>
      <w:r>
        <w:rPr>
          <w:rFonts w:ascii="Arial" w:cs="Arial" w:eastAsia="Arial" w:hAnsi="Arial"/>
          <w:sz w:val="17"/>
          <w:szCs w:val="17"/>
          <w:color w:val="auto"/>
        </w:rPr>
        <w:t>Short-term, inpatient care to give temporary relief to the caregiver who regularly provides care to the patient.</w:t>
      </w:r>
    </w:p>
    <w:p>
      <w:pPr>
        <w:spacing w:after="0" w:line="2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CMS has established a two-tiered payment system for RHC. Hospices are reimbursed at a higher rate for RHC services provided from days of service one through 60 and a lower rate for all subsequent days of service. CMS also provides for a Service Intensity Add-On, which increases payments for certain RHC services provided by registered nurses and social workers to hospice patients during the final seven days of life.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estimate amounts due back to Medicare to the extent that the cap has been exceeded.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Senior Living 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September 30, 2021, we provided assisted living, independent living and memory care services in 54 communities.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our senior living operations, we generate revenue primarily from private pay sources, with a portion earned from Medicaid or other state-specific programs.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Expense</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Cost of Services (excluding rent, general and administrative expense and depreciation and amortization)</w:t>
      </w:r>
      <w:r>
        <w:rPr>
          <w:rFonts w:ascii="Arial" w:cs="Arial" w:eastAsia="Arial" w:hAnsi="Arial"/>
          <w:sz w:val="17"/>
          <w:szCs w:val="17"/>
          <w:color w:val="auto"/>
        </w:rPr>
        <w:t>. Our cost of services represents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of operating our independent operating subsidiaries, which primarily consists of payroll and related benefits, supplies, purchased services, and ancillary expenses such as the cost of pharmacy and therapy services provided to patients. Cost of services also includes the cost of general and professional liability insurance and other general cost of services specifically attributable to our operations.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Rent—Cost of Services</w:t>
      </w:r>
      <w:r>
        <w:rPr>
          <w:rFonts w:ascii="Arial" w:cs="Arial" w:eastAsia="Arial" w:hAnsi="Arial"/>
          <w:sz w:val="18"/>
          <w:szCs w:val="18"/>
          <w:color w:val="auto"/>
        </w:rPr>
        <w:t>. Rent—cost of services consists solely of base minimum rent amounts payable under lease agreements to our landlords.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subsidiaries lease and operate but do not own the underlying real estate at our operations, and these amounts do not include taxes, insurance, impounds, capital reserves or other charges payable under the applicable lease agreements.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General and Administrative Expense</w:t>
      </w:r>
      <w:r>
        <w:rPr>
          <w:rFonts w:ascii="Arial" w:cs="Arial" w:eastAsia="Arial" w:hAnsi="Arial"/>
          <w:sz w:val="16"/>
          <w:szCs w:val="16"/>
          <w:color w:val="auto"/>
        </w:rPr>
        <w:t>. General and administrative expense consists primarily of payroll and related benefits and travel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our Service Center personnel, including training and other operational support. General and administrative expense also includes professional fees (including accounting and legal fees), costs relating to information systems, stock-based compensation and rent for our Service Center offices.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Property and equipment are recorded at their original historical cost. Depreciation is computed using the straight-line method over the estimated useful lives of the depreciable assets (ranging from three to 15 years). Leasehold improvements are amortized on a straight-line basis over the shorter of their estimated useful lives or the remaining lease 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revenue, cost allocations, leases, intangible assets, goodwill, and income taxes.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Arial" w:cs="Arial" w:eastAsia="Arial" w:hAnsi="Arial"/>
          <w:sz w:val="16"/>
          <w:szCs w:val="16"/>
          <w:i w:val="1"/>
          <w:iCs w:val="1"/>
          <w:color w:val="auto"/>
        </w:rPr>
        <w:t>Basis of Presentation and 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within the 2020 Annual Report for further information on our critical accounting estimates and policies, which are as follows:</w:t>
      </w:r>
    </w:p>
    <w:p>
      <w:pPr>
        <w:spacing w:after="0" w:line="192" w:lineRule="exact"/>
        <w:rPr>
          <w:sz w:val="20"/>
          <w:szCs w:val="20"/>
          <w:color w:val="auto"/>
        </w:rPr>
      </w:pPr>
    </w:p>
    <w:p>
      <w:pPr>
        <w:ind w:left="660" w:right="520" w:hanging="328"/>
        <w:spacing w:after="0" w:line="30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The estimate of variable considerations to arrive at the transaction price, including methods and assumptions used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settlements with Medicare and Medicaid payors or retroactive adjustments due to audits and reviews;</w:t>
      </w:r>
    </w:p>
    <w:p>
      <w:pPr>
        <w:spacing w:after="0" w:line="38" w:lineRule="exact"/>
        <w:rPr>
          <w:rFonts w:ascii="Arial" w:cs="Arial" w:eastAsia="Arial" w:hAnsi="Arial"/>
          <w:sz w:val="17"/>
          <w:szCs w:val="17"/>
          <w:color w:val="auto"/>
        </w:rPr>
      </w:pPr>
    </w:p>
    <w:p>
      <w:pPr>
        <w:ind w:left="660" w:right="4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We use our estimated incremental borrowing rate based on the information available at lease commencement date in determining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 value of future lease payments;</w:t>
      </w:r>
    </w:p>
    <w:p>
      <w:pPr>
        <w:spacing w:after="0" w:line="58" w:lineRule="exact"/>
        <w:rPr>
          <w:rFonts w:ascii="Arial" w:cs="Arial" w:eastAsia="Arial" w:hAnsi="Arial"/>
          <w:sz w:val="18"/>
          <w:szCs w:val="18"/>
          <w:color w:val="auto"/>
        </w:rPr>
      </w:pPr>
    </w:p>
    <w:p>
      <w:pPr>
        <w:ind w:left="660" w:right="180" w:hanging="328"/>
        <w:spacing w:after="0" w:line="282"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Acquisition accountin</w:t>
      </w:r>
      <w:r>
        <w:rPr>
          <w:rFonts w:ascii="Arial" w:cs="Arial" w:eastAsia="Arial" w:hAnsi="Arial"/>
          <w:sz w:val="18"/>
          <w:szCs w:val="18"/>
          <w:b w:val="1"/>
          <w:bCs w:val="1"/>
          <w:color w:val="auto"/>
        </w:rPr>
        <w:t>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The assumptions used to allocate the purchase price paid for assets acquired and liabilities assumed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acquisitions; and</w:t>
      </w:r>
    </w:p>
    <w:p>
      <w:pPr>
        <w:spacing w:after="0" w:line="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estimation of valuation allowance or the need for and magnitude of liabilities for uncertain tax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840" w:firstLine="180"/>
        <w:spacing w:after="0" w:line="277" w:lineRule="auto"/>
        <w:rPr>
          <w:sz w:val="20"/>
          <w:szCs w:val="20"/>
          <w:color w:val="auto"/>
        </w:rPr>
      </w:pPr>
      <w:r>
        <w:rPr>
          <w:rFonts w:ascii="Arial" w:cs="Arial" w:eastAsia="Arial" w:hAnsi="Arial"/>
          <w:sz w:val="18"/>
          <w:szCs w:val="18"/>
          <w:color w:val="auto"/>
        </w:rPr>
        <w:t xml:space="preserve">Information concerning recently issued accounting pronouncements are included in Note 2, </w:t>
      </w:r>
      <w:r>
        <w:rPr>
          <w:rFonts w:ascii="Arial" w:cs="Arial" w:eastAsia="Arial" w:hAnsi="Arial"/>
          <w:sz w:val="18"/>
          <w:szCs w:val="18"/>
          <w:i w:val="1"/>
          <w:iCs w:val="1"/>
          <w:color w:val="auto"/>
        </w:rPr>
        <w:t>Basis of Presentation and 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in the Interim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details of our revenue, expenses and earnings as a percentage of total revenue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8"/>
                <w:szCs w:val="18"/>
                <w:color w:val="auto"/>
              </w:rPr>
            </w:pPr>
          </w:p>
        </w:tc>
        <w:tc>
          <w:tcPr>
            <w:tcW w:w="28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Three Months Ended September</w:t>
            </w:r>
          </w:p>
        </w:tc>
        <w:tc>
          <w:tcPr>
            <w:tcW w:w="2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0"/>
        </w:trPr>
        <w:tc>
          <w:tcPr>
            <w:tcW w:w="5740" w:type="dxa"/>
            <w:vAlign w:val="bottom"/>
          </w:tcPr>
          <w:p>
            <w:pPr>
              <w:spacing w:after="0"/>
              <w:rPr>
                <w:sz w:val="19"/>
                <w:szCs w:val="19"/>
                <w:color w:val="auto"/>
              </w:rPr>
            </w:pPr>
          </w:p>
        </w:tc>
        <w:tc>
          <w:tcPr>
            <w:tcW w:w="16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19"/>
                <w:szCs w:val="19"/>
                <w:color w:val="auto"/>
              </w:rPr>
            </w:pPr>
          </w:p>
        </w:tc>
      </w:tr>
      <w:tr>
        <w:trPr>
          <w:trHeight w:val="223"/>
        </w:trPr>
        <w:tc>
          <w:tcPr>
            <w:tcW w:w="5740" w:type="dxa"/>
            <w:vAlign w:val="bottom"/>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8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75.6</w:t>
            </w:r>
          </w:p>
        </w:tc>
      </w:tr>
      <w:tr>
        <w:trPr>
          <w:trHeight w:val="230"/>
        </w:trPr>
        <w:tc>
          <w:tcPr>
            <w:tcW w:w="5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Rent—cost of services</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w:t>
            </w: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General and administrative expense</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7.7</w:t>
            </w: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23"/>
        </w:trPr>
        <w:tc>
          <w:tcPr>
            <w:tcW w:w="57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expenses</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94.8</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income</w:t>
            </w: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30"/>
        </w:trPr>
        <w:tc>
          <w:tcPr>
            <w:tcW w:w="57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 expense, net</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r>
      <w:tr>
        <w:trPr>
          <w:trHeight w:val="223"/>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 net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5.0</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4.1</w:t>
            </w: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loss attributable to noncontrolling interest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Net income attributable to Pennant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4.1 %</w:t>
            </w:r>
          </w:p>
        </w:tc>
      </w:tr>
      <w:tr>
        <w:trPr>
          <w:trHeight w:val="20"/>
        </w:trPr>
        <w:tc>
          <w:tcPr>
            <w:tcW w:w="5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consolidated GAAP Financial measures for the three and nine months ended September 30, 2021 and 2020: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r>
      <w:tr>
        <w:trPr>
          <w:trHeight w:val="229"/>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19"/>
                <w:szCs w:val="19"/>
                <w:color w:val="auto"/>
              </w:rPr>
            </w:pPr>
          </w:p>
        </w:tc>
      </w:tr>
      <w:tr>
        <w:trPr>
          <w:trHeight w:val="223"/>
        </w:trPr>
        <w:tc>
          <w:tcPr>
            <w:tcW w:w="6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GAAP Financial Measures: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111,921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98,397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327,929</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282,986</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321,045</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268,161</w:t>
            </w:r>
          </w:p>
        </w:tc>
      </w:tr>
      <w:tr>
        <w:trPr>
          <w:trHeight w:val="224"/>
        </w:trPr>
        <w:tc>
          <w:tcPr>
            <w:tcW w:w="61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14,825</w:t>
            </w:r>
          </w:p>
        </w:tc>
      </w:tr>
    </w:tbl>
    <w:p>
      <w:pPr>
        <w:spacing w:after="0" w:line="32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present certain financial information regarding our reportable segments. General and administrative expenses are not allocated to the reportable segments and are included in “All Other”: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Home Health and</w:t>
            </w:r>
          </w:p>
        </w:tc>
        <w:tc>
          <w:tcPr>
            <w:tcW w:w="2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Senior Living</w:t>
            </w:r>
          </w:p>
        </w:tc>
        <w:tc>
          <w:tcPr>
            <w:tcW w:w="320" w:type="dxa"/>
            <w:vAlign w:val="bottom"/>
          </w:tcPr>
          <w:p>
            <w:pPr>
              <w:spacing w:after="0"/>
              <w:rPr>
                <w:sz w:val="17"/>
                <w:szCs w:val="17"/>
                <w:color w:val="auto"/>
              </w:rPr>
            </w:pPr>
          </w:p>
        </w:tc>
        <w:tc>
          <w:tcPr>
            <w:tcW w:w="13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All Other</w:t>
            </w:r>
          </w:p>
        </w:tc>
        <w:tc>
          <w:tcPr>
            <w:tcW w:w="40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Hospice Services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Services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GAAP Financial Measures: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September 30, 2021</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79,003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32,918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111,921</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14,409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9,106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(6,783)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16,732</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64,379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34,018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98,397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11,684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18,357</w:t>
            </w:r>
          </w:p>
        </w:tc>
        <w:tc>
          <w:tcPr>
            <w:tcW w:w="0" w:type="dxa"/>
            <w:vAlign w:val="bottom"/>
          </w:tcPr>
          <w:p>
            <w:pPr>
              <w:spacing w:after="0"/>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Home Health and</w:t>
            </w:r>
          </w:p>
        </w:tc>
        <w:tc>
          <w:tcPr>
            <w:tcW w:w="2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Senior Living</w:t>
            </w:r>
          </w:p>
        </w:tc>
        <w:tc>
          <w:tcPr>
            <w:tcW w:w="340" w:type="dxa"/>
            <w:vAlign w:val="bottom"/>
          </w:tcPr>
          <w:p>
            <w:pPr>
              <w:spacing w:after="0"/>
              <w:rPr>
                <w:sz w:val="17"/>
                <w:szCs w:val="17"/>
                <w:color w:val="auto"/>
              </w:rPr>
            </w:pPr>
          </w:p>
        </w:tc>
        <w:tc>
          <w:tcPr>
            <w:tcW w:w="13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All Other</w:t>
            </w:r>
          </w:p>
        </w:tc>
        <w:tc>
          <w:tcPr>
            <w:tcW w:w="40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5"/>
              </w:rPr>
              <w:t>Hospice Services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Services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GAAP Financial Measures: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 2021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231,715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96,214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327,929</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43,131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27,692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(19,249)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51,574</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179,125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103,861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282,986</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37,673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56,716</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provides a reconciliation of Segment Adjusted EBITDAR from Operations to Condensed Consolidated Income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tbl>
      <w:tblPr>
        <w:tblLayout w:type="fixed"/>
        <w:tblInd w:w="100" w:type="dxa"/>
        <w:tblCellMar>
          <w:top w:w="0" w:type="dxa"/>
          <w:left w:w="0" w:type="dxa"/>
          <w:bottom w:w="0" w:type="dxa"/>
          <w:right w:w="0" w:type="dxa"/>
        </w:tblCellMar>
      </w:tblPr>
      <w:tr>
        <w:trPr>
          <w:trHeight w:val="207"/>
        </w:trPr>
        <w:tc>
          <w:tcPr>
            <w:tcW w:w="61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776"/>
        </w:trPr>
        <w:tc>
          <w:tcPr>
            <w:tcW w:w="1280" w:type="dxa"/>
            <w:vAlign w:val="bottom"/>
            <w:tcBorders>
              <w:top w:val="single" w:sz="8" w:color="0000FF"/>
            </w:tcBorders>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5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r>
      <w:tr>
        <w:trPr>
          <w:trHeight w:val="230"/>
        </w:trPr>
        <w:tc>
          <w:tcPr>
            <w:tcW w:w="12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9"/>
                <w:szCs w:val="19"/>
                <w:color w:val="auto"/>
              </w:rPr>
            </w:pPr>
          </w:p>
        </w:tc>
        <w:tc>
          <w:tcPr>
            <w:tcW w:w="13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940" w:type="dxa"/>
            <w:vAlign w:val="bottom"/>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12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5"/>
          </w:tcPr>
          <w:p>
            <w:pPr>
              <w:ind w:left="44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Segment Adjusted EBITDAR from Operations</w:t>
            </w:r>
            <w:r>
              <w:rPr>
                <w:rFonts w:ascii="Arial" w:cs="Arial" w:eastAsia="Arial" w:hAnsi="Arial"/>
                <w:sz w:val="23"/>
                <w:szCs w:val="23"/>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56,716</w:t>
            </w: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Less: Depreciation and amortization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3,434</w:t>
            </w:r>
          </w:p>
        </w:tc>
      </w:tr>
      <w:tr>
        <w:trPr>
          <w:trHeight w:val="229"/>
        </w:trPr>
        <w:tc>
          <w:tcPr>
            <w:tcW w:w="6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Rent—cost of services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29,194</w:t>
            </w:r>
          </w:p>
        </w:tc>
      </w:tr>
      <w:tr>
        <w:trPr>
          <w:trHeight w:val="230"/>
        </w:trPr>
        <w:tc>
          <w:tcPr>
            <w:tcW w:w="6100" w:type="dxa"/>
            <w:vAlign w:val="bottom"/>
            <w:gridSpan w:val="2"/>
          </w:tcPr>
          <w:p>
            <w:pPr>
              <w:ind w:left="48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Segment EBITDAR from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1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Less: Costs at start-up operations</w:t>
            </w:r>
            <w:r>
              <w:rPr>
                <w:rFonts w:ascii="Arial" w:cs="Arial" w:eastAsia="Arial" w:hAnsi="Arial"/>
                <w:sz w:val="23"/>
                <w:szCs w:val="23"/>
                <w:color w:val="auto"/>
                <w:vertAlign w:val="superscript"/>
              </w:rPr>
              <w:t>(b)</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1,422</w:t>
            </w:r>
          </w:p>
        </w:tc>
      </w:tr>
      <w:tr>
        <w:trPr>
          <w:trHeight w:val="230"/>
        </w:trPr>
        <w:tc>
          <w:tcPr>
            <w:tcW w:w="6100" w:type="dxa"/>
            <w:vAlign w:val="bottom"/>
            <w:gridSpan w:val="2"/>
            <w:shd w:val="clear" w:color="auto" w:fill="CCEEFF"/>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r>
      <w:tr>
        <w:trPr>
          <w:trHeight w:val="229"/>
        </w:trPr>
        <w:tc>
          <w:tcPr>
            <w:tcW w:w="6100" w:type="dxa"/>
            <w:vAlign w:val="bottom"/>
            <w:gridSpan w:val="2"/>
          </w:tcPr>
          <w:p>
            <w:pPr>
              <w:ind w:left="46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gridSpan w:val="2"/>
            <w:shd w:val="clear" w:color="auto" w:fill="CCEEFF"/>
          </w:tcPr>
          <w:p>
            <w:pPr>
              <w:ind w:left="46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30"/>
        </w:trPr>
        <w:tc>
          <w:tcPr>
            <w:tcW w:w="6100" w:type="dxa"/>
            <w:vAlign w:val="bottom"/>
            <w:gridSpan w:val="2"/>
          </w:tcPr>
          <w:p>
            <w:pPr>
              <w:ind w:left="460"/>
              <w:spacing w:after="0" w:line="230" w:lineRule="exact"/>
              <w:rPr>
                <w:sz w:val="20"/>
                <w:szCs w:val="20"/>
                <w:color w:val="auto"/>
              </w:rPr>
            </w:pPr>
            <w:r>
              <w:rPr>
                <w:rFonts w:ascii="Arial" w:cs="Arial" w:eastAsia="Arial" w:hAnsi="Arial"/>
                <w:sz w:val="18"/>
                <w:szCs w:val="18"/>
                <w:color w:val="auto"/>
              </w:rPr>
              <w:t>Net COVID-19 related costs</w:t>
            </w:r>
            <w:r>
              <w:rPr>
                <w:rFonts w:ascii="Arial" w:cs="Arial" w:eastAsia="Arial" w:hAnsi="Arial"/>
                <w:sz w:val="23"/>
                <w:szCs w:val="23"/>
                <w:color w:val="auto"/>
                <w:vertAlign w:val="superscript"/>
              </w:rPr>
              <w:t>(f)</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2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 Net loss attributable to noncontrolling interest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Condensed Consolidated Income from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14,825</w:t>
            </w:r>
          </w:p>
        </w:tc>
      </w:tr>
      <w:tr>
        <w:trPr>
          <w:trHeight w:val="20"/>
        </w:trPr>
        <w:tc>
          <w:tcPr>
            <w:tcW w:w="12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580" w:right="260" w:hanging="580"/>
        <w:spacing w:after="0" w:line="212" w:lineRule="auto"/>
        <w:tabs>
          <w:tab w:leader="none" w:pos="337"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(4) redundant and nonrecurring costs associated with the Transition Services Agreement, and (5) net loss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11" w:lineRule="exact"/>
        <w:rPr>
          <w:sz w:val="20"/>
          <w:szCs w:val="20"/>
          <w:color w:val="auto"/>
        </w:rPr>
      </w:pPr>
    </w:p>
    <w:p>
      <w:pPr>
        <w:ind w:left="320" w:hanging="317"/>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28" w:lineRule="exact"/>
        <w:rPr>
          <w:rFonts w:ascii="Arial" w:cs="Arial" w:eastAsia="Arial" w:hAnsi="Arial"/>
          <w:sz w:val="14"/>
          <w:szCs w:val="14"/>
          <w:color w:val="auto"/>
        </w:rPr>
      </w:pPr>
    </w:p>
    <w:p>
      <w:pPr>
        <w:ind w:left="320" w:hanging="320"/>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28" w:lineRule="exact"/>
        <w:rPr>
          <w:rFonts w:ascii="Arial" w:cs="Arial" w:eastAsia="Arial" w:hAnsi="Arial"/>
          <w:sz w:val="14"/>
          <w:szCs w:val="14"/>
          <w:color w:val="auto"/>
        </w:rPr>
      </w:pPr>
    </w:p>
    <w:p>
      <w:pPr>
        <w:ind w:left="320" w:hanging="317"/>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Acquisition related costs related to business combinations during the periods.</w:t>
      </w:r>
    </w:p>
    <w:p>
      <w:pPr>
        <w:spacing w:after="0" w:line="28" w:lineRule="exact"/>
        <w:rPr>
          <w:sz w:val="20"/>
          <w:szCs w:val="20"/>
          <w:color w:val="auto"/>
        </w:rPr>
      </w:pPr>
    </w:p>
    <w:p>
      <w:pPr>
        <w:ind w:left="580" w:right="260" w:hanging="580"/>
        <w:spacing w:after="0" w:line="212" w:lineRule="auto"/>
        <w:tabs>
          <w:tab w:leader="none" w:pos="337"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portion of the costs incurred under the Transition Services Agreement identified as redundant or nonrecurring that are included in general and administrative expense. Fees incurred under the Transition Services Agreement, net of the Company’s payroll reimbursement, were $706 and $2,441 for the three and nine months ended September 30, 2021, and $1,502 and $4,583 for the three and nine months ended September 30, 2020, respectively. During the fourth quarter of fiscal 2020, we updated our Transition service costs adjustment to include duplicate software costs. The prior year transition service costs adjustment has been recast to reflect the change. The adjustment to the prior year transition service costs was $113 and $333 for the duplicative software costs for the three and nine months ended September 30, 2020 that were included in the 2020 full year amount in the Company’s as filed Form 10-K.</w:t>
      </w:r>
    </w:p>
    <w:p>
      <w:pPr>
        <w:spacing w:after="0" w:line="11" w:lineRule="exact"/>
        <w:rPr>
          <w:sz w:val="20"/>
          <w:szCs w:val="20"/>
          <w:color w:val="auto"/>
        </w:rPr>
      </w:pPr>
    </w:p>
    <w:p>
      <w:pPr>
        <w:ind w:left="580" w:right="260" w:hanging="580"/>
        <w:spacing w:after="0" w:line="243" w:lineRule="auto"/>
        <w:tabs>
          <w:tab w:leader="none" w:pos="337" w:val="left"/>
        </w:tabs>
        <w:numPr>
          <w:ilvl w:val="0"/>
          <w:numId w:val="28"/>
        </w:numPr>
        <w:rPr>
          <w:rFonts w:ascii="Arial" w:cs="Arial" w:eastAsia="Arial" w:hAnsi="Arial"/>
          <w:sz w:val="13"/>
          <w:szCs w:val="13"/>
          <w:color w:val="auto"/>
        </w:rPr>
      </w:pPr>
      <w:r>
        <w:rPr>
          <w:rFonts w:ascii="Arial" w:cs="Arial" w:eastAsia="Arial" w:hAnsi="Arial"/>
          <w:sz w:val="13"/>
          <w:szCs w:val="13"/>
          <w:color w:val="auto"/>
        </w:rPr>
        <w:t>Beginning in the first quarter of fiscal year 2021, we updated our definition of Segment Adjusted EBITDAR to no longer include an adjustment for COVID-19 expenses offset by the amount of sequestration relief. COVID-19 expenses continue to be part of daily operations for which less specific identification is visible. Furthermore, the sequestration relief has been extended through December 31, 2021. Sequestration relief was $867 and $2,685 for the three and nine months ended September 30, 2021, respectively.</w:t>
      </w:r>
    </w:p>
    <w:p>
      <w:pPr>
        <w:spacing w:after="0" w:line="86" w:lineRule="exact"/>
        <w:rPr>
          <w:sz w:val="20"/>
          <w:szCs w:val="20"/>
          <w:color w:val="auto"/>
        </w:rPr>
      </w:pPr>
    </w:p>
    <w:p>
      <w:pPr>
        <w:jc w:val="both"/>
        <w:ind w:left="580" w:right="260"/>
        <w:spacing w:after="0" w:line="224" w:lineRule="auto"/>
        <w:rPr>
          <w:sz w:val="20"/>
          <w:szCs w:val="20"/>
          <w:color w:val="auto"/>
        </w:rPr>
      </w:pPr>
      <w:r>
        <w:rPr>
          <w:rFonts w:ascii="Arial" w:cs="Arial" w:eastAsia="Arial" w:hAnsi="Arial"/>
          <w:sz w:val="14"/>
          <w:szCs w:val="14"/>
          <w:color w:val="auto"/>
        </w:rPr>
        <w:t>The 2020 amounts represent incremental costs incurred as part of the Company's response to COVID-19 including direct medical supplies, labor, and other expenses, net of $1,121 and $1,675 in increased revenue related to the 2% payment increase in Medicare reimbursements for sequestration relief for the three and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0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90"/>
        </w:trPr>
        <w:tc>
          <w:tcPr>
            <w:tcW w:w="6100" w:type="dxa"/>
            <w:vAlign w:val="bottom"/>
            <w:gridSpan w:val="2"/>
          </w:tcPr>
          <w:p>
            <w:pPr>
              <w:ind w:left="660"/>
              <w:spacing w:after="0"/>
              <w:rPr>
                <w:sz w:val="20"/>
                <w:szCs w:val="20"/>
                <w:color w:val="auto"/>
              </w:rPr>
            </w:pPr>
            <w:r>
              <w:rPr>
                <w:rFonts w:ascii="Arial" w:cs="Arial" w:eastAsia="Arial" w:hAnsi="Arial"/>
                <w:sz w:val="18"/>
                <w:szCs w:val="18"/>
                <w:i w:val="1"/>
                <w:iCs w:val="1"/>
                <w:color w:val="auto"/>
              </w:rPr>
              <w:t>Performance and Valuation Measures: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0"/>
        </w:trPr>
        <w:tc>
          <w:tcPr>
            <w:tcW w:w="12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4"/>
          </w:tcPr>
          <w:p>
            <w:pPr>
              <w:ind w:left="4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12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Non-GAAP Financial Measures: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Performance Metrics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Consolidated EBITDA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10,747</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18,484</w:t>
            </w:r>
          </w:p>
        </w:tc>
      </w:tr>
      <w:tr>
        <w:trPr>
          <w:trHeight w:val="229"/>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Consolidated 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6,495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21,415</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27,619</w:t>
            </w:r>
          </w:p>
        </w:tc>
      </w:tr>
      <w:tr>
        <w:trPr>
          <w:trHeight w:val="23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Metric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Consolidated Adjusted EBITDAR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16,732</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51,574</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39"/>
        </w:trPr>
        <w:tc>
          <w:tcPr>
            <w:tcW w:w="12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29"/>
        </w:trPr>
        <w:tc>
          <w:tcPr>
            <w:tcW w:w="12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4"/>
          </w:tcPr>
          <w:p>
            <w:pPr>
              <w:ind w:left="4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12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Segment Non-GAAP Measures:</w:t>
            </w:r>
            <w:r>
              <w:rPr>
                <w:rFonts w:ascii="Arial" w:cs="Arial" w:eastAsia="Arial" w:hAnsi="Arial"/>
                <w:sz w:val="23"/>
                <w:szCs w:val="23"/>
                <w:b w:val="1"/>
                <w:bCs w:val="1"/>
                <w:color w:val="auto"/>
                <w:vertAlign w:val="superscript"/>
              </w:rPr>
              <w:t>(a)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Home health and hospice 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13,194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39,836</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32,158</w:t>
            </w:r>
          </w:p>
        </w:tc>
      </w:tr>
      <w:tr>
        <w:trPr>
          <w:trHeight w:val="23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Senior living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828</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11,099</w:t>
            </w:r>
          </w:p>
        </w:tc>
      </w:tr>
    </w:tbl>
    <w:p>
      <w:pPr>
        <w:spacing w:after="0" w:line="102" w:lineRule="exact"/>
        <w:rPr>
          <w:sz w:val="20"/>
          <w:szCs w:val="20"/>
          <w:color w:val="auto"/>
        </w:rPr>
      </w:pPr>
    </w:p>
    <w:p>
      <w:pPr>
        <w:ind w:left="480" w:hanging="454"/>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General and administrative expenses are not allocated to any segment for purposes of determining segment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The tables below reconcile Consolidated Net Income to the consolidated Non-GAAP financial measures, Consolidated EBITDA and Consolidated Adjusted EBITDA, and to the Non-GAAP valuation measure, Consolidated Adjusted EBITDAR, for the periods presented:</w:t>
      </w:r>
    </w:p>
    <w:tbl>
      <w:tblPr>
        <w:tblLayout w:type="fixed"/>
        <w:tblInd w:w="0" w:type="dxa"/>
        <w:tblCellMar>
          <w:top w:w="0" w:type="dxa"/>
          <w:left w:w="0" w:type="dxa"/>
          <w:bottom w:w="0" w:type="dxa"/>
          <w:right w:w="0" w:type="dxa"/>
        </w:tblCellMar>
      </w:tblPr>
      <w:tr>
        <w:trPr>
          <w:trHeight w:val="181"/>
        </w:trPr>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5"/>
          </w:tcPr>
          <w:p>
            <w:pPr>
              <w:jc w:val="center"/>
              <w:ind w:right="380"/>
              <w:spacing w:after="0" w:line="182" w:lineRule="exact"/>
              <w:rPr>
                <w:sz w:val="20"/>
                <w:szCs w:val="20"/>
                <w:color w:val="auto"/>
              </w:rPr>
            </w:pPr>
            <w:r>
              <w:rPr>
                <w:rFonts w:ascii="Arial" w:cs="Arial" w:eastAsia="Arial" w:hAnsi="Arial"/>
                <w:sz w:val="18"/>
                <w:szCs w:val="18"/>
                <w:b w:val="1"/>
                <w:bCs w:val="1"/>
                <w:color w:val="auto"/>
                <w:w w:val="92"/>
              </w:rPr>
              <w:t>Three Months Ended</w:t>
            </w:r>
          </w:p>
        </w:tc>
        <w:tc>
          <w:tcPr>
            <w:tcW w:w="2520" w:type="dxa"/>
            <w:vAlign w:val="bottom"/>
            <w:gridSpan w:val="5"/>
          </w:tcPr>
          <w:p>
            <w:pPr>
              <w:jc w:val="center"/>
              <w:spacing w:after="0" w:line="182" w:lineRule="exact"/>
              <w:rPr>
                <w:sz w:val="20"/>
                <w:szCs w:val="20"/>
                <w:color w:val="auto"/>
              </w:rPr>
            </w:pPr>
            <w:r>
              <w:rPr>
                <w:rFonts w:ascii="Arial" w:cs="Arial" w:eastAsia="Arial" w:hAnsi="Arial"/>
                <w:sz w:val="18"/>
                <w:szCs w:val="18"/>
                <w:b w:val="1"/>
                <w:bCs w:val="1"/>
                <w:color w:val="auto"/>
                <w:w w:val="90"/>
              </w:rPr>
              <w:t>Nine Months Ended September</w:t>
            </w:r>
          </w:p>
        </w:tc>
      </w:tr>
      <w:tr>
        <w:trPr>
          <w:trHeight w:val="229"/>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30,</w:t>
            </w:r>
          </w:p>
        </w:tc>
        <w:tc>
          <w:tcPr>
            <w:tcW w:w="940" w:type="dxa"/>
            <w:vAlign w:val="bottom"/>
          </w:tcPr>
          <w:p>
            <w:pPr>
              <w:spacing w:after="0"/>
              <w:rPr>
                <w:sz w:val="19"/>
                <w:szCs w:val="19"/>
                <w:color w:val="auto"/>
              </w:rPr>
            </w:pPr>
          </w:p>
        </w:tc>
      </w:tr>
      <w:tr>
        <w:trPr>
          <w:trHeight w:val="223"/>
        </w:trPr>
        <w:tc>
          <w:tcPr>
            <w:tcW w:w="6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Provision for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r>
      <w:tr>
        <w:trPr>
          <w:trHeight w:val="229"/>
        </w:trPr>
        <w:tc>
          <w:tcPr>
            <w:tcW w:w="6100" w:type="dxa"/>
            <w:vAlign w:val="bottom"/>
          </w:tcPr>
          <w:p>
            <w:pPr>
              <w:ind w:left="4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896</w:t>
            </w:r>
          </w:p>
        </w:tc>
      </w:tr>
      <w:tr>
        <w:trPr>
          <w:trHeight w:val="229"/>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r>
      <w:tr>
        <w:trPr>
          <w:trHeight w:val="223"/>
        </w:trPr>
        <w:tc>
          <w:tcPr>
            <w:tcW w:w="6100" w:type="dxa"/>
            <w:vAlign w:val="bottom"/>
          </w:tcPr>
          <w:p>
            <w:pPr>
              <w:ind w:left="220"/>
              <w:spacing w:after="0"/>
              <w:rPr>
                <w:sz w:val="20"/>
                <w:szCs w:val="20"/>
                <w:color w:val="auto"/>
              </w:rPr>
            </w:pPr>
            <w:r>
              <w:rPr>
                <w:rFonts w:ascii="Arial" w:cs="Arial" w:eastAsia="Arial" w:hAnsi="Arial"/>
                <w:sz w:val="18"/>
                <w:szCs w:val="18"/>
                <w:color w:val="auto"/>
              </w:rPr>
              <w:t>Consolidated EBITDA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18,484</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Consolidated EBITDA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20"/>
              <w:spacing w:after="0" w:line="230" w:lineRule="exact"/>
              <w:rPr>
                <w:sz w:val="20"/>
                <w:szCs w:val="20"/>
                <w:color w:val="auto"/>
              </w:rPr>
            </w:pPr>
            <w:r>
              <w:rPr>
                <w:rFonts w:ascii="Arial" w:cs="Arial" w:eastAsia="Arial" w:hAnsi="Arial"/>
                <w:sz w:val="18"/>
                <w:szCs w:val="18"/>
                <w:color w:val="auto"/>
              </w:rPr>
              <w:t>Add: Costs at start-up operations</w:t>
            </w:r>
            <w:r>
              <w:rPr>
                <w:rFonts w:ascii="Arial" w:cs="Arial" w:eastAsia="Arial" w:hAnsi="Arial"/>
                <w:sz w:val="23"/>
                <w:szCs w:val="23"/>
                <w:color w:val="auto"/>
                <w:vertAlign w:val="superscript"/>
              </w:rPr>
              <w:t>(a)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1,422</w:t>
            </w:r>
          </w:p>
        </w:tc>
      </w:tr>
      <w:tr>
        <w:trPr>
          <w:trHeight w:val="229"/>
        </w:trPr>
        <w:tc>
          <w:tcPr>
            <w:tcW w:w="61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r>
      <w:tr>
        <w:trPr>
          <w:trHeight w:val="229"/>
        </w:trPr>
        <w:tc>
          <w:tcPr>
            <w:tcW w:w="6100" w:type="dxa"/>
            <w:vAlign w:val="bottom"/>
          </w:tcPr>
          <w:p>
            <w:pPr>
              <w:ind w:left="48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(c)</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29"/>
        </w:trPr>
        <w:tc>
          <w:tcPr>
            <w:tcW w:w="6100" w:type="dxa"/>
            <w:vAlign w:val="bottom"/>
          </w:tcPr>
          <w:p>
            <w:pPr>
              <w:ind w:left="480"/>
              <w:spacing w:after="0" w:line="230" w:lineRule="exact"/>
              <w:rPr>
                <w:sz w:val="20"/>
                <w:szCs w:val="20"/>
                <w:color w:val="auto"/>
              </w:rPr>
            </w:pPr>
            <w:r>
              <w:rPr>
                <w:rFonts w:ascii="Arial" w:cs="Arial" w:eastAsia="Arial" w:hAnsi="Arial"/>
                <w:sz w:val="18"/>
                <w:szCs w:val="18"/>
                <w:color w:val="auto"/>
              </w:rPr>
              <w:t>Net COVID-19 related costs</w:t>
            </w:r>
            <w:r>
              <w:rPr>
                <w:rFonts w:ascii="Arial" w:cs="Arial" w:eastAsia="Arial" w:hAnsi="Arial"/>
                <w:sz w:val="23"/>
                <w:szCs w:val="23"/>
                <w:color w:val="auto"/>
                <w:vertAlign w:val="superscript"/>
              </w:rPr>
              <w:t>(e)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30"/>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 related to item (a) above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Consolidated Adjusted EBITDA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27,619</w:t>
            </w:r>
          </w:p>
        </w:tc>
      </w:tr>
      <w:tr>
        <w:trPr>
          <w:trHeight w:val="223"/>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Rent—cost of services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29,194</w:t>
            </w:r>
          </w:p>
        </w:tc>
      </w:tr>
      <w:tr>
        <w:trPr>
          <w:trHeight w:val="229"/>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Rent related to item (a) above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rent—cost of services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w:t>
            </w:r>
          </w:p>
        </w:tc>
      </w:tr>
      <w:tr>
        <w:trPr>
          <w:trHeight w:val="223"/>
        </w:trPr>
        <w:tc>
          <w:tcPr>
            <w:tcW w:w="6100" w:type="dxa"/>
            <w:vAlign w:val="bottom"/>
          </w:tcPr>
          <w:p>
            <w:pPr>
              <w:ind w:left="220"/>
              <w:spacing w:after="0"/>
              <w:rPr>
                <w:sz w:val="20"/>
                <w:szCs w:val="20"/>
                <w:color w:val="auto"/>
              </w:rPr>
            </w:pPr>
            <w:r>
              <w:rPr>
                <w:rFonts w:ascii="Arial" w:cs="Arial" w:eastAsia="Arial" w:hAnsi="Arial"/>
                <w:sz w:val="18"/>
                <w:szCs w:val="18"/>
                <w:color w:val="auto"/>
              </w:rPr>
              <w:t>Consolidated Adjusted EBITDAR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16" w:lineRule="exact"/>
        <w:rPr>
          <w:sz w:val="20"/>
          <w:szCs w:val="20"/>
          <w:color w:val="auto"/>
        </w:rPr>
      </w:pPr>
    </w:p>
    <w:p>
      <w:pPr>
        <w:ind w:left="480" w:hanging="454"/>
        <w:spacing w:after="0"/>
        <w:tabs>
          <w:tab w:leader="none" w:pos="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Acquisition related costs related to business combinations during the periods.</w:t>
      </w:r>
    </w:p>
    <w:p>
      <w:pPr>
        <w:spacing w:after="0" w:line="28" w:lineRule="exact"/>
        <w:rPr>
          <w:rFonts w:ascii="Arial" w:cs="Arial" w:eastAsia="Arial" w:hAnsi="Arial"/>
          <w:sz w:val="14"/>
          <w:szCs w:val="14"/>
          <w:color w:val="auto"/>
        </w:rPr>
      </w:pPr>
    </w:p>
    <w:p>
      <w:pPr>
        <w:jc w:val="both"/>
        <w:ind w:left="480" w:right="20" w:hanging="454"/>
        <w:spacing w:after="0" w:line="231" w:lineRule="auto"/>
        <w:tabs>
          <w:tab w:leader="none" w:pos="4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portion of the costs incurred under the Transition Services Agreement identified as redundant or nonrecurring that are included in general and administrative expense. Fees incurred under the Transition Services Agreement, net of the Company’s payroll reimbursement, were $706 and $2,441 for the three and nine months ended September 30, 2021, and $1,502 and $4,583 for the three and nine months ended September 30, 2020, respectively. During the fourth quarter of fiscal 2020, we updated our Transition service costs adjustment to include duplicate software costs. The prior year transition service costs adjustment has been recast to reflect the change. The adjustment to the prior year transition service costs was $113 and $333 for the duplicative software costs for the three and nine months ended September 30, 2020 that were included in the 2020 full year amount in the Company’s as filed Form 10-K.</w:t>
      </w:r>
    </w:p>
    <w:p>
      <w:pPr>
        <w:spacing w:after="0" w:line="9" w:lineRule="exact"/>
        <w:rPr>
          <w:rFonts w:ascii="Arial" w:cs="Arial" w:eastAsia="Arial" w:hAnsi="Arial"/>
          <w:sz w:val="13"/>
          <w:szCs w:val="13"/>
          <w:color w:val="auto"/>
        </w:rPr>
      </w:pPr>
    </w:p>
    <w:p>
      <w:pPr>
        <w:jc w:val="both"/>
        <w:ind w:left="480" w:right="20" w:hanging="454"/>
        <w:spacing w:after="0" w:line="243" w:lineRule="auto"/>
        <w:tabs>
          <w:tab w:leader="none" w:pos="4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Beginning in the first quarter of fiscal year 2021, we updated our definition of Segment Adjusted EBITDAR to no longer include an adjustment for COVID-19 expenses offset by the amount of sequestration relief. COVID-19 expenses continue to be part of daily operations for which less specific identification is visible. Furthermore, the sequestration relief has been extended through December 31, 2021. Sequestration relief was $867 and $2,685 for the three and nine months ended September 30, 2021, respectively.</w:t>
      </w:r>
    </w:p>
    <w:p>
      <w:pPr>
        <w:spacing w:after="0" w:line="85" w:lineRule="exact"/>
        <w:rPr>
          <w:rFonts w:ascii="Arial" w:cs="Arial" w:eastAsia="Arial" w:hAnsi="Arial"/>
          <w:sz w:val="13"/>
          <w:szCs w:val="13"/>
          <w:color w:val="auto"/>
        </w:rPr>
      </w:pPr>
    </w:p>
    <w:p>
      <w:pPr>
        <w:jc w:val="both"/>
        <w:ind w:left="480" w:right="20"/>
        <w:spacing w:after="0" w:line="224" w:lineRule="auto"/>
        <w:rPr>
          <w:rFonts w:ascii="Arial" w:cs="Arial" w:eastAsia="Arial" w:hAnsi="Arial"/>
          <w:sz w:val="13"/>
          <w:szCs w:val="13"/>
          <w:color w:val="auto"/>
        </w:rPr>
      </w:pPr>
      <w:r>
        <w:rPr>
          <w:rFonts w:ascii="Arial" w:cs="Arial" w:eastAsia="Arial" w:hAnsi="Arial"/>
          <w:sz w:val="14"/>
          <w:szCs w:val="14"/>
          <w:color w:val="auto"/>
        </w:rPr>
        <w:t>The 2020 amounts represent incremental costs incurred as part of the Company's response to COVID-19 including direct medical supplies, labor, and other expenses, net of $1,121 and $1,675 in increased revenue related to the 2% payment increase in Medicare reimbursements for sequestration relief for the three and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tables below reconcile Segment Adjusted EBITDAR from Operations to Segment Adjusted EBITDA from Operations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0"/>
              </w:rPr>
              <w:t>Three Months Ended September 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80"/>
              <w:spacing w:after="0"/>
              <w:rPr>
                <w:sz w:val="20"/>
                <w:szCs w:val="20"/>
                <w:color w:val="auto"/>
              </w:rPr>
            </w:pPr>
            <w:r>
              <w:rPr>
                <w:rFonts w:ascii="Arial" w:cs="Arial" w:eastAsia="Arial" w:hAnsi="Arial"/>
                <w:sz w:val="18"/>
                <w:szCs w:val="18"/>
                <w:b w:val="1"/>
                <w:bCs w:val="1"/>
                <w:color w:val="auto"/>
              </w:rPr>
              <w:t>Home Health and Hospice</w:t>
            </w:r>
          </w:p>
        </w:tc>
        <w:tc>
          <w:tcPr>
            <w:tcW w:w="280" w:type="dxa"/>
            <w:vAlign w:val="bottom"/>
          </w:tcPr>
          <w:p>
            <w:pPr>
              <w:spacing w:after="0"/>
              <w:rPr>
                <w:sz w:val="19"/>
                <w:szCs w:val="19"/>
                <w:color w:val="auto"/>
              </w:rPr>
            </w:pPr>
          </w:p>
        </w:tc>
        <w:tc>
          <w:tcPr>
            <w:tcW w:w="230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Senior Living</w:t>
            </w:r>
          </w:p>
        </w:tc>
      </w:tr>
      <w:tr>
        <w:trPr>
          <w:trHeight w:val="223"/>
        </w:trPr>
        <w:tc>
          <w:tcPr>
            <w:tcW w:w="6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11,684</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Less: Rent—cost of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8,875</w:t>
            </w:r>
          </w:p>
        </w:tc>
      </w:tr>
      <w:tr>
        <w:trPr>
          <w:trHeight w:val="230"/>
        </w:trPr>
        <w:tc>
          <w:tcPr>
            <w:tcW w:w="6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 related to start-up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r>
      <w:tr>
        <w:trPr>
          <w:trHeight w:val="21"/>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88"/>
        </w:trPr>
        <w:tc>
          <w:tcPr>
            <w:tcW w:w="6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8"/>
                <w:szCs w:val="18"/>
                <w:b w:val="1"/>
                <w:bCs w:val="1"/>
                <w:color w:val="auto"/>
                <w:w w:val="90"/>
              </w:rPr>
              <w:t>Nine Months Ended September 30,</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80"/>
              <w:spacing w:after="0"/>
              <w:rPr>
                <w:sz w:val="20"/>
                <w:szCs w:val="20"/>
                <w:color w:val="auto"/>
              </w:rPr>
            </w:pPr>
            <w:r>
              <w:rPr>
                <w:rFonts w:ascii="Arial" w:cs="Arial" w:eastAsia="Arial" w:hAnsi="Arial"/>
                <w:sz w:val="18"/>
                <w:szCs w:val="18"/>
                <w:b w:val="1"/>
                <w:bCs w:val="1"/>
                <w:color w:val="auto"/>
              </w:rPr>
              <w:t>Home Health and Hospice</w:t>
            </w:r>
          </w:p>
        </w:tc>
        <w:tc>
          <w:tcPr>
            <w:tcW w:w="280" w:type="dxa"/>
            <w:vAlign w:val="bottom"/>
          </w:tcPr>
          <w:p>
            <w:pPr>
              <w:spacing w:after="0"/>
              <w:rPr>
                <w:sz w:val="19"/>
                <w:szCs w:val="19"/>
                <w:color w:val="auto"/>
              </w:rPr>
            </w:pPr>
          </w:p>
        </w:tc>
        <w:tc>
          <w:tcPr>
            <w:tcW w:w="230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Senior Living</w:t>
            </w:r>
          </w:p>
        </w:tc>
      </w:tr>
      <w:tr>
        <w:trPr>
          <w:trHeight w:val="223"/>
        </w:trPr>
        <w:tc>
          <w:tcPr>
            <w:tcW w:w="6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37,673</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Less: Rent—cost of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26,624</w:t>
            </w:r>
          </w:p>
        </w:tc>
      </w:tr>
      <w:tr>
        <w:trPr>
          <w:trHeight w:val="230"/>
        </w:trPr>
        <w:tc>
          <w:tcPr>
            <w:tcW w:w="6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 related to start-up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11,099</w:t>
            </w:r>
          </w:p>
        </w:tc>
      </w:tr>
      <w:tr>
        <w:trPr>
          <w:trHeight w:val="21"/>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 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these Non-GAAP Financial Measures are useful to investors and other external users of our financial statements regarding our results of operations because:</w:t>
      </w:r>
    </w:p>
    <w:p>
      <w:pPr>
        <w:spacing w:after="0" w:line="197" w:lineRule="exact"/>
        <w:rPr>
          <w:sz w:val="20"/>
          <w:szCs w:val="20"/>
          <w:color w:val="auto"/>
        </w:rPr>
      </w:pPr>
    </w:p>
    <w:p>
      <w:pPr>
        <w:jc w:val="both"/>
        <w:ind w:left="660" w:hanging="328"/>
        <w:spacing w:after="0" w:line="31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method by which assets were acquired, and differences in capital structures;</w:t>
      </w:r>
    </w:p>
    <w:p>
      <w:pPr>
        <w:spacing w:after="0" w:line="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they help investors evaluate and compare the results of our operations from period to period by removing the impact of our asset base and capital structure from our operating results;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Consolidated Adjusted EBITDAR is used by investors and analysts in our industry to value the companies in our industry without regard to capital structures.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use Non-GAAP Financial Measures: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measurements of our operating performance to assist us in comparing our operating performance on a consistent basis from period to period;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assess the value of a potential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assess the value of a transformed operation’s performance;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compare our operating performance to that of our competitors.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establish compensation programs and bonuses for our leaders that are partially based upon the achievement of Consolidated Adjusted EBITDAR targets.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spacing w:after="0" w:line="21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they do not reflect our current or future cash requirements for capital expenditures or contractual commitments;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they do not reflect the net interest expense, or the cash requirements necessary to service interest or principal payments, on our debt;</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Consolidated Adjusted EBITDAR, it does not reflect rent expenses, which are normal and recurring operating expenses that are necessary to operate our leased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they do not reflect any income tax payments we may be required to make;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do not reflect any cash requirements for such replacements;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companies in our industry may calculate the same Non-GAAP Financial Measures differently than we do, which may limit their usefulness as comparative measures.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compensate for these limitations by using Non-GAAP Financial Measures only to supplement net income on a basis prepared in accordance with GAAP in order to provide a more complete understanding of the factors and trends affecting our business.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income from operations to the Non-GAAP Financial Measures in the table presented above, along with the Interim Financial Statements and related notes included elsewhere in this Quarterly Report.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the following Non-GAAP Financial Measures are useful to investors as key operating performance measures and valuation measures: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EBITDA</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calculate Consolidated EBITDA as net income, adjusted for net income (loss) attributable to noncontrolling interest prior to the Spin-Off, before (a) interest expense (b) provision for income taxes and (c)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Adjusted EBITDA</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Consolidated Adjusted EBITDA by adjusting Consolidated EBITDA to exclude the effects of non-core business items, which for the reported periods includes, to the extent applicable:</w:t>
      </w:r>
    </w:p>
    <w:p>
      <w:pPr>
        <w:spacing w:after="0" w:line="19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at start-up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share-based compensation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acquisition related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Spin-Off related transaction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redundant or nonrecurring costs incurred as part of the Transition Services Agreement (as defined in Note 3,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w:t>
      </w: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Segment Adjusted EBITDA from Operations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Measure</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Adjusted EBITDAR</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 operating and finance leases. A significant portion of finance lease expenditures are recorded in interest, whereas operating lease expenditures are recorded in rent expense.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790"/>
        </w:trPr>
        <w:tc>
          <w:tcPr>
            <w:tcW w:w="8020" w:type="dxa"/>
            <w:vAlign w:val="bottom"/>
            <w:gridSpan w:val="8"/>
          </w:tcPr>
          <w:p>
            <w:pPr>
              <w:spacing w:after="0"/>
              <w:rPr>
                <w:sz w:val="20"/>
                <w:szCs w:val="20"/>
                <w:color w:val="auto"/>
              </w:rPr>
            </w:pPr>
            <w:r>
              <w:rPr>
                <w:rFonts w:ascii="Arial" w:cs="Arial" w:eastAsia="Arial" w:hAnsi="Arial"/>
                <w:sz w:val="18"/>
                <w:szCs w:val="18"/>
                <w:b w:val="1"/>
                <w:bCs w:val="1"/>
                <w:i w:val="1"/>
                <w:iCs w:val="1"/>
                <w:color w:val="auto"/>
                <w:w w:val="93"/>
              </w:rPr>
              <w:t>Three Months Ended September 30, 2021 Compared to the Three Months Ended September 30, 2020</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4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Three Months Ended September 30,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r>
      <w:tr>
        <w:trPr>
          <w:trHeight w:val="223"/>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 health and hospice services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Home health</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34,228</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30.6 %</w:t>
            </w:r>
          </w:p>
        </w:tc>
        <w:tc>
          <w:tcPr>
            <w:tcW w:w="10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25,162</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25.5 %</w:t>
            </w:r>
          </w:p>
        </w:tc>
      </w:tr>
      <w:tr>
        <w:trPr>
          <w:trHeight w:val="23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Hospice</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39,069</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33,440</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34.0</w:t>
            </w:r>
          </w:p>
        </w:tc>
      </w:tr>
      <w:tr>
        <w:trPr>
          <w:trHeight w:val="229"/>
        </w:trPr>
        <w:tc>
          <w:tcPr>
            <w:tcW w:w="47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Home care and other</w:t>
            </w:r>
            <w:r>
              <w:rPr>
                <w:rFonts w:ascii="Arial" w:cs="Arial" w:eastAsia="Arial" w:hAnsi="Arial"/>
                <w:sz w:val="23"/>
                <w:szCs w:val="23"/>
                <w:color w:val="auto"/>
                <w:vertAlign w:val="superscript"/>
              </w:rPr>
              <w:t>(a)</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5,706</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5,777</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5.9</w:t>
            </w:r>
          </w:p>
        </w:tc>
      </w:tr>
      <w:tr>
        <w:trPr>
          <w:trHeight w:val="223"/>
        </w:trPr>
        <w:tc>
          <w:tcPr>
            <w:tcW w:w="47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home health and hospice services</w:t>
            </w: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70.6</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64,379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65.4</w:t>
            </w: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Senior living services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32,918</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34,018</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34.6</w:t>
            </w:r>
          </w:p>
        </w:tc>
      </w:tr>
      <w:tr>
        <w:trPr>
          <w:trHeight w:val="248"/>
        </w:trPr>
        <w:tc>
          <w:tcPr>
            <w:tcW w:w="47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111,921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80" w:hanging="454"/>
        <w:spacing w:after="0"/>
        <w:tabs>
          <w:tab w:leader="none" w:pos="4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Home care and other revenue is included with home health revenue in other disclosures in this Quarterly Report.</w:t>
      </w:r>
    </w:p>
    <w:p>
      <w:pPr>
        <w:spacing w:after="0" w:line="3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total revenue increased $13.5 million, or 13.7% during the three months ended September 30, 2021. Quarter-to-date revenue from acquired operations between September 30, 2020 and September 30, 2021 resulted in adding $10.5 million or 10.6%. We experienced growth of $4.1 million from increased operational performance in our Home Health and Hospice segment as detailed below. The growth in Home Health and Hospice segment revenue was offset by a decrease in Senior Living segment revenue of $1.1 million driven primarily by a decrease in occupancy.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3"/>
        </w:trPr>
        <w:tc>
          <w:tcPr>
            <w:tcW w:w="5940" w:type="dxa"/>
            <w:vAlign w:val="bottom"/>
          </w:tcPr>
          <w:p>
            <w:pPr>
              <w:spacing w:after="0"/>
              <w:rPr>
                <w:sz w:val="17"/>
                <w:szCs w:val="17"/>
                <w:color w:val="auto"/>
              </w:rPr>
            </w:pPr>
          </w:p>
        </w:tc>
        <w:tc>
          <w:tcPr>
            <w:tcW w:w="2660" w:type="dxa"/>
            <w:vAlign w:val="bottom"/>
            <w:gridSpan w:val="7"/>
          </w:tcPr>
          <w:p>
            <w:pPr>
              <w:ind w:left="20"/>
              <w:spacing w:after="0" w:line="202" w:lineRule="exact"/>
              <w:rPr>
                <w:sz w:val="20"/>
                <w:szCs w:val="20"/>
                <w:color w:val="auto"/>
              </w:rPr>
            </w:pPr>
            <w:r>
              <w:rPr>
                <w:rFonts w:ascii="Arial" w:cs="Arial" w:eastAsia="Arial" w:hAnsi="Arial"/>
                <w:sz w:val="18"/>
                <w:szCs w:val="18"/>
                <w:b w:val="1"/>
                <w:bCs w:val="1"/>
                <w:color w:val="auto"/>
                <w:w w:val="94"/>
              </w:rPr>
              <w:t>Three Months Ended September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5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79"/>
              </w:rPr>
              <w:t>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9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revenue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40" w:type="dxa"/>
            <w:vAlign w:val="bottom"/>
          </w:tcPr>
          <w:p>
            <w:pPr>
              <w:ind w:left="220"/>
              <w:spacing w:after="0"/>
              <w:rPr>
                <w:sz w:val="20"/>
                <w:szCs w:val="20"/>
                <w:color w:val="auto"/>
              </w:rPr>
            </w:pPr>
            <w:r>
              <w:rPr>
                <w:rFonts w:ascii="Arial" w:cs="Arial" w:eastAsia="Arial" w:hAnsi="Arial"/>
                <w:sz w:val="18"/>
                <w:szCs w:val="18"/>
                <w:color w:val="auto"/>
              </w:rPr>
              <w:t>Home health services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34,228</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25,162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9,066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36.0 %</w:t>
            </w: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Hospice 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w:t>
            </w:r>
          </w:p>
        </w:tc>
      </w:tr>
      <w:tr>
        <w:trPr>
          <w:trHeight w:val="230"/>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Home care and 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(1.2)</w:t>
            </w:r>
          </w:p>
        </w:tc>
      </w:tr>
      <w:tr>
        <w:trPr>
          <w:trHeight w:val="248"/>
        </w:trPr>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home health and hospice revenue</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393"/>
        </w:trPr>
        <w:tc>
          <w:tcPr>
            <w:tcW w:w="5940" w:type="dxa"/>
            <w:vAlign w:val="bottom"/>
          </w:tcPr>
          <w:p>
            <w:pPr>
              <w:spacing w:after="0"/>
              <w:rPr>
                <w:sz w:val="24"/>
                <w:szCs w:val="24"/>
                <w:color w:val="auto"/>
              </w:rPr>
            </w:pPr>
          </w:p>
        </w:tc>
        <w:tc>
          <w:tcPr>
            <w:tcW w:w="266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Three Months Ended September</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5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79"/>
              </w:rPr>
              <w:t>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Total home health admissions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36.1 %</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Medicare home health admissions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23.2</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Average Medicare revenue per 60-day completed episode</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3,404</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Total hospice admissions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4.0</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daily census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Hospice Medicare revenue per day</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6.1</w:t>
            </w:r>
          </w:p>
        </w:tc>
      </w:tr>
      <w:tr>
        <w:trPr>
          <w:trHeight w:val="23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home health and hospice agencies at period end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22.2</w:t>
            </w: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Home health and hospice revenue increased $14.6 million, or 22.7%. Revenue grew due to an increase in certain key performance indicators, including an increase of 36.1% in total home health admissions, an increase of 23.2% in Medicare home health admissions, an increase of 7.3% in hospice average daily census, and an increase of 6.1% in hospice Medicare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per day, during the three months ended September 30, 2021 in comparison to the prior year’s quarter. Included in the key performance indicators, growth was partially driven by the addition of sixteen home health, hospice and home care operations between September 30, 2020 and September 30, 2021, adding $10.5 million or 16.2% in revenue, as well as additional revenue of $0.9 million due to the sequestration suspension in the current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3"/>
        </w:trPr>
        <w:tc>
          <w:tcPr>
            <w:tcW w:w="5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w w:val="98"/>
              </w:rPr>
              <w:t>Three Months Ended September</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9"/>
        </w:trPr>
        <w:tc>
          <w:tcPr>
            <w:tcW w:w="5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5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32,918</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Number of communities at period end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73.7 %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3,174</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r>
    </w:tbl>
    <w:p>
      <w:pPr>
        <w:spacing w:after="0" w:line="3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Senior living revenue decreased $1.1 million, or 3.2%, for the three months ended September 30, 2021 compared to the same period in the prior year due primarily to a 3.1% decrease in occupancy between September 30, 2020 and September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total cost of services by each of our reportable segments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312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Borders>
              <w:bottom w:val="single" w:sz="8" w:color="auto"/>
            </w:tcBorders>
          </w:tcPr>
          <w:p>
            <w:pPr>
              <w:spacing w:after="0"/>
              <w:rPr>
                <w:sz w:val="19"/>
                <w:szCs w:val="19"/>
                <w:color w:val="auto"/>
              </w:rPr>
            </w:pPr>
          </w:p>
        </w:tc>
      </w:tr>
      <w:tr>
        <w:trPr>
          <w:trHeight w:val="223"/>
        </w:trPr>
        <w:tc>
          <w:tcPr>
            <w:tcW w:w="3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3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Home Health and Hospice</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13,012</w:t>
            </w:r>
          </w:p>
        </w:tc>
        <w:tc>
          <w:tcPr>
            <w:tcW w:w="18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31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Senior Living</w:t>
            </w:r>
          </w:p>
        </w:tc>
        <w:tc>
          <w:tcPr>
            <w:tcW w:w="8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22,892</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820" w:type="dxa"/>
            <w:vAlign w:val="bottom"/>
            <w:tcBorders>
              <w:bottom w:val="single" w:sz="8" w:color="CCEEFF"/>
            </w:tcBorders>
            <w:gridSpan w:val="2"/>
          </w:tcPr>
          <w:p>
            <w:pPr>
              <w:jc w:val="right"/>
              <w:ind w:right="570"/>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tcPr>
          <w:p>
            <w:pPr>
              <w:spacing w:after="0"/>
              <w:rPr>
                <w:sz w:val="19"/>
                <w:szCs w:val="19"/>
                <w:color w:val="auto"/>
              </w:rPr>
            </w:pPr>
          </w:p>
        </w:tc>
      </w:tr>
      <w:tr>
        <w:trPr>
          <w:trHeight w:val="248"/>
        </w:trPr>
        <w:tc>
          <w:tcPr>
            <w:tcW w:w="31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cost of services</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75,486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14,133</w:t>
            </w:r>
          </w:p>
        </w:tc>
        <w:tc>
          <w:tcPr>
            <w:tcW w:w="1820" w:type="dxa"/>
            <w:vAlign w:val="bottom"/>
            <w:tcBorders>
              <w:bottom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18.7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consolidated cost of services increased $14.1 million or 18.7% for the three months ended September 30, 2021 when compared to the three months ended September 30, 2020. Cost of services as a percentage of revenue increased by 3.4% from 76.7% to 80.1% for the three months ended September 30, 2021 when compared to the three months ended September 30,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4"/>
          </w:tcPr>
          <w:p>
            <w:pPr>
              <w:jc w:val="center"/>
              <w:ind w:right="220"/>
              <w:spacing w:after="0" w:line="202" w:lineRule="exact"/>
              <w:rPr>
                <w:sz w:val="20"/>
                <w:szCs w:val="20"/>
                <w:color w:val="auto"/>
              </w:rPr>
            </w:pPr>
            <w:r>
              <w:rPr>
                <w:rFonts w:ascii="Arial" w:cs="Arial" w:eastAsia="Arial" w:hAnsi="Arial"/>
                <w:sz w:val="18"/>
                <w:szCs w:val="18"/>
                <w:b w:val="1"/>
                <w:bCs w:val="1"/>
                <w:color w:val="auto"/>
                <w:w w:val="90"/>
              </w:rPr>
              <w:t>Three Months Ended September</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5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65,606</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13,012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20" w:type="dxa"/>
            <w:vAlign w:val="bottom"/>
          </w:tcPr>
          <w:p>
            <w:pPr>
              <w:spacing w:after="0"/>
              <w:rPr>
                <w:sz w:val="20"/>
                <w:szCs w:val="20"/>
                <w:color w:val="auto"/>
              </w:rPr>
            </w:pPr>
          </w:p>
        </w:tc>
        <w:tc>
          <w:tcPr>
            <w:tcW w:w="1620" w:type="dxa"/>
            <w:vAlign w:val="bottom"/>
            <w:gridSpan w:val="2"/>
          </w:tcPr>
          <w:p>
            <w:pPr>
              <w:jc w:val="right"/>
              <w:ind w:right="330"/>
              <w:spacing w:after="0"/>
              <w:rPr>
                <w:sz w:val="20"/>
                <w:szCs w:val="20"/>
                <w:color w:val="auto"/>
              </w:rPr>
            </w:pPr>
            <w:r>
              <w:rPr>
                <w:rFonts w:ascii="Arial" w:cs="Arial" w:eastAsia="Arial" w:hAnsi="Arial"/>
                <w:sz w:val="18"/>
                <w:szCs w:val="18"/>
                <w:color w:val="auto"/>
              </w:rPr>
              <w:t>83.0 %</w:t>
            </w:r>
          </w:p>
        </w:tc>
        <w:tc>
          <w:tcPr>
            <w:tcW w:w="1040" w:type="dxa"/>
            <w:vAlign w:val="bottom"/>
          </w:tcPr>
          <w:p>
            <w:pPr>
              <w:jc w:val="right"/>
              <w:spacing w:after="0"/>
              <w:rPr>
                <w:sz w:val="20"/>
                <w:szCs w:val="20"/>
                <w:color w:val="auto"/>
              </w:rPr>
            </w:pPr>
            <w:r>
              <w:rPr>
                <w:rFonts w:ascii="Arial" w:cs="Arial" w:eastAsia="Arial" w:hAnsi="Arial"/>
                <w:sz w:val="18"/>
                <w:szCs w:val="18"/>
                <w:color w:val="auto"/>
              </w:rPr>
              <w:t>81.7 %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2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Cost of services related to our Home Health and Hospice services segment increased $13.0 million, or 24.7%, primarily due to increased volume of services provided and increased labor costs. Cost of services as a percentage of revenue for the three months ended September 30, 2021 increased 1.3% from 81.7% to 83.0% for the three months ended September 30, 2021 when compared to the three months ended September 30, 2020. Wage costs increased over the prior year from increases in per hour wages and overtime due to the staffing environment, resulting in higher overtime and per hour wages.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0"/>
        </w:trPr>
        <w:tc>
          <w:tcPr>
            <w:tcW w:w="5560" w:type="dxa"/>
            <w:vAlign w:val="bottom"/>
            <w:gridSpan w:val="2"/>
          </w:tcPr>
          <w:p>
            <w:pPr>
              <w:spacing w:after="0"/>
              <w:rPr>
                <w:sz w:val="20"/>
                <w:szCs w:val="20"/>
                <w:color w:val="auto"/>
              </w:rPr>
            </w:pPr>
            <w:r>
              <w:rPr>
                <w:rFonts w:ascii="Arial" w:cs="Arial" w:eastAsia="Arial" w:hAnsi="Arial"/>
                <w:sz w:val="18"/>
                <w:szCs w:val="18"/>
                <w:i w:val="1"/>
                <w:iCs w:val="1"/>
                <w:color w:val="auto"/>
              </w:rPr>
              <w:t>Senior Living Services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4"/>
          </w:tcPr>
          <w:p>
            <w:pPr>
              <w:jc w:val="center"/>
              <w:ind w:right="220"/>
              <w:spacing w:after="0" w:line="202" w:lineRule="exact"/>
              <w:rPr>
                <w:sz w:val="20"/>
                <w:szCs w:val="20"/>
                <w:color w:val="auto"/>
              </w:rPr>
            </w:pPr>
            <w:r>
              <w:rPr>
                <w:rFonts w:ascii="Arial" w:cs="Arial" w:eastAsia="Arial" w:hAnsi="Arial"/>
                <w:sz w:val="18"/>
                <w:szCs w:val="18"/>
                <w:b w:val="1"/>
                <w:bCs w:val="1"/>
                <w:color w:val="auto"/>
                <w:w w:val="90"/>
              </w:rPr>
              <w:t>Three Months Ended September</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9"/>
        </w:trPr>
        <w:tc>
          <w:tcPr>
            <w:tcW w:w="12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24,013</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22,892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20" w:type="dxa"/>
            <w:vAlign w:val="bottom"/>
          </w:tcPr>
          <w:p>
            <w:pPr>
              <w:spacing w:after="0"/>
              <w:rPr>
                <w:sz w:val="20"/>
                <w:szCs w:val="20"/>
                <w:color w:val="auto"/>
              </w:rPr>
            </w:pPr>
          </w:p>
        </w:tc>
        <w:tc>
          <w:tcPr>
            <w:tcW w:w="1620" w:type="dxa"/>
            <w:vAlign w:val="bottom"/>
            <w:gridSpan w:val="2"/>
          </w:tcPr>
          <w:p>
            <w:pPr>
              <w:jc w:val="right"/>
              <w:ind w:right="330"/>
              <w:spacing w:after="0"/>
              <w:rPr>
                <w:sz w:val="20"/>
                <w:szCs w:val="20"/>
                <w:color w:val="auto"/>
              </w:rPr>
            </w:pPr>
            <w:r>
              <w:rPr>
                <w:rFonts w:ascii="Arial" w:cs="Arial" w:eastAsia="Arial" w:hAnsi="Arial"/>
                <w:sz w:val="18"/>
                <w:szCs w:val="18"/>
                <w:color w:val="auto"/>
              </w:rPr>
              <w:t>72.9 %</w:t>
            </w:r>
          </w:p>
        </w:tc>
        <w:tc>
          <w:tcPr>
            <w:tcW w:w="1040" w:type="dxa"/>
            <w:vAlign w:val="bottom"/>
          </w:tcPr>
          <w:p>
            <w:pPr>
              <w:jc w:val="right"/>
              <w:spacing w:after="0"/>
              <w:rPr>
                <w:sz w:val="20"/>
                <w:szCs w:val="20"/>
                <w:color w:val="auto"/>
              </w:rPr>
            </w:pPr>
            <w:r>
              <w:rPr>
                <w:rFonts w:ascii="Arial" w:cs="Arial" w:eastAsia="Arial" w:hAnsi="Arial"/>
                <w:sz w:val="18"/>
                <w:szCs w:val="18"/>
                <w:color w:val="auto"/>
              </w:rPr>
              <w:t>67.3 %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2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Cost of services related to our Senior Living services segment increased $1.1 million, or 4.9%. As a percentage of revenue, costs of service increased by 5.6% from 67.3% to 72.9% for the three months ended September 30, 2021 when compared to the three months ended September 30, 2020, primarily as a result of a decrease in occupancy while experiencing increased wage pressures. Fixed costs have remained consistent with prior periods.</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Rent—Cost of Services</w:t>
      </w:r>
      <w:r>
        <w:rPr>
          <w:rFonts w:ascii="Arial" w:cs="Arial" w:eastAsia="Arial" w:hAnsi="Arial"/>
          <w:sz w:val="16"/>
          <w:szCs w:val="16"/>
          <w:color w:val="auto"/>
        </w:rPr>
        <w:t>. Rent expense increased 6.3% from $9.7 million to $10.3 million in the three months ended September 30, 2021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three months ended September 30, 2020, primarily as a result of acquisitions and CPI adjustments. Rent as a percentage of total revenue decreased 0.7% from 9.9% to 9.2% in the three months ended September 30, 2021 compared to the three months ended September 30, 2020.</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Our general and administrative expense increased $1.6 million or 20.9% from $7.5 million to $9.1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2021 when compared to the three months ended September 30, 2020. General and administrative expense as a percentage of revenue increased 0.5% from 7.6% to 8.1%. The primary driver of the increase in general and administrative expense was an increase of $1.5 million in wage and benefits related to increased headcount during the three months ended September 30, 2021 when compared to the three months ended September 30, 2020.</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decreased slightly as a percentage of total revenue.</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Our effective tax rate for the three months ended September 30, 2021 was 5.8% of earnings before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an effective tax rate of 2.3% for the three months ended September 30, 2020. See Note 14</w:t>
      </w:r>
      <w:r>
        <w:rPr>
          <w:rFonts w:ascii="Arial" w:cs="Arial" w:eastAsia="Arial" w:hAnsi="Arial"/>
          <w:sz w:val="18"/>
          <w:szCs w:val="18"/>
          <w:i w:val="1"/>
          <w:iCs w:val="1"/>
          <w:color w:val="auto"/>
        </w:rPr>
        <w:t>, Income Taxes</w:t>
      </w:r>
      <w:r>
        <w:rPr>
          <w:rFonts w:ascii="Arial" w:cs="Arial" w:eastAsia="Arial" w:hAnsi="Arial"/>
          <w:sz w:val="18"/>
          <w:szCs w:val="18"/>
          <w:color w:val="auto"/>
        </w:rPr>
        <w:t>, to the Interim Financial Statements included elsewhere in this Quarterly Report for further discussion.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the Nine Months Ended September 30,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6"/>
        </w:trPr>
        <w:tc>
          <w:tcPr>
            <w:tcW w:w="47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Nine Months Ended September 30,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223"/>
        </w:trPr>
        <w:tc>
          <w:tcPr>
            <w:tcW w:w="47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470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r>
      <w:tr>
        <w:trPr>
          <w:trHeight w:val="223"/>
        </w:trPr>
        <w:tc>
          <w:tcPr>
            <w:tcW w:w="4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Home health</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102,719</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31.3 %</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67,430</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23.8 %</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Hospice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112,821</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96,503</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34.1</w:t>
            </w:r>
          </w:p>
        </w:tc>
      </w:tr>
      <w:tr>
        <w:trPr>
          <w:trHeight w:val="229"/>
        </w:trPr>
        <w:tc>
          <w:tcPr>
            <w:tcW w:w="4700" w:type="dxa"/>
            <w:vAlign w:val="bottom"/>
          </w:tcPr>
          <w:p>
            <w:pPr>
              <w:ind w:left="140"/>
              <w:spacing w:after="0" w:line="230" w:lineRule="exact"/>
              <w:rPr>
                <w:sz w:val="20"/>
                <w:szCs w:val="20"/>
                <w:color w:val="auto"/>
              </w:rPr>
            </w:pPr>
            <w:r>
              <w:rPr>
                <w:rFonts w:ascii="Arial" w:cs="Arial" w:eastAsia="Arial" w:hAnsi="Arial"/>
                <w:sz w:val="18"/>
                <w:szCs w:val="18"/>
                <w:color w:val="auto"/>
              </w:rPr>
              <w:t>Home care and other</w:t>
            </w:r>
            <w:r>
              <w:rPr>
                <w:rFonts w:ascii="Arial" w:cs="Arial" w:eastAsia="Arial" w:hAnsi="Arial"/>
                <w:sz w:val="23"/>
                <w:szCs w:val="23"/>
                <w:color w:val="auto"/>
                <w:vertAlign w:val="superscript"/>
              </w:rPr>
              <w:t>(a)</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16,175</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15,192</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5.4</w:t>
            </w:r>
          </w:p>
        </w:tc>
      </w:tr>
      <w:tr>
        <w:trPr>
          <w:trHeight w:val="223"/>
        </w:trPr>
        <w:tc>
          <w:tcPr>
            <w:tcW w:w="4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home health and hospice services</w:t>
            </w: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231,715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70.7</w:t>
            </w: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179,125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63.3</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Senior living services</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96,214</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103,861</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36.7</w:t>
            </w:r>
          </w:p>
        </w:tc>
      </w:tr>
      <w:tr>
        <w:trPr>
          <w:trHeight w:val="248"/>
        </w:trPr>
        <w:tc>
          <w:tcPr>
            <w:tcW w:w="4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327,929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282,986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480" w:hanging="454"/>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Home care and other revenue is included with home health revenue in other disclosures in this Quarterly Report.</w:t>
      </w:r>
    </w:p>
    <w:p>
      <w:pPr>
        <w:spacing w:after="0" w:line="3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total revenue increased $44.9 million, or 15.9% during the nine months ended September 30, 2021. This increase was primarily the result of revenue from acquired home health and hospice operations of $29.6 million or 10.4% since September 30, 2020. The remaining increase in revenue were driven by growth from operational performance in our home health and hospice segment, offset by a decrease of $7.6 million in our senior living segment.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790"/>
        </w:trPr>
        <w:tc>
          <w:tcPr>
            <w:tcW w:w="5820" w:type="dxa"/>
            <w:vAlign w:val="bottom"/>
            <w:gridSpan w:val="2"/>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6"/>
          </w:tcPr>
          <w:p>
            <w:pPr>
              <w:jc w:val="center"/>
              <w:ind w:right="220"/>
              <w:spacing w:after="0" w:line="202" w:lineRule="exact"/>
              <w:rPr>
                <w:sz w:val="20"/>
                <w:szCs w:val="20"/>
                <w:color w:val="auto"/>
              </w:rPr>
            </w:pPr>
            <w:r>
              <w:rPr>
                <w:rFonts w:ascii="Arial" w:cs="Arial" w:eastAsia="Arial" w:hAnsi="Arial"/>
                <w:sz w:val="18"/>
                <w:szCs w:val="18"/>
                <w:b w:val="1"/>
                <w:bCs w:val="1"/>
                <w:color w:val="auto"/>
                <w:w w:val="90"/>
              </w:rPr>
              <w:t>Nine Months Ended September</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9"/>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87"/>
              </w:rPr>
              <w:t>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30"/>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 health and hospice revenue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Home health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102,719</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67,430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35,289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52.3 %</w:t>
            </w:r>
          </w:p>
        </w:tc>
      </w:tr>
      <w:tr>
        <w:trPr>
          <w:trHeight w:val="230"/>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Hospice services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16.9</w:t>
            </w:r>
          </w:p>
        </w:tc>
      </w:tr>
      <w:tr>
        <w:trPr>
          <w:trHeight w:val="229"/>
        </w:trPr>
        <w:tc>
          <w:tcPr>
            <w:tcW w:w="5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Home care and other</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6.5</w:t>
            </w:r>
          </w:p>
        </w:tc>
      </w:tr>
      <w:tr>
        <w:trPr>
          <w:trHeight w:val="248"/>
        </w:trPr>
        <w:tc>
          <w:tcPr>
            <w:tcW w:w="5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home health and hospice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231,715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393"/>
        </w:trPr>
        <w:tc>
          <w:tcPr>
            <w:tcW w:w="12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Nine Months Ended September</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9"/>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87"/>
              </w:rPr>
              <w:t>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5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Total home health admissions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9,913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54.6 %</w:t>
            </w:r>
          </w:p>
        </w:tc>
      </w:tr>
      <w:tr>
        <w:trPr>
          <w:trHeight w:val="230"/>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Medicare home health admissions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51.0</w:t>
            </w:r>
          </w:p>
        </w:tc>
      </w:tr>
      <w:tr>
        <w:trPr>
          <w:trHeight w:val="229"/>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Average Medicare revenue per 60-day completed episode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3,382</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229"/>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Total hospice admissions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11.4</w:t>
            </w:r>
          </w:p>
        </w:tc>
      </w:tr>
      <w:tr>
        <w:trPr>
          <w:trHeight w:val="229"/>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Average daily census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19.6</w:t>
            </w:r>
          </w:p>
        </w:tc>
      </w:tr>
      <w:tr>
        <w:trPr>
          <w:trHeight w:val="229"/>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Hospice Medicare revenue per day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5.5</w:t>
            </w:r>
          </w:p>
        </w:tc>
      </w:tr>
      <w:tr>
        <w:trPr>
          <w:trHeight w:val="230"/>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home health and hospice agencies at period end</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22.2</w:t>
            </w:r>
          </w:p>
        </w:tc>
      </w:tr>
    </w:tbl>
    <w:p>
      <w:pPr>
        <w:spacing w:after="0" w:line="3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Home health and hospice revenue increased $52.6 million, or 29.4% during the nine months ended September 30, 2021. Revenue grew primarily due to an increase of 54.6% in home health admissions (inclusive of an increase in total Medicare home health admissions of 51.0%), an increase of 11.4% in total hospice admissions, and an increase of 19.6% in hospice average daily census during the nine months ended September 30, 2021 when compared to the nine months ended September 30, 2020. Growth occurred from the addition of $29.6 million in revenue from the acquisition of sixteen home health, hospice and home care operations from September 30, 2020 through September 30, 2021, as well as growth due to an increase in operational performance metrics compared to the prior year.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5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00" w:type="dxa"/>
            <w:vAlign w:val="bottom"/>
            <w:gridSpan w:val="4"/>
          </w:tcPr>
          <w:p>
            <w:pPr>
              <w:spacing w:after="0"/>
              <w:rPr>
                <w:sz w:val="20"/>
                <w:szCs w:val="20"/>
                <w:color w:val="auto"/>
              </w:rPr>
            </w:pPr>
            <w:r>
              <w:rPr>
                <w:rFonts w:ascii="Arial" w:cs="Arial" w:eastAsia="Arial" w:hAnsi="Arial"/>
                <w:sz w:val="18"/>
                <w:szCs w:val="18"/>
                <w:b w:val="1"/>
                <w:bCs w:val="1"/>
                <w:color w:val="auto"/>
                <w:w w:val="97"/>
              </w:rPr>
              <w:t>Nine Months Ended September 30,</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5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4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96,214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(7,647)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4"/>
              </w:rPr>
              <w:t>(7.4)%</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Number of communities at period end</w:t>
            </w:r>
          </w:p>
        </w:tc>
        <w:tc>
          <w:tcPr>
            <w:tcW w:w="12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36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72.8 %</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3,179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1360" w:type="dxa"/>
            <w:vAlign w:val="bottom"/>
          </w:tcPr>
          <w:p>
            <w:pPr>
              <w:ind w:left="840"/>
              <w:spacing w:after="0"/>
              <w:rPr>
                <w:sz w:val="20"/>
                <w:szCs w:val="20"/>
                <w:color w:val="auto"/>
              </w:rPr>
            </w:pPr>
            <w:r>
              <w:rPr>
                <w:rFonts w:ascii="Arial" w:cs="Arial" w:eastAsia="Arial" w:hAnsi="Arial"/>
                <w:sz w:val="18"/>
                <w:szCs w:val="18"/>
                <w:color w:val="auto"/>
              </w:rPr>
              <w:t>(0.5)</w:t>
            </w:r>
          </w:p>
        </w:tc>
      </w:tr>
    </w:tbl>
    <w:p>
      <w:pPr>
        <w:spacing w:after="0" w:line="3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Senior living revenue decreased $7.6 million, or 7.4%, for the nine months ended September 30, 2021 compared to the same period in the prior year primarily due to a 5.7% decrease in occupancy in occupancy between September 30, 2020 and September 30,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790"/>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i w:val="1"/>
                <w:iCs w:val="1"/>
                <w:color w:val="auto"/>
                <w:w w:val="89"/>
              </w:rPr>
              <w:t>Cost of Services</w:t>
            </w: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6"/>
          </w:tcPr>
          <w:p>
            <w:pPr>
              <w:ind w:left="20"/>
              <w:spacing w:after="0" w:line="202" w:lineRule="exact"/>
              <w:rPr>
                <w:sz w:val="20"/>
                <w:szCs w:val="20"/>
                <w:color w:val="auto"/>
              </w:rPr>
            </w:pPr>
            <w:r>
              <w:rPr>
                <w:rFonts w:ascii="Arial" w:cs="Arial" w:eastAsia="Arial" w:hAnsi="Arial"/>
                <w:sz w:val="18"/>
                <w:szCs w:val="18"/>
                <w:b w:val="1"/>
                <w:bCs w:val="1"/>
                <w:color w:val="auto"/>
                <w:w w:val="99"/>
              </w:rPr>
              <w:t>Nine Months Ended September</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9"/>
        </w:trPr>
        <w:tc>
          <w:tcPr>
            <w:tcW w:w="1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79"/>
              </w:rPr>
              <w:t>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 Health and Hospice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191,200</w:t>
            </w:r>
          </w:p>
        </w:tc>
        <w:tc>
          <w:tcPr>
            <w:tcW w:w="4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30.9 %</w:t>
            </w:r>
          </w:p>
        </w:tc>
      </w:tr>
      <w:tr>
        <w:trPr>
          <w:trHeight w:val="229"/>
        </w:trPr>
        <w:tc>
          <w:tcPr>
            <w:tcW w:w="5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Senior Living</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48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1.4</w:t>
            </w:r>
          </w:p>
        </w:tc>
      </w:tr>
      <w:tr>
        <w:trPr>
          <w:trHeight w:val="248"/>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cost of services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259,908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Consolidated cost of services increased $46.1 million or 21.5% during the nine months ended September 30, 2021. Cost of services as a percentage of revenue for the nine months ended September 30, 2021 increased by 3.7% to 79.3% from 75.6% compared to the nine months ended September 30,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5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00" w:type="dxa"/>
            <w:vAlign w:val="bottom"/>
            <w:gridSpan w:val="5"/>
          </w:tcPr>
          <w:p>
            <w:pPr>
              <w:spacing w:after="0"/>
              <w:rPr>
                <w:sz w:val="20"/>
                <w:szCs w:val="20"/>
                <w:color w:val="auto"/>
              </w:rPr>
            </w:pPr>
            <w:r>
              <w:rPr>
                <w:rFonts w:ascii="Arial" w:cs="Arial" w:eastAsia="Arial" w:hAnsi="Arial"/>
                <w:sz w:val="18"/>
                <w:szCs w:val="18"/>
                <w:b w:val="1"/>
                <w:bCs w:val="1"/>
                <w:color w:val="auto"/>
                <w:w w:val="97"/>
              </w:rPr>
              <w:t>Nine Months Ended September 30,</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3"/>
        </w:trPr>
        <w:tc>
          <w:tcPr>
            <w:tcW w:w="5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 (in thousands)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191,200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146,093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45,107</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82.5 %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services related to our Home Health and Hospice services segment increased $45.1 million, or 30.9%, primarily due to increased volume of services from acquisitions and organic growth. Cost of services as a percentage of revenue for the nine months ended September 30, 2021 increased 0.9% compared to the nine months ended September 30, 2020. Wage costs increased over the prior year in per hour wages and overtime due to the staffing environment, resulting in higher overtime and per hour wages.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5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00" w:type="dxa"/>
            <w:vAlign w:val="bottom"/>
            <w:gridSpan w:val="5"/>
          </w:tcPr>
          <w:p>
            <w:pPr>
              <w:spacing w:after="0"/>
              <w:rPr>
                <w:sz w:val="20"/>
                <w:szCs w:val="20"/>
                <w:color w:val="auto"/>
              </w:rPr>
            </w:pPr>
            <w:r>
              <w:rPr>
                <w:rFonts w:ascii="Arial" w:cs="Arial" w:eastAsia="Arial" w:hAnsi="Arial"/>
                <w:sz w:val="18"/>
                <w:szCs w:val="18"/>
                <w:b w:val="1"/>
                <w:bCs w:val="1"/>
                <w:color w:val="auto"/>
                <w:w w:val="97"/>
              </w:rPr>
              <w:t>Nine Months Ended September 30,</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5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 (in thousands)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68,708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67,741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967</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71.4 %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6.2 %</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services related to our Senior Living services segment increased $1.0 million, or 1.4% during the nine months ended September 30, 2021. As a percentage of revenue, costs of service increased by 6.2% from 65.2% to 71.4% during the nine months ended September 30, 2021 when compared to the nine months ended September 30, 2020, as a result of a decrease in occupancy while experiencing higher wage costs. Fixed costs remained consistent with the prior year.</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Rent—Cost of Services</w:t>
      </w:r>
      <w:r>
        <w:rPr>
          <w:rFonts w:ascii="Arial" w:cs="Arial" w:eastAsia="Arial" w:hAnsi="Arial"/>
          <w:sz w:val="18"/>
          <w:szCs w:val="18"/>
          <w:color w:val="auto"/>
        </w:rPr>
        <w:t>. Rent increased 4.3% from $29.2 million to $30.5 million in the nine months ended September 30,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the prior year, primarily as a result of acquisitions and CPI adjustments. As a percentage of revenue, rent</w:t>
      </w:r>
      <w:r>
        <w:rPr>
          <w:rFonts w:ascii="Arial" w:cs="Arial" w:eastAsia="Arial" w:hAnsi="Arial"/>
          <w:sz w:val="18"/>
          <w:szCs w:val="18"/>
          <w:i w:val="1"/>
          <w:iCs w:val="1"/>
          <w:color w:val="auto"/>
        </w:rPr>
        <w:t>—</w:t>
      </w:r>
      <w:r>
        <w:rPr>
          <w:rFonts w:ascii="Arial" w:cs="Arial" w:eastAsia="Arial" w:hAnsi="Arial"/>
          <w:sz w:val="18"/>
          <w:szCs w:val="18"/>
          <w:color w:val="auto"/>
        </w:rPr>
        <w:t>cost of services decreased 1.0% when compared to the nine months ended September 30, 2020.</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Our general and administrative expense increased $5.4 million or 25.1% from $21.7 million to $27.1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2021 when compared to the nine months ended September 30, 2020. The increase in general and administrative expense was primarily due to an increase of $4.2 million in wage and benefits during the nine months ended September 30, 2021 when compared to the nine months ended September 30, 2020.</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decreased slightly as a percentage of total revenue.</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Our effective tax rate for the nine months ended September 30, 2021 was 18.4% of earnings before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an effective tax rate of 17.2% for the nine months ended September 30, 2020.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 in the effective tax rate was due to an increase in non-deductible expenses including non-deductible compensation. See Note 14</w:t>
      </w:r>
      <w:r>
        <w:rPr>
          <w:rFonts w:ascii="Arial" w:cs="Arial" w:eastAsia="Arial" w:hAnsi="Arial"/>
          <w:sz w:val="18"/>
          <w:szCs w:val="18"/>
          <w:i w:val="1"/>
          <w:iCs w:val="1"/>
          <w:color w:val="auto"/>
        </w:rPr>
        <w:t>, Income Taxes</w:t>
      </w:r>
      <w:r>
        <w:rPr>
          <w:rFonts w:ascii="Arial" w:cs="Arial" w:eastAsia="Arial" w:hAnsi="Arial"/>
          <w:sz w:val="18"/>
          <w:szCs w:val="18"/>
          <w:color w:val="auto"/>
        </w:rPr>
        <w:t>, to the Interim Financial Statements included elsewhere in this Quarterly Report for further discussion.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sources of liquidity are net cash provided by operating activities and borrowings under our revolving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23, 2021, Pennant entered into an amendment to its existing credit agreement (as amended, the “Credit Agreement”), which provides for an increased revolving credit facility with a syndicate of banks with a borrowing capacity of $150.0 million (the “Revolving Credit Facility”). The Revolving Credit Facility is not subject to interim amortization and the Company will not be required to repay any loans under the Revolving Credit Facility prior to maturity in 2026. The Company is permitted to prepay all or any portion of the loans under the Revolving Credit Facility prior to maturity without premium or penalty, subject to reimbursement of any LIBOR breakage costs of the lenders.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September 30, 2021, the Company was compliant with all such financial covenants.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252525"/>
        </w:rPr>
        <w:t xml:space="preserve">As of </w:t>
      </w:r>
      <w:r>
        <w:rPr>
          <w:rFonts w:ascii="Arial" w:cs="Arial" w:eastAsia="Arial" w:hAnsi="Arial"/>
          <w:sz w:val="17"/>
          <w:szCs w:val="17"/>
          <w:color w:val="000000"/>
        </w:rPr>
        <w:t>September 30, 2021, we had $3.7 million of cash and $101.7 million of available borrowing capacity on our Revolving Credit Facility.</w:t>
      </w:r>
    </w:p>
    <w:p>
      <w:pPr>
        <w:spacing w:after="0" w:line="2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our existing cash, generated through operations and our access to financing facilities, together with funding through third-party sources such as commercial banks, will be sufficient to fund our operating activities and growth needs, and provide adequate liquidity for the next twelve months.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selected data from our Condensed Consolidated Statement of Cash Flows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23"/>
        </w:trPr>
        <w:tc>
          <w:tcPr>
            <w:tcW w:w="69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6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Pr>
          <w:p>
            <w:pPr>
              <w:spacing w:after="0"/>
              <w:rPr>
                <w:sz w:val="19"/>
                <w:szCs w:val="19"/>
                <w:color w:val="auto"/>
              </w:rPr>
            </w:pPr>
          </w:p>
        </w:tc>
      </w:tr>
      <w:tr>
        <w:trPr>
          <w:trHeight w:val="230"/>
        </w:trPr>
        <w:tc>
          <w:tcPr>
            <w:tcW w:w="6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provided by operating activities</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53,087</w:t>
            </w:r>
          </w:p>
        </w:tc>
      </w:tr>
      <w:tr>
        <w:trPr>
          <w:trHeight w:val="229"/>
        </w:trPr>
        <w:tc>
          <w:tcPr>
            <w:tcW w:w="698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(18,066)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(27,578)</w:t>
            </w:r>
          </w:p>
        </w:tc>
      </w:tr>
      <w:tr>
        <w:trPr>
          <w:trHeight w:val="230"/>
        </w:trPr>
        <w:tc>
          <w:tcPr>
            <w:tcW w:w="6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34,795</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(17,591)</w:t>
            </w:r>
          </w:p>
        </w:tc>
      </w:tr>
      <w:tr>
        <w:trPr>
          <w:trHeight w:val="223"/>
        </w:trPr>
        <w:tc>
          <w:tcPr>
            <w:tcW w:w="6980" w:type="dxa"/>
            <w:vAlign w:val="bottom"/>
          </w:tcPr>
          <w:p>
            <w:pPr>
              <w:ind w:left="880"/>
              <w:spacing w:after="0"/>
              <w:rPr>
                <w:sz w:val="20"/>
                <w:szCs w:val="20"/>
                <w:color w:val="auto"/>
              </w:rPr>
            </w:pPr>
            <w:r>
              <w:rPr>
                <w:rFonts w:ascii="Arial" w:cs="Arial" w:eastAsia="Arial" w:hAnsi="Arial"/>
                <w:sz w:val="18"/>
                <w:szCs w:val="18"/>
                <w:color w:val="auto"/>
              </w:rPr>
              <w:t>Net increase in cash</w:t>
            </w:r>
          </w:p>
        </w:tc>
        <w:tc>
          <w:tcPr>
            <w:tcW w:w="9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3,664</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7,918</w:t>
            </w:r>
          </w:p>
        </w:tc>
      </w:tr>
      <w:tr>
        <w:trPr>
          <w:trHeight w:val="230"/>
        </w:trPr>
        <w:tc>
          <w:tcPr>
            <w:tcW w:w="6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at beginning of year</w:t>
            </w:r>
          </w:p>
        </w:tc>
        <w:tc>
          <w:tcPr>
            <w:tcW w:w="9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23"/>
        </w:trPr>
        <w:tc>
          <w:tcPr>
            <w:tcW w:w="6980" w:type="dxa"/>
            <w:vAlign w:val="bottom"/>
          </w:tcPr>
          <w:p>
            <w:pPr>
              <w:ind w:left="880"/>
              <w:spacing w:after="0"/>
              <w:rPr>
                <w:sz w:val="20"/>
                <w:szCs w:val="20"/>
                <w:color w:val="auto"/>
              </w:rPr>
            </w:pPr>
            <w:r>
              <w:rPr>
                <w:rFonts w:ascii="Arial" w:cs="Arial" w:eastAsia="Arial" w:hAnsi="Arial"/>
                <w:sz w:val="18"/>
                <w:szCs w:val="18"/>
                <w:color w:val="auto"/>
              </w:rPr>
              <w:t>Cash at end of year</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8,320</w:t>
            </w:r>
          </w:p>
        </w:tc>
      </w:tr>
      <w:tr>
        <w:trPr>
          <w:trHeight w:val="21"/>
        </w:trPr>
        <w:tc>
          <w:tcPr>
            <w:tcW w:w="6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the Nine Months Ended September 30, 2020</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net cash flow from operating activities for the nine months ended September 30, 2021 decreased by $66.2 million when compared to the nine months ended September 30, 2020. The primary driver of this difference can be attributed to the $42.6 million change in cash flows related to the AAP. We received $28.0 million in AAP in the nine months ended September 30, 2020, and CMS recouped $14.6 million of those funds during the nine months ended September 30, 2021. Exclusive of the repayment of AAP, our net cash flow from operations would have been $1.6 million positive for the nine months ended September 30, 2021. Other factors that contributed to the net cash used in operating activities were a decrease of $7.2 million in net income, an increase of $3.8 million in prepaid expenses, and a decrease of $6.8 million in accrued wages when compared to the nine months ended September 30, 2020.</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net cash used in investing activities for the nine months ended September 30, 2021 decreased by $9.5 million compared to the nine months ended September 30, 2020, primarily due to a decrease of $3.5 million in capital expenditures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combined with a decrease of $5.3 million in escrow deposits related to acquisitions that occurred during the period from September 30, 2020 to September 30, 2021.</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net cash provided by financing activities increased by approximately $52.4 million for the nine months ended September 30, 2021 compared to the nine months ended September 30, 2020. This increase was primarily due to the financing of our acquisitions and the recoupment of the AAP.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Commitments and Contingencies</w:t>
      </w:r>
    </w:p>
    <w:p>
      <w:pPr>
        <w:spacing w:after="0" w:line="2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Other than certain draws and payments made on our Revolving Credit Facility, as described in Note 11, </w:t>
      </w:r>
      <w:r>
        <w:rPr>
          <w:rFonts w:ascii="Arial" w:cs="Arial" w:eastAsia="Arial" w:hAnsi="Arial"/>
          <w:sz w:val="18"/>
          <w:szCs w:val="18"/>
          <w:i w:val="1"/>
          <w:iCs w:val="1"/>
          <w:color w:val="auto"/>
        </w:rPr>
        <w:t>Debt</w:t>
      </w:r>
      <w:r>
        <w:rPr>
          <w:rFonts w:ascii="Arial" w:cs="Arial" w:eastAsia="Arial" w:hAnsi="Arial"/>
          <w:sz w:val="18"/>
          <w:szCs w:val="18"/>
          <w:color w:val="auto"/>
        </w:rPr>
        <w:t>, to the Interim Financial Statements in Part I of this Quarterly Report, there have been no material changes to our total obligations during the period covered by this Quarterly Report outside of the normal course of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are exposed to risks associated with market changes in interest rates. Our Revolving Credit Facility exposes us to variability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in interest payments due to changes in LIBOR. We manage our exposure to this market risk by monitoring available financing alternatives.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15,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the Interim Financial Statements for a description of claims and legal actions arising in the ordinary course of our business.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12529"/>
        </w:rPr>
        <w:t>We have disclosed under the heading “Risk Factors” in the 2020 Annual Report risk factors that materially affect our business, financial condition or results of operations. You should carefully consider the risk factors set forth in the 2020 Annual Report and the other information set forth elsewhere in this Quarterly Report.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 Since the filing of our 2020 Annual Report on February 24, 2021, the following additions have been made to the risk factors previously disclosed.</w:t>
      </w:r>
    </w:p>
    <w:p>
      <w:pPr>
        <w:spacing w:after="0" w:line="2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212529"/>
        </w:rPr>
        <w:t xml:space="preserve">Rules mandating COVID-19 vaccination may subject us to penalties and exacerbate staffing challenges. </w:t>
      </w:r>
      <w:r>
        <w:rPr>
          <w:rFonts w:ascii="Arial" w:cs="Arial" w:eastAsia="Arial" w:hAnsi="Arial"/>
          <w:sz w:val="18"/>
          <w:szCs w:val="18"/>
          <w:color w:val="212529"/>
        </w:rPr>
        <w:t>Various federal, state and local</w:t>
      </w:r>
      <w:r>
        <w:rPr>
          <w:rFonts w:ascii="Arial" w:cs="Arial" w:eastAsia="Arial" w:hAnsi="Arial"/>
          <w:sz w:val="18"/>
          <w:szCs w:val="18"/>
          <w:b w:val="1"/>
          <w:bCs w:val="1"/>
          <w:color w:val="212529"/>
        </w:rPr>
        <w:t xml:space="preserve"> </w:t>
      </w:r>
      <w:r>
        <w:rPr>
          <w:rFonts w:ascii="Arial" w:cs="Arial" w:eastAsia="Arial" w:hAnsi="Arial"/>
          <w:sz w:val="18"/>
          <w:szCs w:val="18"/>
          <w:color w:val="212529"/>
        </w:rPr>
        <w:t>governments have issued, or indicated an intention to issue, COVID-19 vaccination requirements for health care workers and other workers. On September 9, 2021, President Biden directed CMS to issue a rule mandating staff vaccination for providers who are reimbursed by government payors, such as Medicare and Medicaid.</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212529"/>
        </w:rPr>
        <w:t>States where we operate have imposed their own vaccine mandates as well. California, the most populous state, issued an order on August 5, 2021, requiring workers in home care, home health, and adult and senior care facilities to receive at least one vaccine dose by September 30, 2021.On August 20, 2021, the State of Washington’s governor issued a proclamation requiring workers in almost any healthcare setting—including employees, contractors, and volunteers—to be fully vaccinated against COVID-19 (including both shots of the two-shot Pfizer and Moderna vaccination course) by October 18, 2021. On August 30, 2021, the Colorado State Board of Health approved a COVID-19 vaccine requirement for employees, contractors, and other individuals working in certain health care facilities including home care agencies, hospices, assisted living facilities, and similar facilities or services, mandating that these workers receive one vaccine shot by September 30, 2021, and be fully vaccinated by October 31, 2021. None of these state mandates allow for regular COVID-19 testing as an alternative to vaccination. On October 11, 2021, Texas issued an executive order banning the practice of mandating vaccination, including by private employers</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12529"/>
        </w:rPr>
        <w:t>The Company may be subject to fines, penalties or judgments, or may otherwise be negatively impacted, if it is found not to have complied with any such current or future vaccination requirements. Current or prospective employees may oppose vaccination, making it more difficult to recruit or retain staff.</w:t>
      </w:r>
    </w:p>
    <w:p>
      <w:pPr>
        <w:spacing w:after="0" w:line="197" w:lineRule="exact"/>
        <w:rPr>
          <w:sz w:val="20"/>
          <w:szCs w:val="20"/>
          <w:color w:val="auto"/>
        </w:rPr>
      </w:pPr>
    </w:p>
    <w:p>
      <w:pPr>
        <w:ind w:right="120" w:firstLine="648"/>
        <w:spacing w:after="0" w:line="228" w:lineRule="auto"/>
        <w:rPr>
          <w:sz w:val="20"/>
          <w:szCs w:val="20"/>
          <w:color w:val="auto"/>
        </w:rPr>
      </w:pPr>
      <w:r>
        <w:rPr>
          <w:rFonts w:ascii="Arial" w:cs="Arial" w:eastAsia="Arial" w:hAnsi="Arial"/>
          <w:sz w:val="18"/>
          <w:szCs w:val="18"/>
          <w:color w:val="212529"/>
        </w:rPr>
        <w:t>Additionally, in October of 2021, the FDA and CDC approved the use of COVID-19 vaccine booster shots for certain individuals who work in high-risk environments. The Company may be subject to fines, penalties, judgments, or otherwise be negatively impacted based on loss of skilled workers or increased competition and cost to acquire skilled workers in the event of worker hesitancy or aversion to vaccine booster shots, or a change in the definition or understanding of “fully vaccinated” under CMS, OSHA or other state regulations that currently, or may in the future, require employees to have received booster shots to maintain their fully vaccinated status.</w:t>
      </w:r>
    </w:p>
    <w:p>
      <w:pPr>
        <w:spacing w:after="0" w:line="21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212529"/>
        </w:rPr>
        <w:t>Expiration of Certain Waivers and Changes in CMS Reporting Practices. In response to the COVID-19 pandemic, CMS issued numerous blanket waivers effective March 20, 2020, to ease reporting requirements and other administrative burdens on health care providers during the COVID-19 public health emergency. Certain of these waivers have begun to expire, and more waivers may expire in the fourth quarter of 2021 and in 2022. The expiration of these waivers may affect our operating costs due to the reinstitution of reporting regarding staffing data and other information that was not required to be reported during the COVID-19 public health emergency until the expiration of those waivers; the expiration of these waivers may additionally affect our ability to use certain billing codes when seeking reimbursement from Medicare or Medicaid, which may affect our financial performance.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257"/>
        </w:trPr>
        <w:tc>
          <w:tcPr>
            <w:tcW w:w="1080" w:type="dxa"/>
            <w:vAlign w:val="bottom"/>
            <w:gridSpan w:val="5"/>
          </w:tcPr>
          <w:p>
            <w:pPr>
              <w:ind w:left="220"/>
              <w:spacing w:after="0"/>
              <w:rPr>
                <w:sz w:val="20"/>
                <w:szCs w:val="20"/>
                <w:color w:val="auto"/>
              </w:rPr>
            </w:pPr>
            <w:r>
              <w:rPr>
                <w:rFonts w:ascii="Arial" w:cs="Arial" w:eastAsia="Arial" w:hAnsi="Arial"/>
                <w:sz w:val="18"/>
                <w:szCs w:val="18"/>
                <w:color w:val="auto"/>
              </w:rPr>
              <w:t>Exhibit</w:t>
            </w:r>
          </w:p>
        </w:tc>
        <w:tc>
          <w:tcPr>
            <w:tcW w:w="10100" w:type="dxa"/>
            <w:vAlign w:val="bottom"/>
          </w:tcPr>
          <w:p>
            <w:pPr>
              <w:spacing w:after="0"/>
              <w:rPr>
                <w:sz w:val="20"/>
                <w:szCs w:val="20"/>
                <w:color w:val="auto"/>
              </w:rPr>
            </w:pPr>
            <w:r>
              <w:rPr>
                <w:rFonts w:ascii="Arial" w:cs="Arial" w:eastAsia="Arial" w:hAnsi="Arial"/>
                <w:sz w:val="18"/>
                <w:szCs w:val="18"/>
                <w:color w:val="auto"/>
              </w:rPr>
              <w:t>Description</w:t>
            </w:r>
          </w:p>
        </w:tc>
      </w:tr>
      <w:tr>
        <w:trPr>
          <w:trHeight w:val="223"/>
        </w:trPr>
        <w:tc>
          <w:tcPr>
            <w:tcW w:w="940" w:type="dxa"/>
            <w:vAlign w:val="bottom"/>
            <w:tcBorders>
              <w:top w:val="single" w:sz="8" w:color="auto"/>
            </w:tcBorders>
            <w:gridSpan w:val="3"/>
          </w:tcPr>
          <w:p>
            <w:pPr>
              <w:jc w:val="right"/>
              <w:spacing w:after="0"/>
              <w:rPr>
                <w:rFonts w:ascii="Arial" w:cs="Arial" w:eastAsia="Arial" w:hAnsi="Arial"/>
                <w:sz w:val="18"/>
                <w:szCs w:val="18"/>
                <w:color w:val="0000FF"/>
              </w:rPr>
            </w:pPr>
            <w:hyperlink r:id="rId60">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Amended and Restated Certificate of Incorporation of The Pennant Group, Inc., effective as of September 27, 2019 (incorporated by</w:t>
            </w:r>
          </w:p>
        </w:tc>
      </w:tr>
      <w:tr>
        <w:trPr>
          <w:trHeight w:val="142"/>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tcPr>
          <w:p>
            <w:pPr>
              <w:spacing w:after="0" w:line="142" w:lineRule="exact"/>
              <w:rPr>
                <w:sz w:val="20"/>
                <w:szCs w:val="20"/>
                <w:color w:val="auto"/>
              </w:rPr>
            </w:pPr>
            <w:r>
              <w:rPr>
                <w:rFonts w:ascii="Arial" w:cs="Arial" w:eastAsia="Arial" w:hAnsi="Arial"/>
                <w:sz w:val="16"/>
                <w:szCs w:val="16"/>
                <w:color w:val="auto"/>
              </w:rPr>
              <w:t>reference to Exhibit 3.1 to The Pennant Group, Inc.’s Current Report on Form 8-K (File No. 001-38900) filed with the SEC on October 3,</w:t>
            </w:r>
          </w:p>
        </w:tc>
      </w:tr>
      <w:tr>
        <w:trPr>
          <w:trHeight w:val="23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2019).</w:t>
            </w:r>
          </w:p>
        </w:tc>
      </w:tr>
      <w:tr>
        <w:trPr>
          <w:trHeight w:val="242"/>
        </w:trPr>
        <w:tc>
          <w:tcPr>
            <w:tcW w:w="940" w:type="dxa"/>
            <w:vAlign w:val="bottom"/>
            <w:gridSpan w:val="3"/>
          </w:tcPr>
          <w:p>
            <w:pPr>
              <w:jc w:val="right"/>
              <w:spacing w:after="0"/>
              <w:rPr>
                <w:rFonts w:ascii="Arial" w:cs="Arial" w:eastAsia="Arial" w:hAnsi="Arial"/>
                <w:sz w:val="18"/>
                <w:szCs w:val="18"/>
                <w:color w:val="0000FF"/>
              </w:rPr>
            </w:pPr>
            <w:hyperlink r:id="rId61">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1"/>
              </w:rPr>
              <w:t>Amended and Restated By-laws of The Pennant Group, Inc. (incorporated by reference to Exhibit 3.2 to The Pennant Group, Inc.’s Current</w:t>
            </w:r>
          </w:p>
        </w:tc>
      </w:tr>
      <w:tr>
        <w:trPr>
          <w:trHeight w:val="210"/>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Report on Form 8-K (File No. 001-38900) filed with the SEC on October 3, 2019).</w:t>
            </w:r>
          </w:p>
        </w:tc>
      </w:tr>
      <w:tr>
        <w:trPr>
          <w:trHeight w:val="229"/>
        </w:trPr>
        <w:tc>
          <w:tcPr>
            <w:tcW w:w="620" w:type="dxa"/>
            <w:vAlign w:val="bottom"/>
          </w:tcPr>
          <w:p>
            <w:pPr>
              <w:spacing w:after="0"/>
              <w:rPr>
                <w:sz w:val="19"/>
                <w:szCs w:val="19"/>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5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64"/>
        </w:trPr>
        <w:tc>
          <w:tcPr>
            <w:tcW w:w="620" w:type="dxa"/>
            <w:vAlign w:val="bottom"/>
          </w:tcPr>
          <w:p>
            <w:pPr>
              <w:spacing w:after="0"/>
              <w:rPr>
                <w:sz w:val="22"/>
                <w:szCs w:val="22"/>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5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63"/>
        </w:trPr>
        <w:tc>
          <w:tcPr>
            <w:tcW w:w="620" w:type="dxa"/>
            <w:vAlign w:val="bottom"/>
          </w:tcPr>
          <w:p>
            <w:pPr>
              <w:spacing w:after="0"/>
              <w:rPr>
                <w:sz w:val="22"/>
                <w:szCs w:val="22"/>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5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63"/>
        </w:trPr>
        <w:tc>
          <w:tcPr>
            <w:tcW w:w="620" w:type="dxa"/>
            <w:vAlign w:val="bottom"/>
          </w:tcPr>
          <w:p>
            <w:pPr>
              <w:spacing w:after="0"/>
              <w:rPr>
                <w:sz w:val="22"/>
                <w:szCs w:val="22"/>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53">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250"/>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101.INS</w:t>
            </w:r>
          </w:p>
        </w:tc>
        <w:tc>
          <w:tcPr>
            <w:tcW w:w="10100" w:type="dxa"/>
            <w:vAlign w:val="bottom"/>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101.SCH</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101.CAL</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101.DEF</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101.LAB</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101.PRE</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480" w:type="dxa"/>
            <w:vAlign w:val="bottom"/>
            <w:gridSpan w:val="2"/>
          </w:tcPr>
          <w:p>
            <w:pPr>
              <w:ind w:left="1840"/>
              <w:spacing w:after="0"/>
              <w:rPr>
                <w:sz w:val="20"/>
                <w:szCs w:val="20"/>
                <w:color w:val="auto"/>
              </w:rPr>
            </w:pPr>
            <w:r>
              <w:rPr>
                <w:rFonts w:ascii="Arial" w:cs="Arial" w:eastAsia="Arial" w:hAnsi="Arial"/>
                <w:sz w:val="18"/>
                <w:szCs w:val="18"/>
                <w:color w:val="auto"/>
              </w:rPr>
              <w:t>The Pennant Group, Inc.</w:t>
            </w:r>
          </w:p>
        </w:tc>
      </w:tr>
      <w:tr>
        <w:trPr>
          <w:trHeight w:val="283"/>
        </w:trPr>
        <w:tc>
          <w:tcPr>
            <w:tcW w:w="3720" w:type="dxa"/>
            <w:vAlign w:val="bottom"/>
          </w:tcPr>
          <w:p>
            <w:pPr>
              <w:spacing w:after="0"/>
              <w:rPr>
                <w:sz w:val="20"/>
                <w:szCs w:val="20"/>
                <w:color w:val="auto"/>
              </w:rPr>
            </w:pPr>
            <w:r>
              <w:rPr>
                <w:rFonts w:ascii="Arial" w:cs="Arial" w:eastAsia="Arial" w:hAnsi="Arial"/>
                <w:sz w:val="18"/>
                <w:szCs w:val="18"/>
                <w:color w:val="auto"/>
              </w:rPr>
              <w:t>Dated: November 8, 2021</w:t>
            </w:r>
          </w:p>
        </w:tc>
        <w:tc>
          <w:tcPr>
            <w:tcW w:w="2620" w:type="dxa"/>
            <w:vAlign w:val="bottom"/>
          </w:tcPr>
          <w:p>
            <w:pPr>
              <w:ind w:left="18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JENNIFER L. FREEMAN</w:t>
            </w:r>
          </w:p>
        </w:tc>
      </w:tr>
      <w:tr>
        <w:trPr>
          <w:trHeight w:val="224"/>
        </w:trPr>
        <w:tc>
          <w:tcPr>
            <w:tcW w:w="37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Jennifer L. Freeman</w:t>
            </w:r>
          </w:p>
        </w:tc>
      </w:tr>
    </w:tbl>
    <w:p>
      <w:pPr>
        <w:ind w:left="6380"/>
        <w:spacing w:after="0" w:line="220" w:lineRule="auto"/>
        <w:rPr>
          <w:sz w:val="20"/>
          <w:szCs w:val="20"/>
          <w:color w:val="auto"/>
        </w:rPr>
      </w:pPr>
      <w:r>
        <w:rPr>
          <w:rFonts w:ascii="Arial" w:cs="Arial" w:eastAsia="Arial" w:hAnsi="Arial"/>
          <w:sz w:val="18"/>
          <w:szCs w:val="18"/>
          <w:color w:val="auto"/>
        </w:rPr>
        <w:t>Chief Financial Officer (Principal Financial Officer and Duly</w:t>
      </w:r>
    </w:p>
    <w:p>
      <w:pPr>
        <w:ind w:left="638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Daniel H Walker, certify that:</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Pennant Group,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DANIEL H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14605</wp:posOffset>
            </wp:positionV>
            <wp:extent cx="2691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5700"/>
        <w:spacing w:after="0"/>
        <w:tabs>
          <w:tab w:leader="none" w:pos="6360" w:val="left"/>
        </w:tabs>
        <w:rPr>
          <w:sz w:val="20"/>
          <w:szCs w:val="20"/>
          <w:color w:val="auto"/>
        </w:rPr>
      </w:pPr>
      <w:r>
        <w:rPr>
          <w:rFonts w:ascii="Arial" w:cs="Arial" w:eastAsia="Arial" w:hAnsi="Arial"/>
          <w:sz w:val="18"/>
          <w:szCs w:val="18"/>
          <w:color w:val="auto"/>
        </w:rPr>
        <w:t>Name:</w:t>
        <w:tab/>
        <w:t>Daniel H Walker</w:t>
      </w:r>
    </w:p>
    <w:tbl>
      <w:tblPr>
        <w:tblLayout w:type="fixed"/>
        <w:tblInd w:w="5580" w:type="dxa"/>
        <w:tblCellMar>
          <w:top w:w="0" w:type="dxa"/>
          <w:left w:w="0" w:type="dxa"/>
          <w:bottom w:w="0" w:type="dxa"/>
          <w:right w:w="0" w:type="dxa"/>
        </w:tblCellMar>
      </w:tblPr>
      <w:tr>
        <w:trPr>
          <w:trHeight w:val="199"/>
        </w:trPr>
        <w:tc>
          <w:tcPr>
            <w:tcW w:w="6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980" w:type="dxa"/>
            <w:vAlign w:val="bottom"/>
          </w:tcPr>
          <w:p>
            <w:pPr>
              <w:ind w:left="200"/>
              <w:spacing w:after="0" w:line="199" w:lineRule="exact"/>
              <w:rPr>
                <w:sz w:val="20"/>
                <w:szCs w:val="20"/>
                <w:color w:val="auto"/>
              </w:rPr>
            </w:pPr>
            <w:r>
              <w:rPr>
                <w:rFonts w:ascii="Arial" w:cs="Arial" w:eastAsia="Arial" w:hAnsi="Arial"/>
                <w:sz w:val="18"/>
                <w:szCs w:val="18"/>
                <w:color w:val="auto"/>
                <w:w w:val="91"/>
              </w:rPr>
              <w:t>Chairman and Chief Executive Officer</w:t>
            </w:r>
          </w:p>
        </w:tc>
        <w:tc>
          <w:tcPr>
            <w:tcW w:w="0" w:type="dxa"/>
            <w:vAlign w:val="bottom"/>
          </w:tcPr>
          <w:p>
            <w:pPr>
              <w:spacing w:after="0"/>
              <w:rPr>
                <w:sz w:val="1"/>
                <w:szCs w:val="1"/>
                <w:color w:val="auto"/>
              </w:rPr>
            </w:pPr>
          </w:p>
        </w:tc>
      </w:tr>
      <w:tr>
        <w:trPr>
          <w:trHeight w:val="135"/>
        </w:trPr>
        <w:tc>
          <w:tcPr>
            <w:tcW w:w="600" w:type="dxa"/>
            <w:vAlign w:val="bottom"/>
            <w:vMerge w:val="continue"/>
          </w:tcPr>
          <w:p>
            <w:pPr>
              <w:spacing w:after="0"/>
              <w:rPr>
                <w:sz w:val="11"/>
                <w:szCs w:val="11"/>
                <w:color w:val="auto"/>
              </w:rPr>
            </w:pPr>
          </w:p>
        </w:tc>
        <w:tc>
          <w:tcPr>
            <w:tcW w:w="2980" w:type="dxa"/>
            <w:vAlign w:val="bottom"/>
            <w:vMerge w:val="restart"/>
          </w:tcPr>
          <w:p>
            <w:pPr>
              <w:ind w:left="2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Jennifer L. Freeman, certify that:</w:t>
      </w:r>
    </w:p>
    <w:p>
      <w:pPr>
        <w:spacing w:after="0" w:line="40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Pennant Group,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6746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566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Jennifer L. Freeman</w:t>
      </w:r>
    </w:p>
    <w:p>
      <w:pPr>
        <w:spacing w:after="0" w:line="7"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Financial Officer (Principal Financial</w:t>
      </w:r>
    </w:p>
    <w:p>
      <w:pPr>
        <w:ind w:left="5660"/>
        <w:spacing w:after="0" w:line="203" w:lineRule="auto"/>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Officer, Principal Accounting Officer and Duly</w:t>
      </w:r>
    </w:p>
    <w:p>
      <w:pPr>
        <w:ind w:left="6440"/>
        <w:spacing w:after="0"/>
        <w:rPr>
          <w:sz w:val="20"/>
          <w:szCs w:val="20"/>
          <w:color w:val="auto"/>
        </w:rPr>
      </w:pPr>
      <w:r>
        <w:rPr>
          <w:rFonts w:ascii="Arial" w:cs="Arial" w:eastAsia="Arial" w:hAnsi="Arial"/>
          <w:sz w:val="18"/>
          <w:szCs w:val="18"/>
          <w:i w:val="1"/>
          <w:iCs w:val="1"/>
          <w:color w:val="auto"/>
        </w:rPr>
        <w:t>Authorized Officer)</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Quarterly Report of The Pennant Group, Inc. (the Company) on Form 10-Q for the period ended September 30, 2021, as filed with the Securities and Exchange Commission on the date hereof (the Report), I, Daniel H Walker, Chief Executive Officer of the Company, certify, pursuant to 18 U.S.C. § 1350, as adopted pursuant to Section 906 of the Sarbanes-Oxley Act of 2002, that to my knowledge:</w:t>
      </w:r>
    </w:p>
    <w:p>
      <w:pPr>
        <w:spacing w:after="0" w:line="2" w:lineRule="exact"/>
        <w:rPr>
          <w:sz w:val="20"/>
          <w:szCs w:val="20"/>
          <w:color w:val="auto"/>
        </w:rPr>
      </w:pPr>
    </w:p>
    <w:p>
      <w:pPr>
        <w:ind w:left="700" w:hanging="350"/>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sz w:val="20"/>
          <w:szCs w:val="20"/>
          <w:color w:val="auto"/>
        </w:rPr>
      </w:pPr>
    </w:p>
    <w:p>
      <w:pPr>
        <w:ind w:left="700" w:hanging="350"/>
        <w:spacing w:after="0"/>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H WALKER</w:t>
      </w:r>
    </w:p>
    <w:p>
      <w:pPr>
        <w:spacing w:after="0" w:line="23" w:lineRule="exact"/>
        <w:rPr>
          <w:sz w:val="20"/>
          <w:szCs w:val="20"/>
          <w:color w:val="auto"/>
        </w:rPr>
      </w:pPr>
    </w:p>
    <w:tbl>
      <w:tblPr>
        <w:tblLayout w:type="fixed"/>
        <w:tblInd w:w="5400" w:type="dxa"/>
        <w:tblCellMar>
          <w:top w:w="0" w:type="dxa"/>
          <w:left w:w="0" w:type="dxa"/>
          <w:bottom w:w="0" w:type="dxa"/>
          <w:right w:w="0" w:type="dxa"/>
        </w:tblCellMar>
      </w:tblPr>
      <w:tr>
        <w:trPr>
          <w:trHeight w:val="222"/>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7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Daniel H Walker</w:t>
            </w:r>
          </w:p>
        </w:tc>
        <w:tc>
          <w:tcPr>
            <w:tcW w:w="0" w:type="dxa"/>
            <w:vAlign w:val="bottom"/>
          </w:tcPr>
          <w:p>
            <w:pPr>
              <w:spacing w:after="0"/>
              <w:rPr>
                <w:sz w:val="1"/>
                <w:szCs w:val="1"/>
                <w:color w:val="auto"/>
              </w:rPr>
            </w:pPr>
          </w:p>
        </w:tc>
      </w:tr>
      <w:tr>
        <w:trPr>
          <w:trHeight w:val="176"/>
        </w:trPr>
        <w:tc>
          <w:tcPr>
            <w:tcW w:w="68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3700" w:type="dxa"/>
            <w:vAlign w:val="bottom"/>
          </w:tcPr>
          <w:p>
            <w:pPr>
              <w:ind w:left="160"/>
              <w:spacing w:after="0" w:line="176" w:lineRule="exact"/>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135"/>
        </w:trPr>
        <w:tc>
          <w:tcPr>
            <w:tcW w:w="680" w:type="dxa"/>
            <w:vAlign w:val="bottom"/>
            <w:vMerge w:val="continue"/>
          </w:tcPr>
          <w:p>
            <w:pPr>
              <w:spacing w:after="0"/>
              <w:rPr>
                <w:sz w:val="11"/>
                <w:szCs w:val="11"/>
                <w:color w:val="auto"/>
              </w:rPr>
            </w:pPr>
          </w:p>
        </w:tc>
        <w:tc>
          <w:tcPr>
            <w:tcW w:w="3700" w:type="dxa"/>
            <w:vAlign w:val="bottom"/>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November 8, 2021</w:t>
      </w:r>
    </w:p>
    <w:p>
      <w:pPr>
        <w:spacing w:after="0" w:line="3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connection with the Quarterly Report of The Pennant Group, Inc. (the Company) on Form 10-Q for the period ended September 30, 2021, as filed with the Securities and Exchange Commission on the date hereof (the Report), I, Jennifer L. Freeman, Chief Financial Officer of the Company, certify, pursuant to 18 U.S.C. § 1350, as adopted pursuant to Section 906 of the Sarbanes-Oxley Act of 2002, that to my knowledge:</w:t>
      </w:r>
    </w:p>
    <w:p>
      <w:pPr>
        <w:spacing w:after="0" w:line="2" w:lineRule="exact"/>
        <w:rPr>
          <w:sz w:val="20"/>
          <w:szCs w:val="20"/>
          <w:color w:val="auto"/>
        </w:rPr>
      </w:pPr>
    </w:p>
    <w:p>
      <w:pPr>
        <w:ind w:left="700" w:hanging="350"/>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sz w:val="20"/>
          <w:szCs w:val="20"/>
          <w:color w:val="auto"/>
        </w:rPr>
      </w:pPr>
    </w:p>
    <w:p>
      <w:pPr>
        <w:ind w:left="700" w:hanging="350"/>
        <w:spacing w:after="0"/>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14605</wp:posOffset>
            </wp:positionV>
            <wp:extent cx="27686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5440"/>
        <w:spacing w:after="0"/>
        <w:tabs>
          <w:tab w:leader="none" w:pos="6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Jennifer L. Freeman</w:t>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Chief Financial Officer (Principal Financial</w:t>
      </w:r>
    </w:p>
    <w:p>
      <w:pPr>
        <w:ind w:left="5440"/>
        <w:spacing w:after="0" w:line="203" w:lineRule="auto"/>
        <w:tabs>
          <w:tab w:leader="none" w:pos="6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Officer, Principal Accounting Officer and Duly</w:t>
      </w:r>
    </w:p>
    <w:p>
      <w:pPr>
        <w:ind w:left="6240"/>
        <w:spacing w:after="0"/>
        <w:rPr>
          <w:sz w:val="20"/>
          <w:szCs w:val="20"/>
          <w:color w:val="auto"/>
        </w:rPr>
      </w:pPr>
      <w:r>
        <w:rPr>
          <w:rFonts w:ascii="Arial" w:cs="Arial" w:eastAsia="Arial" w:hAnsi="Arial"/>
          <w:sz w:val="18"/>
          <w:szCs w:val="18"/>
          <w:i w:val="1"/>
          <w:iCs w:val="1"/>
          <w:color w:val="auto"/>
        </w:rPr>
        <w:t>Authorized Officer)</w:t>
      </w:r>
    </w:p>
    <w:p>
      <w:pPr>
        <w:spacing w:after="0" w:line="2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November 8, 2021</w:t>
      </w:r>
    </w:p>
    <w:p>
      <w:pPr>
        <w:spacing w:after="0" w:line="3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lvl w:ilvl="1">
      <w:lvlJc w:val="left"/>
      <w:lvlText w:val="(%2)"/>
      <w:numFmt w:val="lowerLetter"/>
      <w:start w:val="1"/>
    </w:lvl>
  </w:abstractNum>
  <w:abstractNum w:abstractNumId="4">
    <w:nsid w:val="6763845E"/>
    <w:multiLevelType w:val="hybridMultilevel"/>
    <w:lvl w:ilvl="0">
      <w:lvlJc w:val="left"/>
      <w:lvlText w:val="%1."/>
      <w:numFmt w:val="decimal"/>
      <w:start w:val="5"/>
    </w:lvl>
    <w:lvl w:ilvl="1">
      <w:lvlJc w:val="left"/>
      <w:lvlText w:val="%2"/>
      <w:numFmt w:val="lowerLetter"/>
      <w:start w:val="1"/>
    </w:lvl>
  </w:abstractNum>
  <w:abstractNum w:abstractNumId="5">
    <w:nsid w:val="75A2A8D4"/>
    <w:multiLevelType w:val="hybridMultilevel"/>
    <w:lvl w:ilvl="0">
      <w:lvlJc w:val="left"/>
      <w:lvlText w:val="(%1)"/>
      <w:numFmt w:val="lowerLetter"/>
      <w:start w:val="5"/>
    </w:lvl>
  </w:abstractNum>
  <w:abstractNum w:abstractNumId="6">
    <w:nsid w:val="8EDBDAB"/>
    <w:multiLevelType w:val="hybridMultilevel"/>
    <w:lvl w:ilvl="0">
      <w:lvlJc w:val="left"/>
      <w:lvlText w:val="(%1)"/>
      <w:numFmt w:val="lowerLetter"/>
      <w:start w:val="7"/>
    </w:lvl>
  </w:abstractNum>
  <w:abstractNum w:abstractNumId="7">
    <w:nsid w:val="79838CB2"/>
    <w:multiLevelType w:val="hybridMultilevel"/>
    <w:lvl w:ilvl="0">
      <w:lvlJc w:val="left"/>
      <w:lvlText w:val="(%1)"/>
      <w:numFmt w:val="lowerLetter"/>
      <w:start w:val="6"/>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lowerRoman"/>
      <w:start w:val="2"/>
    </w:lvl>
  </w:abstractNum>
  <w:abstractNum w:abstractNumId="14">
    <w:nsid w:val="836C40E"/>
    <w:multiLevelType w:val="hybridMultilevel"/>
    <w:lvl w:ilvl="0">
      <w:lvlJc w:val="left"/>
      <w:lvlText w:val="(%1)"/>
      <w:numFmt w:val="lowerRoman"/>
      <w:start w:val="4"/>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2"/>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lowerLetter"/>
      <w:start w:val="8"/>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1"/>
    </w:lvl>
    <w:lvl w:ilvl="1">
      <w:lvlJc w:val="left"/>
      <w:lvlText w:val="(%2)"/>
      <w:numFmt w:val="lowerLetter"/>
      <w:start w:val="1"/>
    </w:lvl>
  </w:abstractNum>
  <w:abstractNum w:abstractNumId="38">
    <w:nsid w:val="580BD78F"/>
    <w:multiLevelType w:val="hybridMultilevel"/>
    <w:lvl w:ilvl="0">
      <w:lvlJc w:val="left"/>
      <w:lvlText w:val="1"/>
      <w:numFmt w:val="bullet"/>
      <w:start w:val="1"/>
    </w:lvl>
  </w:abstractNum>
  <w:abstractNum w:abstractNumId="39">
    <w:nsid w:val="153EA438"/>
    <w:multiLevelType w:val="hybridMultilevel"/>
    <w:lvl w:ilvl="0">
      <w:lvlJc w:val="left"/>
      <w:lvlText w:val="2"/>
      <w:numFmt w:val="bullet"/>
      <w:start w:val="1"/>
    </w:lvl>
  </w:abstractNum>
  <w:abstractNum w:abstractNumId="40">
    <w:nsid w:val="3855585C"/>
    <w:multiLevelType w:val="hybridMultilevel"/>
    <w:lvl w:ilvl="0">
      <w:lvlJc w:val="left"/>
      <w:lvlText w:val="1"/>
      <w:numFmt w:val="bullet"/>
      <w:start w:val="1"/>
    </w:lvl>
  </w:abstractNum>
  <w:abstractNum w:abstractNumId="41">
    <w:nsid w:val="70A64E2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0" Type="http://schemas.openxmlformats.org/officeDocument/2006/relationships/hyperlink" Target="https://www.sec.gov/Archives/edgar/data/1766400/000119312519235824/d693607dex31.htm" TargetMode="External"/><Relationship Id="rId61" Type="http://schemas.openxmlformats.org/officeDocument/2006/relationships/hyperlink" Target="https://www.sec.gov/Archives/edgar/data/1766400/000119312519235824/d693607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2021-11-08T15:20:21Z</dcterms:created>
  <dcterms:modified xsi:type="dcterms:W3CDTF">2021-11-08T15:20:21Z</dcterms:modified>
</cp:coreProperties>
</file>