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pPr>
      <w:r>
        <w:rPr>
          <w:color w:val="000000"/>
        </w:rPr>
        <w:t> </w:t>
      </w:r>
      <w:r>
        <w:rPr>
          <w:rFonts w:ascii="Times New Roman;serif" w:hAnsi="Times New Roman;serif"/>
          <w:b/>
          <w:color w:val="000000"/>
          <w:sz w:val="28"/>
        </w:rPr>
        <w:t>UNITED STATES</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5, 2026</w:t>
      </w:r>
      <w:r>
        <w:rPr>
          <w:color w:val="000000"/>
        </w:rPr>
        <w:t xml:space="preserve">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The Pennant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89"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83-3349931</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498" w:type="dxa"/>
        <w:jc w:val="center"/>
        <w:tblInd w:w="0" w:type="dxa"/>
        <w:tblLayout w:type="fixed"/>
        <w:tblCellMar>
          <w:top w:w="28" w:type="dxa"/>
          <w:left w:w="28" w:type="dxa"/>
          <w:bottom w:w="28" w:type="dxa"/>
          <w:right w:w="28" w:type="dxa"/>
        </w:tblCellMar>
      </w:tblPr>
      <w:tblGrid>
        <w:gridCol w:w="536"/>
        <w:gridCol w:w="471"/>
        <w:gridCol w:w="471"/>
        <w:gridCol w:w="471"/>
        <w:gridCol w:w="471"/>
        <w:gridCol w:w="471"/>
        <w:gridCol w:w="471"/>
        <w:gridCol w:w="471"/>
        <w:gridCol w:w="665"/>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4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1675 E Riverside Drive, Suite 150,</w:t>
            </w:r>
          </w:p>
        </w:tc>
      </w:tr>
      <w:tr>
        <w:trPr/>
        <w:tc>
          <w:tcPr>
            <w:tcW w:w="44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Eagle, ID 83616</w:t>
            </w:r>
          </w:p>
        </w:tc>
      </w:tr>
      <w:tr>
        <w:trPr/>
        <w:tc>
          <w:tcPr>
            <w:tcW w:w="4498"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bl>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(208) 401-1400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Indicate by check mark whether the registrant is an emerging growth company as defined in Rule 405 of the Securities Act of 1933 (</w:t>
      </w:r>
      <w:r>
        <w:rPr>
          <w:rFonts w:ascii="Times New Roman;serif" w:hAnsi="Times New Roman;serif"/>
          <w:b w:val="false"/>
          <w:color w:val="000000"/>
          <w:sz w:val="22"/>
        </w:rPr>
        <w:t>§</w:t>
      </w:r>
      <w:r>
        <w:rPr>
          <w:rFonts w:ascii="Times New Roman;serif" w:hAnsi="Times New Roman;serif"/>
          <w:b w:val="false"/>
          <w:color w:val="000000"/>
          <w:sz w:val="18"/>
        </w:rPr>
        <w:t>230.405 of this chapter) or Rule 12b-2 of the Securities Exchange Act of 1934 (</w:t>
      </w:r>
      <w:r>
        <w:rPr>
          <w:rFonts w:ascii="Times New Roman;serif" w:hAnsi="Times New Roman;serif"/>
          <w:b w:val="false"/>
          <w:color w:val="000000"/>
          <w:sz w:val="22"/>
        </w:rPr>
        <w:t>§</w:t>
      </w:r>
      <w:r>
        <w:rPr>
          <w:rFonts w:ascii="Times New Roman;serif" w:hAnsi="Times New Roman;serif"/>
          <w:b w:val="false"/>
          <w:color w:val="000000"/>
          <w:sz w:val="18"/>
        </w:rPr>
        <w:t>240.12b-2 of this chapter).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On August 5, 2026, The Pennant Group, Inc. (the </w:t>
      </w:r>
      <w:r>
        <w:rPr>
          <w:color w:val="212529"/>
        </w:rPr>
        <w:t>“</w:t>
      </w:r>
      <w:r>
        <w:rPr>
          <w:rFonts w:ascii="Times New Roman;serif" w:hAnsi="Times New Roman;serif"/>
          <w:b w:val="false"/>
          <w:color w:val="212529"/>
          <w:sz w:val="20"/>
        </w:rPr>
        <w:t>Company”</w:t>
      </w:r>
      <w:r>
        <w:rPr>
          <w:rFonts w:ascii="Times New Roman;serif" w:hAnsi="Times New Roman;serif"/>
          <w:b w:val="false"/>
          <w:color w:val="000000"/>
          <w:sz w:val="20"/>
        </w:rPr>
        <w:t xml:space="preserve">) issued a press release reporting the financial results of the Company for its second quarter ended June 30, 2026. A copy of the press release is attached to this Current Report as Exhibit 99.1.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Company will post on its website an updated investor presentation for use at upcoming investor meetings. Please visit investor.pennantgroup.com to access the new presentation materials.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information furnished pursuant to Item 2.02 and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0"/>
        <w:gridCol w:w="334"/>
        <w:gridCol w:w="336"/>
        <w:gridCol w:w="109"/>
        <w:gridCol w:w="109"/>
        <w:gridCol w:w="109"/>
        <w:gridCol w:w="2584"/>
        <w:gridCol w:w="2584"/>
        <w:gridCol w:w="3660"/>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the Company dated August 5, 2026.</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41" w:type="dxa"/>
        <w:jc w:val="left"/>
        <w:tblInd w:w="0" w:type="dxa"/>
        <w:tblLayout w:type="fixed"/>
        <w:tblCellMar>
          <w:top w:w="28" w:type="dxa"/>
          <w:left w:w="28" w:type="dxa"/>
          <w:bottom w:w="28" w:type="dxa"/>
          <w:right w:w="28" w:type="dxa"/>
        </w:tblCellMar>
      </w:tblPr>
      <w:tblGrid>
        <w:gridCol w:w="705"/>
        <w:gridCol w:w="619"/>
        <w:gridCol w:w="625"/>
        <w:gridCol w:w="284"/>
        <w:gridCol w:w="284"/>
        <w:gridCol w:w="284"/>
        <w:gridCol w:w="394"/>
        <w:gridCol w:w="394"/>
        <w:gridCol w:w="394"/>
        <w:gridCol w:w="394"/>
        <w:gridCol w:w="394"/>
        <w:gridCol w:w="398"/>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0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6496050" cy="1295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496050" cy="1295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37" w:before="0" w:after="0"/>
        <w:jc w:val="center"/>
        <w:rPr>
          <w:rFonts w:ascii="Times New Roman;serif" w:hAnsi="Times New Roman;serif"/>
          <w:b/>
          <w:color w:val="000000"/>
          <w:sz w:val="32"/>
        </w:rPr>
      </w:pPr>
      <w:r>
        <w:rPr>
          <w:rFonts w:ascii="Times New Roman;serif" w:hAnsi="Times New Roman;serif"/>
          <w:b/>
          <w:color w:val="000000"/>
          <w:sz w:val="32"/>
        </w:rPr>
        <w:t>Pennant Reports Second Quarter 2026 Results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Conference Call and Webcast scheduled for tomorrow, August 6, 2026 at 10:00 am MT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EAGLE, Idaho – August 5, 2026 (GLOBE NEWSWIRE) - The Pennant Group, Inc. (NASDAQ: PNTG), the parent company of the </w:t>
      </w:r>
      <w:r>
        <w:rPr>
          <w:rFonts w:ascii="Times New Roman;serif" w:hAnsi="Times New Roman;serif"/>
          <w:b w:val="false"/>
          <w:color w:val="000000"/>
          <w:sz w:val="22"/>
          <w:shd w:fill="FFFFFF" w:val="clear"/>
        </w:rPr>
        <w:t xml:space="preserve">Pennant group of affiliated </w:t>
      </w:r>
      <w:r>
        <w:rPr>
          <w:rFonts w:ascii="Times New Roman;serif" w:hAnsi="Times New Roman;serif"/>
          <w:b w:val="false"/>
          <w:color w:val="000000"/>
          <w:sz w:val="22"/>
        </w:rPr>
        <w:t>home health, hospice and senior living companies, today announced its operating results, reporting GAAP diluted earnings per share of $0.25 for the second quarter of 2026. Pennant also reported adjusted diluted earnings per share of $0.36 for the quarter</w:t>
      </w:r>
      <w:r>
        <w:rPr>
          <w:rFonts w:ascii="Times New Roman;serif" w:hAnsi="Times New Roman;serif"/>
          <w:b w:val="false"/>
          <w:color w:val="000000"/>
          <w:sz w:val="14"/>
        </w:rPr>
        <w:t>(1)</w:t>
      </w:r>
      <w:r>
        <w:rPr>
          <w:rFonts w:ascii="Times New Roman;serif" w:hAnsi="Times New Roman;serif"/>
          <w:b w:val="false"/>
          <w:color w:val="000000"/>
          <w:sz w:val="22"/>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Total revenue for the second quarter was $298.0 million, an increase of $78.5 million or 35.8% over the prior year quarter;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income for the second quarter was $9.1 million, an increase of $2.0 million or 28.2% over the prior year quarter;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Adjusted net income for the second quarter was $12.8 million, an increase of $3.4 million or 36.5% over the prior year quarter;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Consolidated Adjusted EBITDAR for the second quarter was $37.6 million, an increase of $9.4 million or 33.3% over the prior year quarter;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Consolidated Adjusted EBITDA for the second quarter was $24.3 million, an increase of $7.9 million or 48.2% over the prior year quarter;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Consolidated Adjusted EBITDA prior to NCI for the second quarter was $26.1 million, an increase of $8.8 million or 51.0% over the prior year quarter;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Home Health and Hospice Services segment revenue for the second quarter was $237.8 million, an increase of $71.8 million or 43.2% over the prior year quarter;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Home Health and Hospice Services segment adjusted EBITDAR from operations for the second quarter was $41.0 million, an increase of $13.3 million or 47.9% over the prior year quarter; segment adjusted EBITDA from operations for the second quarter was $37.7 million, an increase of $12.3 million or 48.2% over the prior year quarter; and segment adjusted EBITDA from operations prior to NCI for the second quarter $39.6 million, an increase of $13.2 million or 50.0% over the prior year quarter;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Total home health admissions for the second quarter were 28,947, an increase of 11,115 or 62.3% over the prior year quarter; same store home health admissions for the second quarter were 17,854, an increase of 1,573 or 9.7% over the prior year quarter; total Medicare home health admissions for the second quarter were 11,916, an increase of 4,936 or 70.7% over the prior year quarter; same store Medicare home health admissions for the second quarter were 7,372, an increase of 883 or 13.6% over the prior year quarter;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Hospice average daily census for the second quarter was 5,477, an increase of 1,568 or 40.1% compared to the prior year quarter; same store hospice average daily census for the second quarter was 4,089, an increase of 397 or 10.8% compared to the prior year quarter;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Senior Living Services segment revenue for the second quarter was $60.2 million, an increase of $6.7 million or 12.6% over the prior year quarter; average occupancy for the second quarter was 78.9%, an increase of 10 basis points over the prior year quarter, same store average occupancy for the second quarter was 81.6%, an increase of 150 basis points over the prior year quarter, average monthly revenue per occupied room for the second quarter was $5,392, an increase of $204 or 3.9% over the prior year quarter, and same store average monthly revenue per occupied room for the second quarter was $5,413, an increase of $282 or 5.5% over the prior year quarter;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Senior Living segment adjusted EBITDAR from operations for the second quarter was $16.0 million, an increase of $1.2 million or 7.9% over the prior year quarter; and segment adjusted EBITDA from operations for the second quarter was $5.8 million, an increase of $0.7 million or 13.2% over the prior year quarter. </w:t>
      </w:r>
    </w:p>
    <w:p>
      <w:pPr>
        <w:pStyle w:val="TextBody"/>
        <w:bidi w:val="0"/>
        <w:spacing w:before="0" w:after="0"/>
        <w:jc w:val="both"/>
        <w:rPr/>
      </w:pPr>
      <w:r>
        <w:rPr/>
      </w:r>
    </w:p>
    <w:tbl>
      <w:tblPr>
        <w:tblW w:w="56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9"/>
        <w:gridCol w:w="1459"/>
        <w:gridCol w:w="2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i/>
                <w:color w:val="000000"/>
                <w:sz w:val="16"/>
              </w:rPr>
            </w:pPr>
            <w:r>
              <w:rPr>
                <w:rFonts w:ascii="Times New Roman;serif" w:hAnsi="Times New Roman;serif"/>
                <w:b/>
                <w:i/>
                <w:color w:val="000000"/>
                <w:sz w:val="16"/>
              </w:rPr>
              <w:t>See "Reconciliation of GAAP to Non-GAAP Financial Information.”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Operating Results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Pennant delivered another strong quarter, putting us on pace to exceed the top end of our original full year guidance,” said Brent Guerisoli, the Company’s Chief Executive Officer. “We are driving operational excellence across both segments, including at our recently-acquired operations in the southeast, even as we complete their integration. That process is unfolding ahead of our expectations, and we are now transitioning the two largest waves of operations, which we expect to fully complete by the middle of the fourth quarter.”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Our segments continue to deliver healthy growth,” said John Gochnour, the Company’s Chief Operating Officer. “We have been focused on operational excellence at every level, which is producing compelling clinical results and record financial performance. In the home health and hospice segment, years of rigorous investment and innovation helped us weather the challenging reimbursement environment of the last few years and now positions us to benefit from the more stable payment landscape that appears ahead. On the senior living side, our focus on finding and developing great leaders has enabled us to pursue numerous attractive acquisitions year-to-date, build out local care continuums, and continue to grow our real estate portfolio.”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discussion of the Company’s use of Non-GAAP financial measures is set forth below. Reconciliations of net income to EBITDA, adjusted EBITDAR, adjusted EBITDA, and adjusted EBITDA prior to NCI, as well as a reconciliation of GAAP earnings per share, net income to adjusted net earnings per share and adjusted net income, appear in the financial data portion of this release. More complete information is contained in the Company’s Form 10-Q for the three and six months ended June 30, 2026, which will be filed with the SEC and will be available to be viewed on the Company’s website at www.pennantgroup.com.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37" w:before="0" w:after="0"/>
        <w:jc w:val="both"/>
        <w:rPr>
          <w:rFonts w:ascii="Times New Roman;serif" w:hAnsi="Times New Roman;serif"/>
          <w:b/>
          <w:color w:val="000000"/>
          <w:sz w:val="22"/>
          <w:u w:val="single"/>
        </w:rPr>
      </w:pPr>
      <w:r>
        <w:rPr>
          <w:rFonts w:ascii="Times New Roman;serif" w:hAnsi="Times New Roman;serif"/>
          <w:b/>
          <w:color w:val="000000"/>
          <w:sz w:val="22"/>
          <w:u w:val="single"/>
        </w:rPr>
        <w:t>2026 Guidance Update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is providing updating 2026 annual guidance as follows: total revenue is anticipated to be between $1,171.1 million and $1,190.1 million; full year 2026 adjusted earnings per diluted share is anticipated to be between $1.34 and $1.41; full year 2026 adjusted EBITDA is anticipated to be between $94.4 million and $98.0 million; and full year adjusted EBITDA prior to NCI is anticipated to be $101.5 million to $105.1 million. </w:t>
      </w:r>
    </w:p>
    <w:p>
      <w:pPr>
        <w:pStyle w:val="TextBody"/>
        <w:bidi w:val="0"/>
        <w:spacing w:before="0" w:after="0"/>
        <w:jc w:val="left"/>
        <w:rPr/>
      </w:pPr>
      <w:r>
        <w:rPr/>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updated 2026 annual guidance is based on diluted weighted average shares outstanding of approximately 37.0 million and a 26.0% effective tax rate. The guidance includes among other things, certain costs relating to our transition services agreement with UnitedHealth, reimbursement rate adjustments and no unannounced acquisitions. It excludes net income attributable to noncontrolling interest, the tax-effected costs at start-up operations, share-based compensation, acquisition-related costs, and gain (loss) on disposition of assets and impairments.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Lynette Walbom, the Company’s Chief Financial Officer, also stated, “We believe providing updated annual adjusted consolidated EBITDA guidance in addition to updated annual revenue and adjusted earnings per share guidance is helpful to understanding our expectations for our business and operational cash flow. This updated guidance reflects management’s expectations based on year-to-date performance and current operating conditions. Our guidance includes revenue in the range of $196.0 to $198.0 million, adjusted EBITDA in the range of $17.0 to $18.6 million, and adjusted EBITDA prior to NCI of $20.8 to $22.5 million relating to these former UnitedHealth and Amedisys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 xml:space="preserve">Conference Call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live webcast will be held tomorrow, August 6, 2026 at 10:00 a.m. Mountain time (12:00 p.m. Eastern time) to discuss Pennant’s second quarter 2026 financial results. To listen to the webcast, or to view any financial or statistical information required by SEC Regulation G, please visit the Investors Relations section of Pennant’s website at https://investor.pennantgroup.com. The webcast will be recorded and will be available for replay via the website.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About Pennant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Pennant Group, Inc. is a holding company of independent operating subsidiaries that provide healthcare services through 175 home health and hospice agencies and 69 senior living communities located throughout Arizona, California, Colorado, Idaho, Montana, Nevada, Oklahoma, Oregon, Texas, Utah, Washington, Wisconsin and Wyoming. Each of these businesses is operated by a separate, independent operating subsidiary that has its own management, employees and assets. References herein to the consolidated "company" and "its" assets and activities, as well as the use of the terms "we," "us," "its" and similar verbiage, are not meant to imply that The Pennant Group, Inc. has direct operating assets, employees or revenue, or that any of the home health and hospice businesses, senior living communities or the Service Center are operated by the same entity. More information about Pennant is available at www.pennantgroup.com.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2"/>
          <w:u w:val="single"/>
        </w:rPr>
      </w:pPr>
      <w:r>
        <w:rPr>
          <w:rFonts w:ascii="Times New Roman;serif" w:hAnsi="Times New Roman;serif"/>
          <w:b/>
          <w:i/>
          <w:color w:val="000000"/>
          <w:sz w:val="22"/>
          <w:u w:val="single"/>
        </w:rPr>
        <w:t>Safe Harbor Statement under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contains, and the related conference call and webcast will include, forward-looking statements that are based on management’s current expectations, assumptions and beliefs about its business, financial performance, operating results, the industry in which it operates and other future events.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include, but are not limited to, statements regarding growth prospects, future operating and financial performance, and acquisition activities. They are not guarantees of future results and are subject to risks, uncertainties and assumptions that could cause actual results to materially and adversely differ from those expressed in any forward-looking statement. </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i/>
          <w:color w:val="000000"/>
          <w:sz w:val="22"/>
        </w:rPr>
      </w:pPr>
      <w:r>
        <w:rPr>
          <w:rFonts w:ascii="Times New Roman;serif" w:hAnsi="Times New Roman;serif"/>
          <w:b w:val="false"/>
          <w:i/>
          <w:color w:val="000000"/>
          <w:sz w:val="22"/>
        </w:rPr>
        <w:t xml:space="preserve">These risks and uncertainties relate to the company’s business, its industry and its common stock and include: reduced prices and reimbursement rates for its services; its ability to acquire, develop, manage or improve operations, its ability to manage its increasing borrowing costs as it incurs additional indebtedness to fund the acquisition and development of operations; its ability to access capital on a cost-effective basis to continue to successfully implement its growth strategy; its operating margins and profitability could suffer if it is unable to grow and manage effectively its increasing number of operations; competition from other companies in the acquisition, development and operation of facilities; its ability to defend claims and lawsuits, including professional liability claims alleging that our services resulted in personal injury, and other regulatory-related claims; and the application of existing or proposed government regulations, or the adoption of new laws and regulations, that could limit its business operations, require it to incur significant expenditures or limit its ability to relocate its operations if necessary. Readers should not place undue reliance on any forward-looking statements and are encouraged to review the company’s periodic filings with the Securities and Exchange Commission, including its Form 10-Q and/or 10-K, for a more complete discussion of the risks and other factors that could affect Pennant’s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prospects and any forward-looking statements. Except as required by the federal securities laws, Pennant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Contact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Pennant Group,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(208) 401-1400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ir@pennantgroup.com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SOURCE: The Pennant Group, Inc.</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75"/>
        <w:gridCol w:w="1455"/>
        <w:gridCol w:w="1460"/>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7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 of property and equipment,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405,165 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21,955 </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32"/>
        <w:gridCol w:w="2270"/>
        <w:gridCol w:w="2197"/>
        <w:gridCol w:w="211"/>
        <w:gridCol w:w="976"/>
        <w:gridCol w:w="109"/>
        <w:gridCol w:w="109"/>
        <w:gridCol w:w="109"/>
        <w:gridCol w:w="109"/>
        <w:gridCol w:w="244"/>
        <w:gridCol w:w="958"/>
        <w:gridCol w:w="181"/>
      </w:tblGrid>
      <w:tr>
        <w:trPr/>
        <w:tc>
          <w:tcPr>
            <w:tcW w:w="273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credit losses of $766 and $681,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632,849 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593,927 </w:t>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 shares authorized; 35,081 and 34,848 shares issued and outstanding, respectively, at June 30, 2026; and 34,878 and 34,626 shares issued and outstanding, respectively, at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332,603 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41,649 </w:t>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374,252 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1,037,291 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statements of cash flows for the periods presented: </w:t>
      </w:r>
    </w:p>
    <w:tbl>
      <w:tblPr>
        <w:tblW w:w="5919" w:type="dxa"/>
        <w:jc w:val="left"/>
        <w:tblInd w:w="0" w:type="dxa"/>
        <w:tblLayout w:type="fixed"/>
        <w:tblCellMar>
          <w:top w:w="28" w:type="dxa"/>
          <w:left w:w="28" w:type="dxa"/>
          <w:bottom w:w="28" w:type="dxa"/>
          <w:right w:w="28" w:type="dxa"/>
        </w:tblCellMar>
      </w:tblPr>
      <w:tblGrid>
        <w:gridCol w:w="1254"/>
        <w:gridCol w:w="1104"/>
        <w:gridCol w:w="1107"/>
        <w:gridCol w:w="211"/>
        <w:gridCol w:w="721"/>
        <w:gridCol w:w="109"/>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end of period</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total revenue by segment and as a percentage of total revenue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237,770 </w:t>
            </w:r>
          </w:p>
        </w:tc>
        <w:tc>
          <w:tcPr>
            <w:tcW w:w="1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9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3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50"/>
        <w:gridCol w:w="2250"/>
        <w:gridCol w:w="31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Home care and other revenue is included with home health revenue in other disclosures in this press release. </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3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37"/>
        <w:gridCol w:w="2237"/>
        <w:gridCol w:w="3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press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 PERFORMANCE INDICATORS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total revenue dollars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performance indicators for the each of the dates or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2"/>
        <w:gridCol w:w="1507"/>
        <w:gridCol w:w="1522"/>
        <w:gridCol w:w="211"/>
        <w:gridCol w:w="827"/>
        <w:gridCol w:w="109"/>
        <w:gridCol w:w="109"/>
        <w:gridCol w:w="109"/>
        <w:gridCol w:w="109"/>
        <w:gridCol w:w="211"/>
        <w:gridCol w:w="827"/>
        <w:gridCol w:w="109"/>
        <w:gridCol w:w="109"/>
        <w:gridCol w:w="109"/>
        <w:gridCol w:w="109"/>
        <w:gridCol w:w="211"/>
        <w:gridCol w:w="721"/>
        <w:gridCol w:w="109"/>
        <w:gridCol w:w="109"/>
        <w:gridCol w:w="109"/>
        <w:gridCol w:w="109"/>
        <w:gridCol w:w="255"/>
        <w:gridCol w:w="256"/>
        <w:gridCol w:w="617"/>
      </w:tblGrid>
      <w:tr>
        <w:trPr/>
        <w:tc>
          <w:tcPr>
            <w:tcW w:w="173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agency results: </w:t>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729"/>
        <w:gridCol w:w="1514"/>
        <w:gridCol w:w="1518"/>
        <w:gridCol w:w="211"/>
        <w:gridCol w:w="827"/>
        <w:gridCol w:w="109"/>
        <w:gridCol w:w="109"/>
        <w:gridCol w:w="109"/>
        <w:gridCol w:w="109"/>
        <w:gridCol w:w="211"/>
        <w:gridCol w:w="827"/>
        <w:gridCol w:w="109"/>
        <w:gridCol w:w="109"/>
        <w:gridCol w:w="109"/>
        <w:gridCol w:w="109"/>
        <w:gridCol w:w="211"/>
        <w:gridCol w:w="721"/>
        <w:gridCol w:w="109"/>
        <w:gridCol w:w="109"/>
        <w:gridCol w:w="109"/>
        <w:gridCol w:w="109"/>
        <w:gridCol w:w="255"/>
        <w:gridCol w:w="256"/>
        <w:gridCol w:w="617"/>
      </w:tblGrid>
      <w:tr>
        <w:trPr/>
        <w:tc>
          <w:tcPr>
            <w:tcW w:w="172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agency</w:t>
            </w:r>
            <w:r>
              <w:rPr>
                <w:rFonts w:ascii="Times New Roman;serif" w:hAnsi="Times New Roman;serif"/>
                <w:b/>
                <w:color w:val="000000"/>
                <w:sz w:val="13"/>
              </w:rPr>
              <w:t>(b)</w:t>
            </w:r>
            <w:r>
              <w:rPr>
                <w:color w:val="000000"/>
              </w:rPr>
              <w:t xml:space="preserve"> </w:t>
            </w:r>
            <w:r>
              <w:rPr>
                <w:rFonts w:ascii="Times New Roman;serif" w:hAnsi="Times New Roman;serif"/>
                <w:b/>
                <w:color w:val="000000"/>
                <w:sz w:val="20"/>
              </w:rPr>
              <w:t xml:space="preserve">results: </w:t>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00"/>
        <w:gridCol w:w="1472"/>
        <w:gridCol w:w="14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616"/>
      </w:tblGrid>
      <w:tr>
        <w:trPr/>
        <w:tc>
          <w:tcPr>
            <w:tcW w:w="170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agency results: </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0"/>
        <w:gridCol w:w="1515"/>
        <w:gridCol w:w="151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6"/>
      </w:tblGrid>
      <w:tr>
        <w:trPr/>
        <w:tc>
          <w:tcPr>
            <w:tcW w:w="173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agency</w:t>
            </w:r>
            <w:r>
              <w:rPr>
                <w:rFonts w:ascii="Times New Roman;serif" w:hAnsi="Times New Roman;serif"/>
                <w:b/>
                <w:color w:val="000000"/>
                <w:sz w:val="13"/>
              </w:rPr>
              <w:t>(b)</w:t>
            </w:r>
            <w:r>
              <w:rPr>
                <w:color w:val="000000"/>
              </w:rPr>
              <w:t xml:space="preserve"> </w:t>
            </w:r>
            <w:r>
              <w:rPr>
                <w:rFonts w:ascii="Times New Roman;serif" w:hAnsi="Times New Roman;serif"/>
                <w:b/>
                <w:color w:val="000000"/>
                <w:sz w:val="20"/>
              </w:rPr>
              <w:t xml:space="preserve">results: </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year to date average for Medicare revenue per 60-day completed episode includes post period claim adjustments for prior periods.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Same agency results represent all agencies purchased or licensed prior to January 1,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performance indicators for the periods indicated:</w:t>
      </w:r>
    </w:p>
    <w:p>
      <w:pPr>
        <w:pStyle w:val="TextBody"/>
        <w:bidi w:val="0"/>
        <w:spacing w:before="0" w:after="0"/>
        <w:jc w:val="left"/>
        <w:rPr/>
      </w:pPr>
      <w:r>
        <w:rPr/>
      </w:r>
    </w:p>
    <w:tbl>
      <w:tblPr>
        <w:tblW w:w="9300" w:type="dxa"/>
        <w:jc w:val="left"/>
        <w:tblInd w:w="0" w:type="dxa"/>
        <w:tblLayout w:type="fixed"/>
        <w:tblCellMar>
          <w:top w:w="28" w:type="dxa"/>
          <w:left w:w="28" w:type="dxa"/>
          <w:bottom w:w="28" w:type="dxa"/>
          <w:right w:w="28" w:type="dxa"/>
        </w:tblCellMar>
      </w:tblPr>
      <w:tblGrid>
        <w:gridCol w:w="1337"/>
        <w:gridCol w:w="1174"/>
        <w:gridCol w:w="117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living results:</w:t>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210" w:type="dxa"/>
        <w:jc w:val="left"/>
        <w:tblInd w:w="0" w:type="dxa"/>
        <w:tblLayout w:type="fixed"/>
        <w:tblCellMar>
          <w:top w:w="28" w:type="dxa"/>
          <w:left w:w="28" w:type="dxa"/>
          <w:bottom w:w="28" w:type="dxa"/>
          <w:right w:w="28" w:type="dxa"/>
        </w:tblCellMar>
      </w:tblPr>
      <w:tblGrid>
        <w:gridCol w:w="1337"/>
        <w:gridCol w:w="1173"/>
        <w:gridCol w:w="117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211"/>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store senior living</w:t>
            </w:r>
            <w:r>
              <w:rPr>
                <w:rFonts w:ascii="Times New Roman;serif" w:hAnsi="Times New Roman;serif"/>
                <w:b/>
                <w:color w:val="000000"/>
                <w:sz w:val="13"/>
              </w:rPr>
              <w:t>(a)</w:t>
            </w:r>
            <w:r>
              <w:rPr>
                <w:color w:val="000000"/>
              </w:rPr>
              <w:t xml:space="preserve"> </w:t>
            </w:r>
            <w:r>
              <w:rPr>
                <w:rFonts w:ascii="Times New Roman;serif" w:hAnsi="Times New Roman;serif"/>
                <w:b/>
                <w:color w:val="000000"/>
                <w:sz w:val="20"/>
              </w:rPr>
              <w:t xml:space="preserve">results: </w:t>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performance indicators for the periods indicated:</w:t>
      </w:r>
    </w:p>
    <w:p>
      <w:pPr>
        <w:pStyle w:val="TextBody"/>
        <w:bidi w:val="0"/>
        <w:spacing w:before="0" w:after="0"/>
        <w:jc w:val="left"/>
        <w:rPr/>
      </w:pPr>
      <w:r>
        <w:rPr/>
      </w:r>
    </w:p>
    <w:tbl>
      <w:tblPr>
        <w:tblW w:w="9615" w:type="dxa"/>
        <w:jc w:val="left"/>
        <w:tblInd w:w="0" w:type="dxa"/>
        <w:tblLayout w:type="fixed"/>
        <w:tblCellMar>
          <w:top w:w="28" w:type="dxa"/>
          <w:left w:w="28" w:type="dxa"/>
          <w:bottom w:w="28" w:type="dxa"/>
          <w:right w:w="28" w:type="dxa"/>
        </w:tblCellMar>
      </w:tblPr>
      <w:tblGrid>
        <w:gridCol w:w="1337"/>
        <w:gridCol w:w="1174"/>
        <w:gridCol w:w="117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living results:</w:t>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9751" w:type="dxa"/>
        <w:jc w:val="left"/>
        <w:tblInd w:w="0" w:type="dxa"/>
        <w:tblLayout w:type="fixed"/>
        <w:tblCellMar>
          <w:top w:w="28" w:type="dxa"/>
          <w:left w:w="28" w:type="dxa"/>
          <w:bottom w:w="28" w:type="dxa"/>
          <w:right w:w="28" w:type="dxa"/>
        </w:tblCellMar>
      </w:tblPr>
      <w:tblGrid>
        <w:gridCol w:w="1337"/>
        <w:gridCol w:w="1173"/>
        <w:gridCol w:w="1179"/>
        <w:gridCol w:w="211"/>
        <w:gridCol w:w="826"/>
        <w:gridCol w:w="271"/>
        <w:gridCol w:w="109"/>
        <w:gridCol w:w="109"/>
        <w:gridCol w:w="109"/>
        <w:gridCol w:w="211"/>
        <w:gridCol w:w="721"/>
        <w:gridCol w:w="271"/>
        <w:gridCol w:w="109"/>
        <w:gridCol w:w="109"/>
        <w:gridCol w:w="109"/>
        <w:gridCol w:w="109"/>
        <w:gridCol w:w="109"/>
        <w:gridCol w:w="109"/>
        <w:gridCol w:w="109"/>
        <w:gridCol w:w="211"/>
        <w:gridCol w:w="616"/>
        <w:gridCol w:w="271"/>
        <w:gridCol w:w="109"/>
        <w:gridCol w:w="109"/>
        <w:gridCol w:w="109"/>
        <w:gridCol w:w="211"/>
        <w:gridCol w:w="211"/>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store senior living</w:t>
            </w:r>
            <w:r>
              <w:rPr>
                <w:rFonts w:ascii="Times New Roman;serif" w:hAnsi="Times New Roman;serif"/>
                <w:b/>
                <w:color w:val="000000"/>
                <w:sz w:val="13"/>
              </w:rPr>
              <w:t>(a)</w:t>
            </w:r>
            <w:r>
              <w:rPr>
                <w:color w:val="000000"/>
              </w:rPr>
              <w:t xml:space="preserve"> </w:t>
            </w:r>
            <w:r>
              <w:rPr>
                <w:rFonts w:ascii="Times New Roman;serif" w:hAnsi="Times New Roman;serif"/>
                <w:b/>
                <w:color w:val="000000"/>
                <w:sz w:val="20"/>
              </w:rPr>
              <w:t xml:space="preserve">results: </w:t>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Same store senior living results represent all senior living communities purchased or licensed prior to January 1, 2025, excluding affiliate memory care units in start-up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BY PAYOR SOURCE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total revenue by payor source as a percentage of total revenue for the periods indicated:</w:t>
      </w:r>
    </w:p>
    <w:p>
      <w:pPr>
        <w:pStyle w:val="TextBody"/>
        <w:bidi w:val="0"/>
        <w:spacing w:before="0" w:after="0"/>
        <w:jc w:val="both"/>
        <w:rPr/>
      </w:pPr>
      <w:r>
        <w:rPr/>
      </w:r>
    </w:p>
    <w:tbl>
      <w:tblPr>
        <w:tblW w:w="10066" w:type="dxa"/>
        <w:jc w:val="left"/>
        <w:tblInd w:w="0" w:type="dxa"/>
        <w:tblLayout w:type="fixed"/>
        <w:tblCellMar>
          <w:top w:w="28" w:type="dxa"/>
          <w:left w:w="28" w:type="dxa"/>
          <w:bottom w:w="28" w:type="dxa"/>
          <w:right w:w="28" w:type="dxa"/>
        </w:tblCellMar>
      </w:tblPr>
      <w:tblGrid>
        <w:gridCol w:w="599"/>
        <w:gridCol w:w="528"/>
        <w:gridCol w:w="523"/>
        <w:gridCol w:w="109"/>
        <w:gridCol w:w="109"/>
        <w:gridCol w:w="109"/>
        <w:gridCol w:w="275"/>
        <w:gridCol w:w="1082"/>
        <w:gridCol w:w="142"/>
        <w:gridCol w:w="109"/>
        <w:gridCol w:w="109"/>
        <w:gridCol w:w="109"/>
        <w:gridCol w:w="404"/>
        <w:gridCol w:w="404"/>
        <w:gridCol w:w="1007"/>
        <w:gridCol w:w="109"/>
        <w:gridCol w:w="109"/>
        <w:gridCol w:w="109"/>
        <w:gridCol w:w="109"/>
        <w:gridCol w:w="109"/>
        <w:gridCol w:w="109"/>
        <w:gridCol w:w="109"/>
        <w:gridCol w:w="276"/>
        <w:gridCol w:w="1081"/>
        <w:gridCol w:w="142"/>
        <w:gridCol w:w="109"/>
        <w:gridCol w:w="109"/>
        <w:gridCol w:w="109"/>
        <w:gridCol w:w="378"/>
        <w:gridCol w:w="378"/>
        <w:gridCol w:w="1103"/>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794" w:type="dxa"/>
            <w:gridSpan w:val="10"/>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5"/>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186" w:type="dxa"/>
            <w:gridSpan w:val="6"/>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191,466 </w:t>
            </w:r>
          </w:p>
        </w:tc>
        <w:tc>
          <w:tcPr>
            <w:tcW w:w="1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0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0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includes revenue from all payors generated in the Company’s home care operations and management services agreement.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066" w:type="dxa"/>
        <w:jc w:val="left"/>
        <w:tblInd w:w="0" w:type="dxa"/>
        <w:tblLayout w:type="fixed"/>
        <w:tblCellMar>
          <w:top w:w="28" w:type="dxa"/>
          <w:left w:w="28" w:type="dxa"/>
          <w:bottom w:w="28" w:type="dxa"/>
          <w:right w:w="28" w:type="dxa"/>
        </w:tblCellMar>
      </w:tblPr>
      <w:tblGrid>
        <w:gridCol w:w="599"/>
        <w:gridCol w:w="528"/>
        <w:gridCol w:w="523"/>
        <w:gridCol w:w="109"/>
        <w:gridCol w:w="109"/>
        <w:gridCol w:w="109"/>
        <w:gridCol w:w="276"/>
        <w:gridCol w:w="1081"/>
        <w:gridCol w:w="142"/>
        <w:gridCol w:w="109"/>
        <w:gridCol w:w="109"/>
        <w:gridCol w:w="109"/>
        <w:gridCol w:w="404"/>
        <w:gridCol w:w="404"/>
        <w:gridCol w:w="1007"/>
        <w:gridCol w:w="109"/>
        <w:gridCol w:w="109"/>
        <w:gridCol w:w="109"/>
        <w:gridCol w:w="109"/>
        <w:gridCol w:w="109"/>
        <w:gridCol w:w="109"/>
        <w:gridCol w:w="109"/>
        <w:gridCol w:w="276"/>
        <w:gridCol w:w="1081"/>
        <w:gridCol w:w="142"/>
        <w:gridCol w:w="109"/>
        <w:gridCol w:w="109"/>
        <w:gridCol w:w="109"/>
        <w:gridCol w:w="378"/>
        <w:gridCol w:w="378"/>
        <w:gridCol w:w="1103"/>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94" w:type="dxa"/>
            <w:gridSpan w:val="10"/>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gridSpan w:val="5"/>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186" w:type="dxa"/>
            <w:gridSpan w:val="6"/>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373,645 </w:t>
            </w:r>
          </w:p>
        </w:tc>
        <w:tc>
          <w:tcPr>
            <w:tcW w:w="1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263,082 </w:t>
            </w:r>
          </w:p>
        </w:tc>
        <w:tc>
          <w:tcPr>
            <w:tcW w:w="1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0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0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includes revenue from all payors generated in the Company’s home care operations and management services agreement.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Non-GAAP net income for the periods presented:</w:t>
      </w:r>
    </w:p>
    <w:tbl>
      <w:tblPr>
        <w:tblW w:w="10083" w:type="dxa"/>
        <w:jc w:val="center"/>
        <w:tblInd w:w="0" w:type="dxa"/>
        <w:tblLayout w:type="fixed"/>
        <w:tblCellMar>
          <w:top w:w="28" w:type="dxa"/>
          <w:left w:w="28" w:type="dxa"/>
          <w:bottom w:w="28" w:type="dxa"/>
          <w:right w:w="28" w:type="dxa"/>
        </w:tblCellMar>
      </w:tblPr>
      <w:tblGrid>
        <w:gridCol w:w="1694"/>
        <w:gridCol w:w="1488"/>
        <w:gridCol w:w="1497"/>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11"/>
        <w:gridCol w:w="721"/>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adjustments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at start-up operations</w:t>
            </w:r>
            <w:r>
              <w:rPr>
                <w:rFonts w:ascii="Times New Roman;serif" w:hAnsi="Times New Roman;serif"/>
                <w:b w:val="false"/>
                <w:color w:val="000000"/>
                <w:sz w:val="13"/>
              </w:rPr>
              <w:t>(a)</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(f)</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 on Non-GAAP adjustments</w:t>
            </w:r>
            <w:r>
              <w:rPr>
                <w:rFonts w:ascii="Times New Roman;serif" w:hAnsi="Times New Roman;serif"/>
                <w:b w:val="false"/>
                <w:color w:val="000000"/>
                <w:sz w:val="13"/>
              </w:rPr>
              <w:t>(g)</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w:t>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12,844 </w:t>
            </w:r>
          </w:p>
        </w:tc>
        <w:tc>
          <w:tcPr>
            <w:tcW w:w="12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2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Dilutive Earnings Per Share As Reported</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w:t>
            </w:r>
          </w:p>
        </w:tc>
        <w:tc>
          <w:tcPr>
            <w:tcW w:w="10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Diluted Earnings Per Share </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w:t>
            </w:r>
          </w:p>
        </w:tc>
        <w:tc>
          <w:tcPr>
            <w:tcW w:w="10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5"/>
        <w:gridCol w:w="235"/>
        <w:gridCol w:w="235"/>
        <w:gridCol w:w="235"/>
        <w:gridCol w:w="235"/>
        <w:gridCol w:w="235"/>
        <w:gridCol w:w="235"/>
        <w:gridCol w:w="235"/>
        <w:gridCol w:w="235"/>
        <w:gridCol w:w="201"/>
        <w:gridCol w:w="651"/>
        <w:gridCol w:w="112"/>
        <w:gridCol w:w="112"/>
        <w:gridCol w:w="112"/>
        <w:gridCol w:w="112"/>
        <w:gridCol w:w="201"/>
        <w:gridCol w:w="651"/>
        <w:gridCol w:w="112"/>
        <w:gridCol w:w="109"/>
        <w:gridCol w:w="109"/>
        <w:gridCol w:w="109"/>
        <w:gridCol w:w="196"/>
        <w:gridCol w:w="631"/>
        <w:gridCol w:w="109"/>
        <w:gridCol w:w="109"/>
        <w:gridCol w:w="109"/>
        <w:gridCol w:w="109"/>
        <w:gridCol w:w="196"/>
        <w:gridCol w:w="6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results related to start-up operations.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Revenue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Cost of services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Rent </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&amp; amortization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share-based compensation expense incurred for the periods presented.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0"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costs incurred to acquire an operation that are not capitalizable.</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6"/>
        <w:gridCol w:w="238"/>
        <w:gridCol w:w="238"/>
        <w:gridCol w:w="238"/>
        <w:gridCol w:w="238"/>
        <w:gridCol w:w="238"/>
        <w:gridCol w:w="238"/>
        <w:gridCol w:w="238"/>
        <w:gridCol w:w="238"/>
        <w:gridCol w:w="362"/>
        <w:gridCol w:w="750"/>
        <w:gridCol w:w="201"/>
        <w:gridCol w:w="201"/>
        <w:gridCol w:w="201"/>
        <w:gridCol w:w="201"/>
        <w:gridCol w:w="362"/>
        <w:gridCol w:w="867"/>
        <w:gridCol w:w="201"/>
        <w:gridCol w:w="201"/>
        <w:gridCol w:w="201"/>
        <w:gridCol w:w="201"/>
        <w:gridCol w:w="362"/>
        <w:gridCol w:w="750"/>
        <w:gridCol w:w="201"/>
        <w:gridCol w:w="201"/>
        <w:gridCol w:w="201"/>
        <w:gridCol w:w="201"/>
        <w:gridCol w:w="362"/>
        <w:gridCol w:w="867"/>
        <w:gridCol w:w="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2026, this community is included in start-up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2124"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111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9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disposition of property and equipment,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0"/>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$2,491 and $5,306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0"/>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40"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2124"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2124"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2124"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0"/>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an adjustment to the provision for income tax to the year-to-date effective tax rate of 26.0% and 26.1% for the three and six months ended June 30, 2026 and 2025, respectively. This rate excludes the tax benefit of share-based payment awards.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 Consolidated Adjusted EBITDA, and to the Non-GAAP valuation measure, Consolidated Adjusted EBITDAR, for the periods presented:</w:t>
      </w:r>
    </w:p>
    <w:p>
      <w:pPr>
        <w:pStyle w:val="TextBody"/>
        <w:bidi w:val="0"/>
        <w:spacing w:before="0" w:after="0"/>
        <w:jc w:val="both"/>
        <w:rPr/>
      </w:pPr>
      <w:r>
        <w:rPr/>
      </w:r>
    </w:p>
    <w:tbl>
      <w:tblPr>
        <w:tblW w:w="10039" w:type="dxa"/>
        <w:jc w:val="left"/>
        <w:tblInd w:w="0" w:type="dxa"/>
        <w:tblLayout w:type="fixed"/>
        <w:tblCellMar>
          <w:top w:w="28" w:type="dxa"/>
          <w:left w:w="28" w:type="dxa"/>
          <w:bottom w:w="28" w:type="dxa"/>
          <w:right w:w="28" w:type="dxa"/>
        </w:tblCellMar>
      </w:tblPr>
      <w:tblGrid>
        <w:gridCol w:w="1677"/>
        <w:gridCol w:w="1475"/>
        <w:gridCol w:w="1483"/>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24,267 </w:t>
            </w:r>
          </w:p>
        </w:tc>
        <w:tc>
          <w:tcPr>
            <w:tcW w:w="12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2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0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2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Consolidated Adjusted EBITDAR</w:t>
            </w:r>
            <w:r>
              <w:rPr>
                <w:rFonts w:ascii="Times New Roman;serif" w:hAnsi="Times New Roman;serif"/>
                <w:b w:val="false"/>
                <w:color w:val="000000"/>
                <w:sz w:val="13"/>
              </w:rPr>
              <w:t>(g)</w:t>
            </w:r>
          </w:p>
        </w:tc>
        <w:tc>
          <w:tcPr>
            <w:tcW w:w="24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37,628 </w:t>
            </w:r>
          </w:p>
        </w:tc>
        <w:tc>
          <w:tcPr>
            <w:tcW w:w="12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0"/>
        <w:gridCol w:w="2718"/>
        <w:gridCol w:w="3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2026, this community is included in start-up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$2,491 and $5,306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This measure is a valuation measure and is displayed thusly, it is not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attributable to The Pennant Group, Inc. to the Consolidated Non-GAAP financial measures, Consolidated Adjusted EBITDA and Consolidated Adjusted EBITDA prior to NCI, for the periods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70"/>
        <w:gridCol w:w="1525"/>
        <w:gridCol w:w="1533"/>
        <w:gridCol w:w="227"/>
        <w:gridCol w:w="777"/>
        <w:gridCol w:w="116"/>
        <w:gridCol w:w="116"/>
        <w:gridCol w:w="116"/>
        <w:gridCol w:w="116"/>
        <w:gridCol w:w="227"/>
        <w:gridCol w:w="777"/>
        <w:gridCol w:w="116"/>
        <w:gridCol w:w="109"/>
        <w:gridCol w:w="109"/>
        <w:gridCol w:w="109"/>
        <w:gridCol w:w="211"/>
        <w:gridCol w:w="721"/>
        <w:gridCol w:w="109"/>
        <w:gridCol w:w="109"/>
        <w:gridCol w:w="109"/>
        <w:gridCol w:w="109"/>
        <w:gridCol w:w="211"/>
        <w:gridCol w:w="721"/>
        <w:gridCol w:w="162"/>
      </w:tblGrid>
      <w:tr>
        <w:trPr/>
        <w:tc>
          <w:tcPr>
            <w:tcW w:w="177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0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0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24,267 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32,748 </w:t>
            </w:r>
          </w:p>
        </w:tc>
        <w:tc>
          <w:tcPr>
            <w:tcW w:w="16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 (“NCI”)</w:t>
            </w:r>
          </w:p>
        </w:tc>
        <w:tc>
          <w:tcPr>
            <w:tcW w:w="100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 prior to NCI</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26,083 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34,391 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0"/>
        <w:gridCol w:w="2718"/>
        <w:gridCol w:w="3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2026, this community is included in start-up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$2,491 and $5,306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financial information regarding our reportable segments. General and administrative expenses are not allocated to the reportable segments: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4"/>
        <w:gridCol w:w="908"/>
        <w:gridCol w:w="912"/>
        <w:gridCol w:w="450"/>
        <w:gridCol w:w="1766"/>
        <w:gridCol w:w="232"/>
        <w:gridCol w:w="109"/>
        <w:gridCol w:w="109"/>
        <w:gridCol w:w="109"/>
        <w:gridCol w:w="346"/>
        <w:gridCol w:w="1185"/>
        <w:gridCol w:w="179"/>
        <w:gridCol w:w="109"/>
        <w:gridCol w:w="109"/>
        <w:gridCol w:w="109"/>
        <w:gridCol w:w="211"/>
        <w:gridCol w:w="616"/>
        <w:gridCol w:w="109"/>
        <w:gridCol w:w="109"/>
        <w:gridCol w:w="109"/>
        <w:gridCol w:w="109"/>
        <w:gridCol w:w="211"/>
        <w:gridCol w:w="826"/>
        <w:gridCol w:w="159"/>
      </w:tblGrid>
      <w:tr>
        <w:trPr/>
        <w:tc>
          <w:tcPr>
            <w:tcW w:w="111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237,353 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2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0"/>
        <w:gridCol w:w="902"/>
        <w:gridCol w:w="905"/>
        <w:gridCol w:w="448"/>
        <w:gridCol w:w="1757"/>
        <w:gridCol w:w="231"/>
        <w:gridCol w:w="109"/>
        <w:gridCol w:w="109"/>
        <w:gridCol w:w="109"/>
        <w:gridCol w:w="320"/>
        <w:gridCol w:w="1254"/>
        <w:gridCol w:w="165"/>
        <w:gridCol w:w="109"/>
        <w:gridCol w:w="109"/>
        <w:gridCol w:w="109"/>
        <w:gridCol w:w="211"/>
        <w:gridCol w:w="616"/>
        <w:gridCol w:w="109"/>
        <w:gridCol w:w="109"/>
        <w:gridCol w:w="109"/>
        <w:gridCol w:w="109"/>
        <w:gridCol w:w="211"/>
        <w:gridCol w:w="826"/>
        <w:gridCol w:w="159"/>
      </w:tblGrid>
      <w:tr>
        <w:trPr/>
        <w:tc>
          <w:tcPr>
            <w:tcW w:w="111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24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466,185 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388,433 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77,752 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2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above to income from operations:</w:t>
      </w:r>
    </w:p>
    <w:p>
      <w:pPr>
        <w:pStyle w:val="TextBody"/>
        <w:bidi w:val="0"/>
        <w:spacing w:before="0" w:after="0"/>
        <w:ind w:left="0" w:right="0" w:hanging="360"/>
        <w:jc w:val="center"/>
        <w:rPr/>
      </w:pPr>
      <w:r>
        <w:rPr/>
      </w:r>
    </w:p>
    <w:tbl>
      <w:tblPr>
        <w:tblW w:w="10126" w:type="dxa"/>
        <w:jc w:val="center"/>
        <w:tblInd w:w="0" w:type="dxa"/>
        <w:tblLayout w:type="fixed"/>
        <w:tblCellMar>
          <w:top w:w="28" w:type="dxa"/>
          <w:left w:w="28" w:type="dxa"/>
          <w:bottom w:w="28" w:type="dxa"/>
          <w:right w:w="28" w:type="dxa"/>
        </w:tblCellMar>
      </w:tblPr>
      <w:tblGrid>
        <w:gridCol w:w="1674"/>
        <w:gridCol w:w="1469"/>
        <w:gridCol w:w="1477"/>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72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(f)</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(g)</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1"/>
        <w:gridCol w:w="3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2026, this community is included in start-up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$2,491 and $5,306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reconcile Segment Adjusted EBITDAR from Operations to Segment Adjusted EBITDA from Operations for each reportable segment for the periods presented:</w:t>
      </w:r>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9510" w:type="dxa"/>
        <w:jc w:val="center"/>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Discussion of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EBITDA consists of net income, adjusted for net income attributable to noncontrolling interest (“NCI”), before (a) interest expense, net, (b) provisions for income taxes, and (c) depreciation and amortization. Adjusted EBITDA consists of net income attributable to the Company before (a) interest expense, net (b) provisions for income taxes, (c) depreciation and amortization, (d) results related to start-up operations, including rent and excluding depreciation, interest and income taxes, (e) share-based compensation expense, (f) non-capitalizable acquisition related costs, (g) activities associated with transitioning operations, (h) transition services costs, and (i) other unusual, non-recurring or redundant charges. Adjusted EBITDA prior to NCI consists of net income attributable to the Company before (a) interest expense, net (b) provisions for income taxes, (c) depreciation and amortization, (d) results related to start-up operations, (f) non-capitalizable acquisition related costs, (g) activities associated with transitioning operations, (h) transition services costs, (i) unusual, non-recurring or redundant charges, and (j) NCI. Consolidated Adjusted EBITDAR is a valuation measure applicable to current periods only and consists of net income attributable to the Company before (a) interest expense, net, (b) provisions for income taxes, (c) depreciation and amortization, (d) rent-cost of services, (e) results related to start-up operations, excluding rent, depreciation, interest and income taxes, (f) share-based compensation expense, (g) acquisition related costs, (h) activities associated with transitioning operations, (i) transition services costs, and (j) other unusual, non-recurring or redundant charges. The company believes that the presentation of EBITDA, adjusted EBITDA, adjusted EBITDA prior to NCI, consolidated adjusted EBITDAR, adjusted net income, and adjusted earnings per share provides important supplemental information to management and investors to evaluate the company’s operating performance. The company believes disclosure of adjusted net income, adjusted net income per share, EBITDA, adjusted EBITDA, adjusted EBITDA prior to NCI, and consolidated adjusted EBITDAR has economic substance because the excluded revenues and expenses are infrequent in nature and are variable in nature, or do not represent current revenues or cash expenditures. A material limitation associated with the use of these measures as compared to the GAAP measures of net income and diluted earnings per share is that they may not be comparable with the calculation of net income and diluted earnings per share for other companies in the company's industry. These non-GAAP financial measures should not be relied upon to the exclusion of GAAP financial measures. For further information regarding why the company believes that this non-GAAP measure provides useful information to investors, the specific manner in which management uses this measure, and some of the limitations associated with the use of this measure, please refer to the company's periodic filings with the Securities and Exchange Commission, including its Annual Report on Form 10-K and Quarterly Report on Form 10-Q. The company’s periodic filings are available on the SEC's website at www.sec.gov or under the "Financial Information" link of the Investor Relations section on Pennant’s website at http://www.pennantgroup.com.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6656</Words>
  <Characters>37060</Characters>
  <CharactersWithSpaces>42838</CharactersWithSpaces>
  <Paragraphs>1664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