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ind w:left="4060"/>
        <w:spacing w:after="0"/>
        <w:rPr>
          <w:sz w:val="20"/>
          <w:szCs w:val="20"/>
          <w:color w:val="auto"/>
        </w:rPr>
      </w:pPr>
      <w:r>
        <w:rPr>
          <w:rFonts w:ascii="Arial" w:cs="Arial" w:eastAsia="Arial" w:hAnsi="Arial"/>
          <w:sz w:val="22"/>
          <w:szCs w:val="22"/>
          <w:b w:val="1"/>
          <w:bCs w:val="1"/>
          <w:color w:val="auto"/>
        </w:rPr>
        <w:t>_____________________________</w:t>
      </w:r>
    </w:p>
    <w:p>
      <w:pPr>
        <w:jc w:val="center"/>
        <w:spacing w:after="0"/>
        <w:rPr>
          <w:sz w:val="20"/>
          <w:szCs w:val="20"/>
          <w:color w:val="auto"/>
        </w:rPr>
      </w:pPr>
      <w:r>
        <w:rPr>
          <w:rFonts w:ascii="Arial" w:cs="Arial" w:eastAsia="Arial" w:hAnsi="Arial"/>
          <w:sz w:val="29"/>
          <w:szCs w:val="29"/>
          <w:b w:val="1"/>
          <w:bCs w:val="1"/>
          <w:color w:val="auto"/>
        </w:rPr>
        <w:t>FORM 10-Q</w:t>
      </w:r>
    </w:p>
    <w:p>
      <w:pPr>
        <w:spacing w:after="0" w:line="31" w:lineRule="exact"/>
        <w:rPr>
          <w:sz w:val="24"/>
          <w:szCs w:val="24"/>
          <w:color w:val="auto"/>
        </w:rPr>
      </w:pPr>
    </w:p>
    <w:p>
      <w:pPr>
        <w:ind w:left="760" w:hanging="455"/>
        <w:spacing w:after="0"/>
        <w:tabs>
          <w:tab w:leader="none" w:pos="7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March 31, 2022.</w:t>
      </w:r>
    </w:p>
    <w:p>
      <w:pPr>
        <w:spacing w:after="0" w:line="46" w:lineRule="exact"/>
        <w:rPr>
          <w:sz w:val="24"/>
          <w:szCs w:val="24"/>
          <w:color w:val="auto"/>
        </w:rPr>
      </w:pPr>
    </w:p>
    <w:p>
      <w:pPr>
        <w:ind w:left="760" w:hanging="455"/>
        <w:spacing w:after="0"/>
        <w:tabs>
          <w:tab w:leader="none" w:pos="7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13" w:lineRule="exact"/>
        <w:rPr>
          <w:sz w:val="24"/>
          <w:szCs w:val="24"/>
          <w:color w:val="auto"/>
        </w:rPr>
      </w:pPr>
    </w:p>
    <w:tbl>
      <w:tblPr>
        <w:tblLayout w:type="fixed"/>
        <w:tblInd w:w="180" w:type="dxa"/>
        <w:tblCellMar>
          <w:top w:w="0" w:type="dxa"/>
          <w:left w:w="0" w:type="dxa"/>
          <w:bottom w:w="0" w:type="dxa"/>
          <w:right w:w="0" w:type="dxa"/>
        </w:tblCellMar>
      </w:tblPr>
      <w:tr>
        <w:trPr>
          <w:trHeight w:val="184"/>
        </w:trPr>
        <w:tc>
          <w:tcPr>
            <w:tcW w:w="2120" w:type="dxa"/>
            <w:vAlign w:val="bottom"/>
          </w:tcPr>
          <w:p>
            <w:pPr>
              <w:spacing w:after="0"/>
              <w:rPr>
                <w:sz w:val="20"/>
                <w:szCs w:val="20"/>
                <w:color w:val="auto"/>
              </w:rPr>
            </w:pPr>
            <w:r>
              <w:rPr>
                <w:rFonts w:ascii="Arial" w:cs="Arial" w:eastAsia="Arial" w:hAnsi="Arial"/>
                <w:sz w:val="16"/>
                <w:szCs w:val="16"/>
                <w:b w:val="1"/>
                <w:bCs w:val="1"/>
                <w:color w:val="auto"/>
                <w:w w:val="93"/>
              </w:rPr>
              <w:t>For the transition period from</w:t>
            </w:r>
          </w:p>
        </w:tc>
        <w:tc>
          <w:tcPr>
            <w:tcW w:w="820" w:type="dxa"/>
            <w:vAlign w:val="bottom"/>
          </w:tcPr>
          <w:p>
            <w:pPr>
              <w:spacing w:after="0"/>
              <w:rPr>
                <w:sz w:val="16"/>
                <w:szCs w:val="16"/>
                <w:color w:val="auto"/>
              </w:rPr>
            </w:pPr>
          </w:p>
        </w:tc>
        <w:tc>
          <w:tcPr>
            <w:tcW w:w="700" w:type="dxa"/>
            <w:vAlign w:val="bottom"/>
            <w:gridSpan w:val="2"/>
          </w:tcPr>
          <w:p>
            <w:pPr>
              <w:ind w:left="40"/>
              <w:spacing w:after="0"/>
              <w:rPr>
                <w:sz w:val="20"/>
                <w:szCs w:val="20"/>
                <w:color w:val="auto"/>
              </w:rPr>
            </w:pPr>
            <w:r>
              <w:rPr>
                <w:rFonts w:ascii="Arial" w:cs="Arial" w:eastAsia="Arial" w:hAnsi="Arial"/>
                <w:sz w:val="16"/>
                <w:szCs w:val="16"/>
                <w:b w:val="1"/>
                <w:bCs w:val="1"/>
                <w:color w:val="auto"/>
              </w:rPr>
              <w:t>to</w:t>
            </w:r>
          </w:p>
        </w:tc>
        <w:tc>
          <w:tcPr>
            <w:tcW w:w="5140" w:type="dxa"/>
            <w:vAlign w:val="bottom"/>
            <w:gridSpan w:val="2"/>
          </w:tcPr>
          <w:p>
            <w:pPr>
              <w:jc w:val="right"/>
              <w:ind w:right="4699"/>
              <w:spacing w:after="0"/>
              <w:rPr>
                <w:sz w:val="20"/>
                <w:szCs w:val="20"/>
                <w:color w:val="auto"/>
              </w:rPr>
            </w:pPr>
            <w:r>
              <w:rPr>
                <w:rFonts w:ascii="Arial" w:cs="Arial" w:eastAsia="Arial" w:hAnsi="Arial"/>
                <w:sz w:val="16"/>
                <w:szCs w:val="16"/>
                <w:b w:val="1"/>
                <w:bCs w:val="1"/>
                <w:color w:val="auto"/>
              </w:rPr>
              <w:t>.</w:t>
            </w:r>
          </w:p>
        </w:tc>
      </w:tr>
      <w:tr>
        <w:trPr>
          <w:trHeight w:val="379"/>
        </w:trPr>
        <w:tc>
          <w:tcPr>
            <w:tcW w:w="21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820" w:type="dxa"/>
            <w:vAlign w:val="bottom"/>
          </w:tcPr>
          <w:p>
            <w:pPr>
              <w:jc w:val="center"/>
              <w:ind w:right="1759"/>
              <w:spacing w:after="0"/>
              <w:rPr>
                <w:sz w:val="20"/>
                <w:szCs w:val="20"/>
                <w:color w:val="auto"/>
              </w:rPr>
            </w:pPr>
            <w:r>
              <w:rPr>
                <w:rFonts w:ascii="Arial" w:cs="Arial" w:eastAsia="Arial" w:hAnsi="Arial"/>
                <w:sz w:val="16"/>
                <w:szCs w:val="16"/>
                <w:b w:val="1"/>
                <w:bCs w:val="1"/>
                <w:color w:val="auto"/>
                <w:w w:val="91"/>
              </w:rPr>
              <w:t>Commission file number: 001-38900</w:t>
            </w:r>
          </w:p>
        </w:tc>
      </w:tr>
      <w:tr>
        <w:trPr>
          <w:trHeight w:val="263"/>
        </w:trPr>
        <w:tc>
          <w:tcPr>
            <w:tcW w:w="2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140" w:type="dxa"/>
            <w:vAlign w:val="bottom"/>
            <w:gridSpan w:val="2"/>
          </w:tcPr>
          <w:p>
            <w:pPr>
              <w:jc w:val="center"/>
              <w:ind w:right="1439"/>
              <w:spacing w:after="0"/>
              <w:rPr>
                <w:sz w:val="20"/>
                <w:szCs w:val="20"/>
                <w:color w:val="auto"/>
              </w:rPr>
            </w:pPr>
            <w:r>
              <w:rPr>
                <w:rFonts w:ascii="Arial" w:cs="Arial" w:eastAsia="Arial" w:hAnsi="Arial"/>
                <w:sz w:val="18"/>
                <w:szCs w:val="18"/>
                <w:b w:val="1"/>
                <w:bCs w:val="1"/>
                <w:color w:val="auto"/>
                <w:w w:val="89"/>
              </w:rPr>
              <w:t>__________________________</w:t>
            </w:r>
          </w:p>
        </w:tc>
      </w:tr>
      <w:tr>
        <w:trPr>
          <w:trHeight w:val="590"/>
        </w:trPr>
        <w:tc>
          <w:tcPr>
            <w:tcW w:w="2120" w:type="dxa"/>
            <w:vAlign w:val="bottom"/>
          </w:tcPr>
          <w:p>
            <w:pPr>
              <w:spacing w:after="0"/>
              <w:rPr>
                <w:sz w:val="24"/>
                <w:szCs w:val="24"/>
                <w:color w:val="auto"/>
              </w:rPr>
            </w:pPr>
          </w:p>
        </w:tc>
        <w:tc>
          <w:tcPr>
            <w:tcW w:w="6660" w:type="dxa"/>
            <w:vAlign w:val="bottom"/>
            <w:gridSpan w:val="5"/>
          </w:tcPr>
          <w:p>
            <w:pPr>
              <w:jc w:val="center"/>
              <w:spacing w:after="0"/>
              <w:rPr>
                <w:sz w:val="20"/>
                <w:szCs w:val="20"/>
                <w:color w:val="auto"/>
              </w:rPr>
            </w:pPr>
            <w:r>
              <w:rPr>
                <w:rFonts w:ascii="Arial" w:cs="Arial" w:eastAsia="Arial" w:hAnsi="Arial"/>
                <w:sz w:val="40"/>
                <w:szCs w:val="40"/>
                <w:b w:val="1"/>
                <w:bCs w:val="1"/>
                <w:color w:val="auto"/>
                <w:w w:val="98"/>
              </w:rPr>
              <w:t>THE PENNANT GROUP, INC.</w:t>
            </w:r>
          </w:p>
        </w:tc>
      </w:tr>
      <w:tr>
        <w:trPr>
          <w:trHeight w:val="430"/>
        </w:trPr>
        <w:tc>
          <w:tcPr>
            <w:tcW w:w="2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140" w:type="dxa"/>
            <w:vAlign w:val="bottom"/>
            <w:gridSpan w:val="2"/>
          </w:tcPr>
          <w:p>
            <w:pPr>
              <w:jc w:val="center"/>
              <w:ind w:right="1459"/>
              <w:spacing w:after="0"/>
              <w:rPr>
                <w:sz w:val="20"/>
                <w:szCs w:val="20"/>
                <w:color w:val="auto"/>
              </w:rPr>
            </w:pPr>
            <w:r>
              <w:rPr>
                <w:rFonts w:ascii="Arial" w:cs="Arial" w:eastAsia="Arial" w:hAnsi="Arial"/>
                <w:sz w:val="16"/>
                <w:szCs w:val="16"/>
                <w:color w:val="auto"/>
                <w:w w:val="92"/>
              </w:rPr>
              <w:t>(Exact Name of Registrant as Specified in Its Charter)</w:t>
            </w:r>
          </w:p>
        </w:tc>
      </w:tr>
      <w:tr>
        <w:trPr>
          <w:trHeight w:val="229"/>
        </w:trPr>
        <w:tc>
          <w:tcPr>
            <w:tcW w:w="2120" w:type="dxa"/>
            <w:vAlign w:val="bottom"/>
          </w:tcPr>
          <w:p>
            <w:pPr>
              <w:spacing w:after="0"/>
              <w:rPr>
                <w:sz w:val="19"/>
                <w:szCs w:val="19"/>
                <w:color w:val="auto"/>
              </w:rPr>
            </w:pPr>
          </w:p>
        </w:tc>
        <w:tc>
          <w:tcPr>
            <w:tcW w:w="1520" w:type="dxa"/>
            <w:vAlign w:val="bottom"/>
            <w:gridSpan w:val="3"/>
          </w:tcPr>
          <w:p>
            <w:pPr>
              <w:jc w:val="center"/>
              <w:ind w:right="620"/>
              <w:spacing w:after="0"/>
              <w:rPr>
                <w:sz w:val="20"/>
                <w:szCs w:val="20"/>
                <w:color w:val="auto"/>
              </w:rPr>
            </w:pPr>
            <w:r>
              <w:rPr>
                <w:rFonts w:ascii="Arial" w:cs="Arial" w:eastAsia="Arial" w:hAnsi="Arial"/>
                <w:sz w:val="16"/>
                <w:szCs w:val="16"/>
                <w:b w:val="1"/>
                <w:bCs w:val="1"/>
                <w:color w:val="auto"/>
                <w:w w:val="93"/>
              </w:rPr>
              <w:t>Delaware</w:t>
            </w:r>
          </w:p>
        </w:tc>
        <w:tc>
          <w:tcPr>
            <w:tcW w:w="5140" w:type="dxa"/>
            <w:vAlign w:val="bottom"/>
            <w:gridSpan w:val="2"/>
          </w:tcPr>
          <w:p>
            <w:pPr>
              <w:jc w:val="center"/>
              <w:ind w:left="3837"/>
              <w:spacing w:after="0"/>
              <w:rPr>
                <w:sz w:val="20"/>
                <w:szCs w:val="20"/>
                <w:color w:val="auto"/>
              </w:rPr>
            </w:pPr>
            <w:r>
              <w:rPr>
                <w:rFonts w:ascii="Arial" w:cs="Arial" w:eastAsia="Arial" w:hAnsi="Arial"/>
                <w:sz w:val="16"/>
                <w:szCs w:val="16"/>
                <w:b w:val="1"/>
                <w:bCs w:val="1"/>
                <w:color w:val="auto"/>
                <w:w w:val="91"/>
              </w:rPr>
              <w:t>83-3349931</w:t>
            </w:r>
          </w:p>
        </w:tc>
      </w:tr>
      <w:tr>
        <w:trPr>
          <w:trHeight w:val="216"/>
        </w:trPr>
        <w:tc>
          <w:tcPr>
            <w:tcW w:w="3640" w:type="dxa"/>
            <w:vAlign w:val="bottom"/>
            <w:gridSpan w:val="4"/>
          </w:tcPr>
          <w:p>
            <w:pPr>
              <w:jc w:val="center"/>
              <w:ind w:left="1419"/>
              <w:spacing w:after="0"/>
              <w:rPr>
                <w:sz w:val="20"/>
                <w:szCs w:val="20"/>
                <w:color w:val="auto"/>
              </w:rPr>
            </w:pPr>
            <w:r>
              <w:rPr>
                <w:rFonts w:ascii="Arial" w:cs="Arial" w:eastAsia="Arial" w:hAnsi="Arial"/>
                <w:sz w:val="16"/>
                <w:szCs w:val="16"/>
                <w:color w:val="auto"/>
                <w:w w:val="93"/>
              </w:rPr>
              <w:t>(State or Other Jurisdiction of</w:t>
            </w:r>
          </w:p>
        </w:tc>
        <w:tc>
          <w:tcPr>
            <w:tcW w:w="320" w:type="dxa"/>
            <w:vAlign w:val="bottom"/>
          </w:tcPr>
          <w:p>
            <w:pPr>
              <w:spacing w:after="0"/>
              <w:rPr>
                <w:sz w:val="18"/>
                <w:szCs w:val="18"/>
                <w:color w:val="auto"/>
              </w:rPr>
            </w:pPr>
          </w:p>
        </w:tc>
        <w:tc>
          <w:tcPr>
            <w:tcW w:w="4820" w:type="dxa"/>
            <w:vAlign w:val="bottom"/>
          </w:tcPr>
          <w:p>
            <w:pPr>
              <w:jc w:val="center"/>
              <w:ind w:left="3519"/>
              <w:spacing w:after="0"/>
              <w:rPr>
                <w:sz w:val="20"/>
                <w:szCs w:val="20"/>
                <w:color w:val="auto"/>
              </w:rPr>
            </w:pPr>
            <w:r>
              <w:rPr>
                <w:rFonts w:ascii="Arial" w:cs="Arial" w:eastAsia="Arial" w:hAnsi="Arial"/>
                <w:sz w:val="16"/>
                <w:szCs w:val="16"/>
                <w:color w:val="auto"/>
                <w:w w:val="93"/>
              </w:rPr>
              <w:t>(I.R.S. Employer</w:t>
            </w:r>
          </w:p>
        </w:tc>
      </w:tr>
      <w:tr>
        <w:trPr>
          <w:trHeight w:val="216"/>
        </w:trPr>
        <w:tc>
          <w:tcPr>
            <w:tcW w:w="3640" w:type="dxa"/>
            <w:vAlign w:val="bottom"/>
            <w:gridSpan w:val="4"/>
          </w:tcPr>
          <w:p>
            <w:pPr>
              <w:jc w:val="center"/>
              <w:ind w:left="1439"/>
              <w:spacing w:after="0"/>
              <w:rPr>
                <w:sz w:val="20"/>
                <w:szCs w:val="20"/>
                <w:color w:val="auto"/>
              </w:rPr>
            </w:pPr>
            <w:r>
              <w:rPr>
                <w:rFonts w:ascii="Arial" w:cs="Arial" w:eastAsia="Arial" w:hAnsi="Arial"/>
                <w:sz w:val="16"/>
                <w:szCs w:val="16"/>
                <w:color w:val="auto"/>
                <w:w w:val="94"/>
              </w:rPr>
              <w:t>Incorporation or Organization)</w:t>
            </w:r>
          </w:p>
        </w:tc>
        <w:tc>
          <w:tcPr>
            <w:tcW w:w="320" w:type="dxa"/>
            <w:vAlign w:val="bottom"/>
          </w:tcPr>
          <w:p>
            <w:pPr>
              <w:spacing w:after="0"/>
              <w:rPr>
                <w:sz w:val="18"/>
                <w:szCs w:val="18"/>
                <w:color w:val="auto"/>
              </w:rPr>
            </w:pPr>
          </w:p>
        </w:tc>
        <w:tc>
          <w:tcPr>
            <w:tcW w:w="4820" w:type="dxa"/>
            <w:vAlign w:val="bottom"/>
          </w:tcPr>
          <w:p>
            <w:pPr>
              <w:jc w:val="center"/>
              <w:ind w:left="3519"/>
              <w:spacing w:after="0"/>
              <w:rPr>
                <w:sz w:val="20"/>
                <w:szCs w:val="20"/>
                <w:color w:val="auto"/>
              </w:rPr>
            </w:pPr>
            <w:r>
              <w:rPr>
                <w:rFonts w:ascii="Arial" w:cs="Arial" w:eastAsia="Arial" w:hAnsi="Arial"/>
                <w:sz w:val="16"/>
                <w:szCs w:val="16"/>
                <w:color w:val="auto"/>
                <w:w w:val="97"/>
              </w:rPr>
              <w:t>Identification No.)</w:t>
            </w:r>
          </w:p>
        </w:tc>
      </w:tr>
    </w:tbl>
    <w:p>
      <w:pPr>
        <w:spacing w:after="0" w:line="87" w:lineRule="exact"/>
        <w:rPr>
          <w:sz w:val="24"/>
          <w:szCs w:val="24"/>
          <w:color w:val="auto"/>
        </w:rPr>
      </w:pPr>
    </w:p>
    <w:p>
      <w:pPr>
        <w:ind w:left="3780"/>
        <w:spacing w:after="0"/>
        <w:rPr>
          <w:sz w:val="20"/>
          <w:szCs w:val="20"/>
          <w:color w:val="auto"/>
        </w:rPr>
      </w:pPr>
      <w:r>
        <w:rPr>
          <w:rFonts w:ascii="Arial" w:cs="Arial" w:eastAsia="Arial" w:hAnsi="Arial"/>
          <w:sz w:val="16"/>
          <w:szCs w:val="16"/>
          <w:b w:val="1"/>
          <w:bCs w:val="1"/>
          <w:color w:val="auto"/>
        </w:rPr>
        <w:t>1675 East Riverside Drive, Suite 150, Eagle, ID 83616</w:t>
      </w:r>
    </w:p>
    <w:p>
      <w:pPr>
        <w:spacing w:after="0" w:line="23" w:lineRule="exact"/>
        <w:rPr>
          <w:sz w:val="24"/>
          <w:szCs w:val="24"/>
          <w:color w:val="auto"/>
        </w:rPr>
      </w:pPr>
    </w:p>
    <w:p>
      <w:pPr>
        <w:ind w:left="3840"/>
        <w:spacing w:after="0"/>
        <w:rPr>
          <w:sz w:val="20"/>
          <w:szCs w:val="20"/>
          <w:color w:val="auto"/>
        </w:rPr>
      </w:pPr>
      <w:r>
        <w:rPr>
          <w:rFonts w:ascii="Arial" w:cs="Arial" w:eastAsia="Arial" w:hAnsi="Arial"/>
          <w:sz w:val="16"/>
          <w:szCs w:val="16"/>
          <w:color w:val="auto"/>
        </w:rPr>
        <w:t>(Address of Principal Executive Offices and Zip Code)</w:t>
      </w:r>
    </w:p>
    <w:p>
      <w:pPr>
        <w:spacing w:after="0" w:line="5" w:lineRule="exact"/>
        <w:rPr>
          <w:sz w:val="24"/>
          <w:szCs w:val="24"/>
          <w:color w:val="auto"/>
        </w:rPr>
      </w:pPr>
    </w:p>
    <w:p>
      <w:pPr>
        <w:ind w:left="5120"/>
        <w:spacing w:after="0"/>
        <w:rPr>
          <w:sz w:val="20"/>
          <w:szCs w:val="20"/>
          <w:color w:val="auto"/>
        </w:rPr>
      </w:pPr>
      <w:r>
        <w:rPr>
          <w:rFonts w:ascii="Arial" w:cs="Arial" w:eastAsia="Arial" w:hAnsi="Arial"/>
          <w:sz w:val="16"/>
          <w:szCs w:val="16"/>
          <w:b w:val="1"/>
          <w:bCs w:val="1"/>
          <w:color w:val="auto"/>
        </w:rPr>
        <w:t>(208) 506-6100</w:t>
      </w:r>
    </w:p>
    <w:p>
      <w:pPr>
        <w:ind w:left="3820"/>
        <w:spacing w:after="0" w:line="235" w:lineRule="auto"/>
        <w:rPr>
          <w:sz w:val="20"/>
          <w:szCs w:val="20"/>
          <w:color w:val="auto"/>
        </w:rPr>
      </w:pPr>
      <w:r>
        <w:rPr>
          <w:rFonts w:ascii="Arial" w:cs="Arial" w:eastAsia="Arial" w:hAnsi="Arial"/>
          <w:sz w:val="16"/>
          <w:szCs w:val="16"/>
          <w:color w:val="auto"/>
        </w:rPr>
        <w:t>(Registrant’s Telephone Number, Including Area Code)</w:t>
      </w:r>
    </w:p>
    <w:p>
      <w:pPr>
        <w:jc w:val="center"/>
        <w:spacing w:after="0" w:line="211" w:lineRule="auto"/>
        <w:rPr>
          <w:sz w:val="20"/>
          <w:szCs w:val="20"/>
          <w:color w:val="auto"/>
        </w:rPr>
      </w:pPr>
      <w:r>
        <w:rPr>
          <w:rFonts w:ascii="Arial" w:cs="Arial" w:eastAsia="Arial" w:hAnsi="Arial"/>
          <w:sz w:val="16"/>
          <w:szCs w:val="16"/>
          <w:color w:val="auto"/>
        </w:rPr>
        <w:t>None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3"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________________</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1282" w:right="339" w:bottom="1440" w:gutter="0" w:footer="0" w:header="0"/>
        </w:sectPr>
      </w:pPr>
    </w:p>
    <w:p>
      <w:pPr>
        <w:spacing w:after="0" w:line="36" w:lineRule="exact"/>
        <w:rPr>
          <w:sz w:val="24"/>
          <w:szCs w:val="24"/>
          <w:color w:val="auto"/>
        </w:rPr>
      </w:pPr>
    </w:p>
    <w:p>
      <w:pPr>
        <w:ind w:left="120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59" w:lineRule="exact"/>
        <w:rPr>
          <w:sz w:val="24"/>
          <w:szCs w:val="24"/>
          <w:color w:val="auto"/>
        </w:rPr>
      </w:pPr>
    </w:p>
    <w:p>
      <w:pPr>
        <w:sectPr>
          <w:pgSz w:w="11900" w:h="16838" w:orient="portrait"/>
          <w:cols w:equalWidth="0" w:num="3">
            <w:col w:w="4140" w:space="720"/>
            <w:col w:w="2240" w:space="720"/>
            <w:col w:w="3420"/>
          </w:cols>
          <w:pgMar w:left="320" w:top="1282" w:right="339" w:bottom="1440" w:gutter="0" w:footer="0" w:header="0"/>
          <w:type w:val="continuous"/>
        </w:sectPr>
      </w:pPr>
    </w:p>
    <w:p>
      <w:pPr>
        <w:ind w:left="400"/>
        <w:spacing w:after="0"/>
        <w:rPr>
          <w:sz w:val="20"/>
          <w:szCs w:val="20"/>
          <w:color w:val="auto"/>
        </w:rPr>
      </w:pPr>
      <w:r>
        <w:rPr>
          <w:rFonts w:ascii="Arial" w:cs="Arial" w:eastAsia="Arial" w:hAnsi="Arial"/>
          <w:sz w:val="14"/>
          <w:szCs w:val="14"/>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PNTG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Nasdaq Global Select Market</w:t>
      </w:r>
    </w:p>
    <w:p>
      <w:pPr>
        <w:spacing w:after="0" w:line="136" w:lineRule="exact"/>
        <w:rPr>
          <w:sz w:val="24"/>
          <w:szCs w:val="24"/>
          <w:color w:val="auto"/>
        </w:rPr>
      </w:pPr>
    </w:p>
    <w:p>
      <w:pPr>
        <w:sectPr>
          <w:pgSz w:w="11900" w:h="16838" w:orient="portrait"/>
          <w:cols w:equalWidth="0" w:num="3">
            <w:col w:w="4580" w:space="720"/>
            <w:col w:w="2360" w:space="720"/>
            <w:col w:w="2860"/>
          </w:cols>
          <w:pgMar w:left="320" w:top="1282" w:right="339" w:bottom="1440" w:gutter="0" w:footer="0" w:header="0"/>
          <w:type w:val="continuous"/>
        </w:sectPr>
      </w:pPr>
    </w:p>
    <w:p>
      <w:pPr>
        <w:ind w:left="3780"/>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200" w:lineRule="exact"/>
        <w:rPr>
          <w:sz w:val="24"/>
          <w:szCs w:val="24"/>
          <w:color w:val="auto"/>
        </w:rPr>
      </w:pPr>
    </w:p>
    <w:p>
      <w:pPr>
        <w:spacing w:after="0" w:line="224" w:lineRule="exact"/>
        <w:rPr>
          <w:sz w:val="24"/>
          <w:szCs w:val="24"/>
          <w:color w:val="auto"/>
        </w:rPr>
      </w:pPr>
    </w:p>
    <w:p>
      <w:pPr>
        <w:jc w:val="both"/>
        <w:ind w:firstLine="445"/>
        <w:spacing w:after="0" w:line="28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200" w:hanging="192"/>
        <w:spacing w:after="0" w:line="184" w:lineRule="exact"/>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73" w:lineRule="exact"/>
        <w:rPr>
          <w:sz w:val="24"/>
          <w:szCs w:val="24"/>
          <w:color w:val="auto"/>
        </w:rPr>
      </w:pPr>
    </w:p>
    <w:p>
      <w:pPr>
        <w:ind w:firstLine="445"/>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208" w:lineRule="exact"/>
        <w:rPr>
          <w:sz w:val="24"/>
          <w:szCs w:val="24"/>
          <w:color w:val="auto"/>
        </w:rPr>
      </w:pPr>
    </w:p>
    <w:p>
      <w:pPr>
        <w:jc w:val="both"/>
        <w:ind w:right="300" w:firstLine="445"/>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40" w:type="dxa"/>
        <w:tblCellMar>
          <w:top w:w="0" w:type="dxa"/>
          <w:left w:w="0" w:type="dxa"/>
          <w:bottom w:w="0" w:type="dxa"/>
          <w:right w:w="0" w:type="dxa"/>
        </w:tblCellMar>
      </w:tblPr>
      <w:tr>
        <w:trPr>
          <w:trHeight w:val="166"/>
        </w:trPr>
        <w:tc>
          <w:tcPr>
            <w:tcW w:w="1400" w:type="dxa"/>
            <w:vAlign w:val="bottom"/>
          </w:tcPr>
          <w:p>
            <w:pPr>
              <w:ind w:left="560"/>
              <w:spacing w:after="0" w:line="166" w:lineRule="exact"/>
              <w:rPr>
                <w:sz w:val="20"/>
                <w:szCs w:val="20"/>
                <w:color w:val="auto"/>
              </w:rPr>
            </w:pPr>
            <w:r>
              <w:rPr>
                <w:rFonts w:ascii="Arial" w:cs="Arial" w:eastAsia="Arial" w:hAnsi="Arial"/>
                <w:sz w:val="16"/>
                <w:szCs w:val="16"/>
                <w:color w:val="auto"/>
              </w:rPr>
              <w:t>Large</w:t>
            </w:r>
          </w:p>
        </w:tc>
        <w:tc>
          <w:tcPr>
            <w:tcW w:w="760" w:type="dxa"/>
            <w:vAlign w:val="bottom"/>
            <w:vMerge w:val="restart"/>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1640" w:type="dxa"/>
            <w:vAlign w:val="bottom"/>
            <w:vMerge w:val="restart"/>
          </w:tcPr>
          <w:p>
            <w:pPr>
              <w:ind w:left="280"/>
              <w:spacing w:after="0"/>
              <w:rPr>
                <w:sz w:val="20"/>
                <w:szCs w:val="20"/>
                <w:color w:val="auto"/>
              </w:rPr>
            </w:pPr>
            <w:r>
              <w:rPr>
                <w:rFonts w:ascii="Arial" w:cs="Arial" w:eastAsia="Arial" w:hAnsi="Arial"/>
                <w:sz w:val="16"/>
                <w:szCs w:val="16"/>
                <w:color w:val="auto"/>
              </w:rPr>
              <w:t>Accelerated filer</w:t>
            </w:r>
          </w:p>
        </w:tc>
        <w:tc>
          <w:tcPr>
            <w:tcW w:w="660" w:type="dxa"/>
            <w:vAlign w:val="bottom"/>
            <w:vMerge w:val="restart"/>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1560" w:type="dxa"/>
            <w:vAlign w:val="bottom"/>
          </w:tcPr>
          <w:p>
            <w:pPr>
              <w:ind w:left="240"/>
              <w:spacing w:after="0" w:line="166" w:lineRule="exact"/>
              <w:rPr>
                <w:sz w:val="20"/>
                <w:szCs w:val="20"/>
                <w:color w:val="auto"/>
              </w:rPr>
            </w:pPr>
            <w:r>
              <w:rPr>
                <w:rFonts w:ascii="Arial" w:cs="Arial" w:eastAsia="Arial" w:hAnsi="Arial"/>
                <w:sz w:val="16"/>
                <w:szCs w:val="16"/>
                <w:color w:val="auto"/>
              </w:rPr>
              <w:t>Non-accelerated</w:t>
            </w:r>
          </w:p>
        </w:tc>
        <w:tc>
          <w:tcPr>
            <w:tcW w:w="2140" w:type="dxa"/>
            <w:vAlign w:val="bottom"/>
          </w:tcPr>
          <w:p>
            <w:pPr>
              <w:ind w:left="1180"/>
              <w:spacing w:after="0" w:line="166" w:lineRule="exact"/>
              <w:rPr>
                <w:sz w:val="20"/>
                <w:szCs w:val="20"/>
                <w:color w:val="auto"/>
              </w:rPr>
            </w:pPr>
            <w:r>
              <w:rPr>
                <w:rFonts w:ascii="Arial" w:cs="Arial" w:eastAsia="Arial" w:hAnsi="Arial"/>
                <w:sz w:val="16"/>
                <w:szCs w:val="16"/>
                <w:color w:val="auto"/>
              </w:rPr>
              <w:t>Smaller</w:t>
            </w:r>
          </w:p>
        </w:tc>
        <w:tc>
          <w:tcPr>
            <w:tcW w:w="740" w:type="dxa"/>
            <w:vAlign w:val="bottom"/>
            <w:vMerge w:val="restart"/>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1640" w:type="dxa"/>
            <w:vAlign w:val="bottom"/>
          </w:tcPr>
          <w:p>
            <w:pPr>
              <w:ind w:left="240"/>
              <w:spacing w:after="0" w:line="166" w:lineRule="exact"/>
              <w:rPr>
                <w:sz w:val="20"/>
                <w:szCs w:val="20"/>
                <w:color w:val="auto"/>
              </w:rPr>
            </w:pPr>
            <w:r>
              <w:rPr>
                <w:rFonts w:ascii="Arial" w:cs="Arial" w:eastAsia="Arial" w:hAnsi="Arial"/>
                <w:sz w:val="16"/>
                <w:szCs w:val="16"/>
                <w:color w:val="auto"/>
              </w:rPr>
              <w:t>Emerging growth</w:t>
            </w:r>
          </w:p>
        </w:tc>
        <w:tc>
          <w:tcPr>
            <w:tcW w:w="400" w:type="dxa"/>
            <w:vAlign w:val="bottom"/>
            <w:vMerge w:val="restart"/>
          </w:tcPr>
          <w:p>
            <w:pPr>
              <w:ind w:left="26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54"/>
        </w:trPr>
        <w:tc>
          <w:tcPr>
            <w:tcW w:w="1400" w:type="dxa"/>
            <w:vAlign w:val="bottom"/>
          </w:tcPr>
          <w:p>
            <w:pPr>
              <w:spacing w:after="0"/>
              <w:rPr>
                <w:sz w:val="20"/>
                <w:szCs w:val="20"/>
                <w:color w:val="auto"/>
              </w:rPr>
            </w:pPr>
            <w:r>
              <w:rPr>
                <w:rFonts w:ascii="Arial" w:cs="Arial" w:eastAsia="Arial" w:hAnsi="Arial"/>
                <w:sz w:val="16"/>
                <w:szCs w:val="16"/>
                <w:color w:val="auto"/>
              </w:rPr>
              <w:t>accelerated filer</w:t>
            </w:r>
          </w:p>
        </w:tc>
        <w:tc>
          <w:tcPr>
            <w:tcW w:w="760" w:type="dxa"/>
            <w:vAlign w:val="bottom"/>
            <w:vMerge w:val="continue"/>
          </w:tcPr>
          <w:p>
            <w:pPr>
              <w:spacing w:after="0"/>
              <w:rPr>
                <w:sz w:val="22"/>
                <w:szCs w:val="22"/>
                <w:color w:val="auto"/>
              </w:rPr>
            </w:pPr>
          </w:p>
        </w:tc>
        <w:tc>
          <w:tcPr>
            <w:tcW w:w="1640" w:type="dxa"/>
            <w:vAlign w:val="bottom"/>
            <w:vMerge w:val="continue"/>
          </w:tcPr>
          <w:p>
            <w:pPr>
              <w:spacing w:after="0"/>
              <w:rPr>
                <w:sz w:val="22"/>
                <w:szCs w:val="22"/>
                <w:color w:val="auto"/>
              </w:rPr>
            </w:pPr>
          </w:p>
        </w:tc>
        <w:tc>
          <w:tcPr>
            <w:tcW w:w="660" w:type="dxa"/>
            <w:vAlign w:val="bottom"/>
            <w:vMerge w:val="continue"/>
          </w:tcPr>
          <w:p>
            <w:pPr>
              <w:spacing w:after="0"/>
              <w:rPr>
                <w:sz w:val="22"/>
                <w:szCs w:val="22"/>
                <w:color w:val="auto"/>
              </w:rPr>
            </w:pPr>
          </w:p>
        </w:tc>
        <w:tc>
          <w:tcPr>
            <w:tcW w:w="1560" w:type="dxa"/>
            <w:vAlign w:val="bottom"/>
          </w:tcPr>
          <w:p>
            <w:pPr>
              <w:ind w:left="420"/>
              <w:spacing w:after="0"/>
              <w:rPr>
                <w:sz w:val="20"/>
                <w:szCs w:val="20"/>
                <w:color w:val="auto"/>
              </w:rPr>
            </w:pPr>
            <w:r>
              <w:rPr>
                <w:rFonts w:ascii="Arial" w:cs="Arial" w:eastAsia="Arial" w:hAnsi="Arial"/>
                <w:sz w:val="16"/>
                <w:szCs w:val="16"/>
                <w:color w:val="auto"/>
              </w:rPr>
              <w:t>filer</w:t>
            </w:r>
          </w:p>
        </w:tc>
        <w:tc>
          <w:tcPr>
            <w:tcW w:w="2140" w:type="dxa"/>
            <w:vAlign w:val="bottom"/>
          </w:tcPr>
          <w:p>
            <w:pPr>
              <w:ind w:left="2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reporting company</w:t>
            </w:r>
          </w:p>
        </w:tc>
        <w:tc>
          <w:tcPr>
            <w:tcW w:w="740" w:type="dxa"/>
            <w:vAlign w:val="bottom"/>
            <w:vMerge w:val="continue"/>
          </w:tcPr>
          <w:p>
            <w:pPr>
              <w:spacing w:after="0"/>
              <w:rPr>
                <w:sz w:val="22"/>
                <w:szCs w:val="22"/>
                <w:color w:val="auto"/>
              </w:rPr>
            </w:pPr>
          </w:p>
        </w:tc>
        <w:tc>
          <w:tcPr>
            <w:tcW w:w="1640" w:type="dxa"/>
            <w:vAlign w:val="bottom"/>
          </w:tcPr>
          <w:p>
            <w:pPr>
              <w:ind w:left="300"/>
              <w:spacing w:after="0"/>
              <w:rPr>
                <w:sz w:val="20"/>
                <w:szCs w:val="20"/>
                <w:color w:val="auto"/>
              </w:rPr>
            </w:pPr>
            <w:r>
              <w:rPr>
                <w:rFonts w:ascii="Arial" w:cs="Arial" w:eastAsia="Arial" w:hAnsi="Arial"/>
                <w:sz w:val="16"/>
                <w:szCs w:val="16"/>
                <w:color w:val="auto"/>
              </w:rPr>
              <w:t>company</w:t>
            </w:r>
          </w:p>
        </w:tc>
        <w:tc>
          <w:tcPr>
            <w:tcW w:w="4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89" w:lineRule="exact"/>
        <w:rPr>
          <w:sz w:val="24"/>
          <w:szCs w:val="24"/>
          <w:color w:val="auto"/>
        </w:rPr>
      </w:pPr>
    </w:p>
    <w:p>
      <w:pPr>
        <w:ind w:firstLine="445"/>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1" w:lineRule="exact"/>
        <w:rPr>
          <w:sz w:val="24"/>
          <w:szCs w:val="24"/>
          <w:color w:val="auto"/>
        </w:rPr>
      </w:pPr>
    </w:p>
    <w:p>
      <w:pPr>
        <w:ind w:left="460"/>
        <w:spacing w:after="0" w:line="196" w:lineRule="exact"/>
        <w:rPr>
          <w:sz w:val="20"/>
          <w:szCs w:val="20"/>
          <w:color w:val="auto"/>
        </w:rPr>
      </w:pPr>
      <w:r>
        <w:rPr>
          <w:rFonts w:ascii="Arial" w:cs="Arial" w:eastAsia="Arial" w:hAnsi="Arial"/>
          <w:sz w:val="16"/>
          <w:szCs w:val="16"/>
          <w:color w:val="auto"/>
        </w:rPr>
        <w:t xml:space="preserve">Indicate by a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33" w:lineRule="exact"/>
        <w:rPr>
          <w:sz w:val="24"/>
          <w:szCs w:val="24"/>
          <w:color w:val="auto"/>
        </w:rPr>
      </w:pPr>
    </w:p>
    <w:p>
      <w:pPr>
        <w:spacing w:after="0"/>
        <w:rPr>
          <w:sz w:val="20"/>
          <w:szCs w:val="20"/>
          <w:color w:val="auto"/>
        </w:rPr>
      </w:pPr>
      <w:r>
        <w:rPr>
          <w:rFonts w:ascii="Arial" w:cs="Arial" w:eastAsia="Arial" w:hAnsi="Arial"/>
          <w:sz w:val="16"/>
          <w:szCs w:val="16"/>
          <w:color w:val="auto"/>
        </w:rPr>
        <w:t>As of May 9, 2022, 28,534,431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862330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340" w:type="dxa"/>
            <w:vAlign w:val="bottom"/>
            <w:gridSpan w:val="11"/>
          </w:tcPr>
          <w:p>
            <w:pPr>
              <w:jc w:val="center"/>
              <w:ind w:right="3100"/>
              <w:spacing w:after="0"/>
              <w:rPr>
                <w:rFonts w:ascii="Arial" w:cs="Arial" w:eastAsia="Arial" w:hAnsi="Arial"/>
                <w:sz w:val="18"/>
                <w:szCs w:val="18"/>
                <w:b w:val="1"/>
                <w:bCs w:val="1"/>
                <w:color w:val="0000FF"/>
                <w:w w:val="94"/>
              </w:rPr>
            </w:pPr>
            <w:hyperlink w:anchor="page2">
              <w:r>
                <w:rPr>
                  <w:rFonts w:ascii="Arial" w:cs="Arial" w:eastAsia="Arial" w:hAnsi="Arial"/>
                  <w:sz w:val="18"/>
                  <w:szCs w:val="18"/>
                  <w:b w:val="1"/>
                  <w:bCs w:val="1"/>
                  <w:color w:val="0000FF"/>
                  <w:w w:val="94"/>
                </w:rPr>
                <w:t>Part I. Financial Information</w:t>
              </w:r>
            </w:hyperlink>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rFonts w:ascii="Arial" w:cs="Arial" w:eastAsia="Arial" w:hAnsi="Arial"/>
                <w:sz w:val="18"/>
                <w:szCs w:val="18"/>
                <w:color w:val="0000FF"/>
                <w:w w:val="90"/>
              </w:rPr>
            </w:pPr>
            <w:hyperlink w:anchor="page3">
              <w:r>
                <w:rPr>
                  <w:rFonts w:ascii="Arial" w:cs="Arial" w:eastAsia="Arial" w:hAnsi="Arial"/>
                  <w:sz w:val="18"/>
                  <w:szCs w:val="18"/>
                  <w:color w:val="0000FF"/>
                  <w:w w:val="90"/>
                </w:rPr>
                <w:t>Item 1.</w:t>
              </w:r>
            </w:hyperlink>
          </w:p>
        </w:tc>
        <w:tc>
          <w:tcPr>
            <w:tcW w:w="480" w:type="dxa"/>
            <w:vAlign w:val="bottom"/>
            <w:gridSpan w:val="2"/>
          </w:tcPr>
          <w:p>
            <w:pPr>
              <w:spacing w:after="0"/>
              <w:rPr>
                <w:sz w:val="18"/>
                <w:szCs w:val="18"/>
                <w:color w:val="auto"/>
              </w:rPr>
            </w:pPr>
          </w:p>
        </w:tc>
        <w:tc>
          <w:tcPr>
            <w:tcW w:w="3720" w:type="dxa"/>
            <w:vAlign w:val="bottom"/>
            <w:gridSpan w:val="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2240" w:type="dxa"/>
            <w:vAlign w:val="bottom"/>
            <w:tcBorders>
              <w:top w:val="single" w:sz="8" w:color="0000FF"/>
            </w:tcBorders>
            <w:gridSpan w:val="5"/>
          </w:tcPr>
          <w:p>
            <w:pPr>
              <w:spacing w:after="0"/>
              <w:rPr>
                <w:sz w:val="18"/>
                <w:szCs w:val="18"/>
                <w:color w:val="auto"/>
              </w:rPr>
            </w:pPr>
          </w:p>
        </w:tc>
        <w:tc>
          <w:tcPr>
            <w:tcW w:w="3100" w:type="dxa"/>
            <w:vAlign w:val="bottom"/>
            <w:gridSpan w:val="6"/>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6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 as of March 31, 2022 and December 31, 2021</w:t>
              </w:r>
            </w:hyperlink>
          </w:p>
        </w:tc>
        <w:tc>
          <w:tcPr>
            <w:tcW w:w="980" w:type="dxa"/>
            <w:vAlign w:val="bottom"/>
            <w:gridSpan w:val="4"/>
          </w:tcPr>
          <w:p>
            <w:pPr>
              <w:jc w:val="center"/>
              <w:ind w:left="73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1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6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 xml:space="preserve">Condensed Consolidated Statements of Income for the three months ended March </w:t>
              </w:r>
            </w:hyperlink>
            <w:r>
              <w:rPr>
                <w:rFonts w:ascii="Arial" w:cs="Arial" w:eastAsia="Arial" w:hAnsi="Arial"/>
                <w:sz w:val="18"/>
                <w:szCs w:val="18"/>
                <w:color w:val="0000FF"/>
              </w:rPr>
              <w:t xml:space="preserve">31, </w:t>
            </w:r>
            <w:hyperlink w:anchor="page3">
              <w:r>
                <w:rPr>
                  <w:rFonts w:ascii="Arial" w:cs="Arial" w:eastAsia="Arial" w:hAnsi="Arial"/>
                  <w:sz w:val="18"/>
                  <w:szCs w:val="18"/>
                  <w:color w:val="0000FF"/>
                </w:rPr>
                <w:t>2022 and 2021</w:t>
              </w:r>
            </w:hyperlink>
          </w:p>
        </w:tc>
        <w:tc>
          <w:tcPr>
            <w:tcW w:w="980" w:type="dxa"/>
            <w:vAlign w:val="bottom"/>
            <w:gridSpan w:val="4"/>
          </w:tcPr>
          <w:p>
            <w:pPr>
              <w:jc w:val="center"/>
              <w:ind w:left="73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c>
          <w:tcPr>
            <w:tcW w:w="1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60" w:type="dxa"/>
            <w:vAlign w:val="bottom"/>
            <w:gridSpan w:val="18"/>
          </w:tcPr>
          <w:p>
            <w:pPr>
              <w:spacing w:after="0"/>
              <w:rPr>
                <w:rFonts w:ascii="Arial" w:cs="Arial" w:eastAsia="Arial" w:hAnsi="Arial"/>
                <w:sz w:val="18"/>
                <w:szCs w:val="18"/>
                <w:color w:val="0000FF"/>
                <w:w w:val="98"/>
              </w:rPr>
            </w:pPr>
            <w:hyperlink w:anchor="page4">
              <w:r>
                <w:rPr>
                  <w:rFonts w:ascii="Arial" w:cs="Arial" w:eastAsia="Arial" w:hAnsi="Arial"/>
                  <w:sz w:val="18"/>
                  <w:szCs w:val="18"/>
                  <w:color w:val="0000FF"/>
                  <w:w w:val="98"/>
                </w:rPr>
                <w:t>Condensed Consolidated Statements of Stockholders’ Equity for the three months ended March 31, 2022 and 2021</w:t>
              </w:r>
            </w:hyperlink>
          </w:p>
        </w:tc>
        <w:tc>
          <w:tcPr>
            <w:tcW w:w="980" w:type="dxa"/>
            <w:vAlign w:val="bottom"/>
            <w:gridSpan w:val="4"/>
          </w:tcPr>
          <w:p>
            <w:pPr>
              <w:jc w:val="center"/>
              <w:ind w:left="730"/>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1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60" w:type="dxa"/>
            <w:vAlign w:val="bottom"/>
            <w:gridSpan w:val="17"/>
          </w:tcPr>
          <w:p>
            <w:pPr>
              <w:spacing w:after="0"/>
              <w:rPr>
                <w:rFonts w:ascii="Arial" w:cs="Arial" w:eastAsia="Arial" w:hAnsi="Arial"/>
                <w:sz w:val="18"/>
                <w:szCs w:val="18"/>
                <w:color w:val="0000FF"/>
                <w:w w:val="97"/>
              </w:rPr>
            </w:pPr>
            <w:hyperlink w:anchor="page5">
              <w:r>
                <w:rPr>
                  <w:rFonts w:ascii="Arial" w:cs="Arial" w:eastAsia="Arial" w:hAnsi="Arial"/>
                  <w:sz w:val="18"/>
                  <w:szCs w:val="18"/>
                  <w:color w:val="0000FF"/>
                  <w:w w:val="97"/>
                </w:rPr>
                <w:t xml:space="preserve">Condensed Consolidated Statements of Cash Flows for the three months ended March </w:t>
              </w:r>
            </w:hyperlink>
            <w:r>
              <w:rPr>
                <w:rFonts w:ascii="Arial" w:cs="Arial" w:eastAsia="Arial" w:hAnsi="Arial"/>
                <w:sz w:val="18"/>
                <w:szCs w:val="18"/>
                <w:color w:val="0000FF"/>
                <w:w w:val="97"/>
              </w:rPr>
              <w:t xml:space="preserve">31, </w:t>
            </w:r>
            <w:hyperlink w:anchor="page5">
              <w:r>
                <w:rPr>
                  <w:rFonts w:ascii="Arial" w:cs="Arial" w:eastAsia="Arial" w:hAnsi="Arial"/>
                  <w:sz w:val="18"/>
                  <w:szCs w:val="18"/>
                  <w:color w:val="0000FF"/>
                  <w:w w:val="97"/>
                </w:rPr>
                <w:t>2022 and 2021</w:t>
              </w:r>
            </w:hyperlink>
          </w:p>
        </w:tc>
        <w:tc>
          <w:tcPr>
            <w:tcW w:w="800" w:type="dxa"/>
            <w:vAlign w:val="bottom"/>
          </w:tcPr>
          <w:p>
            <w:pPr>
              <w:spacing w:after="0"/>
              <w:rPr>
                <w:sz w:val="18"/>
                <w:szCs w:val="18"/>
                <w:color w:val="auto"/>
              </w:rPr>
            </w:pPr>
          </w:p>
        </w:tc>
        <w:tc>
          <w:tcPr>
            <w:tcW w:w="980" w:type="dxa"/>
            <w:vAlign w:val="bottom"/>
            <w:gridSpan w:val="4"/>
          </w:tcPr>
          <w:p>
            <w:pPr>
              <w:jc w:val="center"/>
              <w:ind w:left="730"/>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c>
          <w:tcPr>
            <w:tcW w:w="1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80" w:type="dxa"/>
            <w:vAlign w:val="bottom"/>
            <w:gridSpan w:val="16"/>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the Condensed Consolidated Financial Statements</w:t>
              </w:r>
            </w:hyperlink>
          </w:p>
        </w:tc>
        <w:tc>
          <w:tcPr>
            <w:tcW w:w="1480" w:type="dxa"/>
            <w:vAlign w:val="bottom"/>
            <w:gridSpan w:val="2"/>
          </w:tcPr>
          <w:p>
            <w:pPr>
              <w:spacing w:after="0"/>
              <w:rPr>
                <w:sz w:val="18"/>
                <w:szCs w:val="18"/>
                <w:color w:val="auto"/>
              </w:rPr>
            </w:pPr>
          </w:p>
        </w:tc>
        <w:tc>
          <w:tcPr>
            <w:tcW w:w="980" w:type="dxa"/>
            <w:vAlign w:val="bottom"/>
            <w:gridSpan w:val="4"/>
          </w:tcPr>
          <w:p>
            <w:pPr>
              <w:jc w:val="center"/>
              <w:ind w:left="730"/>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6</w:t>
              </w:r>
            </w:hyperlink>
          </w:p>
        </w:tc>
        <w:tc>
          <w:tcPr>
            <w:tcW w:w="1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gridSpan w:val="2"/>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Item 2.</w:t>
              </w:r>
            </w:hyperlink>
          </w:p>
        </w:tc>
        <w:tc>
          <w:tcPr>
            <w:tcW w:w="360" w:type="dxa"/>
            <w:vAlign w:val="bottom"/>
          </w:tcPr>
          <w:p>
            <w:pPr>
              <w:spacing w:after="0"/>
              <w:rPr>
                <w:sz w:val="18"/>
                <w:szCs w:val="18"/>
                <w:color w:val="auto"/>
              </w:rPr>
            </w:pPr>
          </w:p>
        </w:tc>
        <w:tc>
          <w:tcPr>
            <w:tcW w:w="9060" w:type="dxa"/>
            <w:vAlign w:val="bottom"/>
            <w:gridSpan w:val="18"/>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Management's Discussion and Analysis of Financial Condition and Results of Operations</w:t>
              </w:r>
            </w:hyperlink>
          </w:p>
        </w:tc>
        <w:tc>
          <w:tcPr>
            <w:tcW w:w="980" w:type="dxa"/>
            <w:vAlign w:val="bottom"/>
            <w:gridSpan w:val="4"/>
          </w:tcPr>
          <w:p>
            <w:pPr>
              <w:jc w:val="center"/>
              <w:ind w:left="710"/>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21</w:t>
              </w:r>
            </w:hyperlink>
          </w:p>
        </w:tc>
        <w:tc>
          <w:tcPr>
            <w:tcW w:w="1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40" w:type="dxa"/>
            <w:vAlign w:val="bottom"/>
            <w:tcBorders>
              <w:top w:val="single" w:sz="8" w:color="0000FF"/>
            </w:tcBorders>
            <w:gridSpan w:val="2"/>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Item 3.</w:t>
              </w:r>
            </w:hyperlink>
          </w:p>
        </w:tc>
        <w:tc>
          <w:tcPr>
            <w:tcW w:w="360" w:type="dxa"/>
            <w:vAlign w:val="bottom"/>
          </w:tcPr>
          <w:p>
            <w:pPr>
              <w:spacing w:after="0"/>
              <w:rPr>
                <w:sz w:val="18"/>
                <w:szCs w:val="18"/>
                <w:color w:val="auto"/>
              </w:rPr>
            </w:pPr>
          </w:p>
        </w:tc>
        <w:tc>
          <w:tcPr>
            <w:tcW w:w="6440" w:type="dxa"/>
            <w:vAlign w:val="bottom"/>
            <w:tcBorders>
              <w:top w:val="single" w:sz="8" w:color="0000FF"/>
            </w:tcBorders>
            <w:gridSpan w:val="14"/>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Quantitative and Qualitative Disclosures About Market Risk</w:t>
              </w:r>
            </w:hyperlink>
          </w:p>
        </w:tc>
        <w:tc>
          <w:tcPr>
            <w:tcW w:w="2620" w:type="dxa"/>
            <w:vAlign w:val="bottom"/>
            <w:gridSpan w:val="4"/>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Borders>
              <w:top w:val="single" w:sz="8" w:color="0000FF"/>
            </w:tcBorders>
            <w:gridSpan w:val="3"/>
          </w:tcPr>
          <w:p>
            <w:pPr>
              <w:jc w:val="center"/>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38</w:t>
              </w:r>
            </w:hyperlink>
          </w:p>
        </w:tc>
        <w:tc>
          <w:tcPr>
            <w:tcW w:w="1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40" w:type="dxa"/>
            <w:vAlign w:val="bottom"/>
            <w:tcBorders>
              <w:top w:val="single" w:sz="8" w:color="0000FF"/>
            </w:tcBorders>
            <w:gridSpan w:val="2"/>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Item 4.</w:t>
              </w:r>
            </w:hyperlink>
          </w:p>
        </w:tc>
        <w:tc>
          <w:tcPr>
            <w:tcW w:w="360" w:type="dxa"/>
            <w:vAlign w:val="bottom"/>
          </w:tcPr>
          <w:p>
            <w:pPr>
              <w:spacing w:after="0"/>
              <w:rPr>
                <w:sz w:val="18"/>
                <w:szCs w:val="18"/>
                <w:color w:val="auto"/>
              </w:rPr>
            </w:pPr>
          </w:p>
        </w:tc>
        <w:tc>
          <w:tcPr>
            <w:tcW w:w="4360" w:type="dxa"/>
            <w:vAlign w:val="bottom"/>
            <w:tcBorders>
              <w:top w:val="single" w:sz="8" w:color="0000FF"/>
            </w:tcBorders>
            <w:gridSpan w:val="10"/>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Controls and Procedures</w:t>
              </w:r>
            </w:hyperlink>
          </w:p>
        </w:tc>
        <w:tc>
          <w:tcPr>
            <w:tcW w:w="4700" w:type="dxa"/>
            <w:vAlign w:val="bottom"/>
            <w:gridSpan w:val="8"/>
          </w:tcPr>
          <w:p>
            <w:pPr>
              <w:spacing w:after="0"/>
              <w:rPr>
                <w:sz w:val="18"/>
                <w:szCs w:val="18"/>
                <w:color w:val="auto"/>
              </w:rPr>
            </w:pPr>
          </w:p>
        </w:tc>
        <w:tc>
          <w:tcPr>
            <w:tcW w:w="980" w:type="dxa"/>
            <w:vAlign w:val="bottom"/>
            <w:gridSpan w:val="4"/>
          </w:tcPr>
          <w:p>
            <w:pPr>
              <w:jc w:val="center"/>
              <w:ind w:left="710"/>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38</w:t>
              </w:r>
            </w:hyperlink>
          </w:p>
        </w:tc>
        <w:tc>
          <w:tcPr>
            <w:tcW w:w="1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340" w:type="dxa"/>
            <w:vAlign w:val="bottom"/>
            <w:gridSpan w:val="11"/>
          </w:tcPr>
          <w:p>
            <w:pPr>
              <w:jc w:val="center"/>
              <w:ind w:right="3100"/>
              <w:spacing w:after="0"/>
              <w:rPr>
                <w:rFonts w:ascii="Arial" w:cs="Arial" w:eastAsia="Arial" w:hAnsi="Arial"/>
                <w:sz w:val="18"/>
                <w:szCs w:val="18"/>
                <w:b w:val="1"/>
                <w:bCs w:val="1"/>
                <w:color w:val="0000FF"/>
                <w:w w:val="96"/>
              </w:rPr>
            </w:pPr>
            <w:hyperlink w:anchor="page40">
              <w:r>
                <w:rPr>
                  <w:rFonts w:ascii="Arial" w:cs="Arial" w:eastAsia="Arial" w:hAnsi="Arial"/>
                  <w:sz w:val="18"/>
                  <w:szCs w:val="18"/>
                  <w:b w:val="1"/>
                  <w:bCs w:val="1"/>
                  <w:color w:val="0000FF"/>
                  <w:w w:val="96"/>
                </w:rPr>
                <w:t>Part II. Other Information</w:t>
              </w:r>
            </w:hyperlink>
          </w:p>
        </w:tc>
        <w:tc>
          <w:tcPr>
            <w:tcW w:w="800" w:type="dxa"/>
            <w:vAlign w:val="bottom"/>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41">
              <w:r>
                <w:rPr>
                  <w:rFonts w:ascii="Arial" w:cs="Arial" w:eastAsia="Arial" w:hAnsi="Arial"/>
                  <w:sz w:val="18"/>
                  <w:szCs w:val="18"/>
                  <w:color w:val="0000FF"/>
                  <w:w w:val="90"/>
                </w:rPr>
                <w:t>Item 1.</w:t>
              </w:r>
            </w:hyperlink>
          </w:p>
        </w:tc>
        <w:tc>
          <w:tcPr>
            <w:tcW w:w="480" w:type="dxa"/>
            <w:vAlign w:val="bottom"/>
            <w:gridSpan w:val="2"/>
          </w:tcPr>
          <w:p>
            <w:pPr>
              <w:spacing w:after="0"/>
              <w:rPr>
                <w:sz w:val="18"/>
                <w:szCs w:val="18"/>
                <w:color w:val="auto"/>
              </w:rPr>
            </w:pPr>
          </w:p>
        </w:tc>
        <w:tc>
          <w:tcPr>
            <w:tcW w:w="1340" w:type="dxa"/>
            <w:vAlign w:val="bottom"/>
            <w:tcBorders>
              <w:bottom w:val="single" w:sz="8" w:color="0000FF"/>
            </w:tcBorders>
            <w:gridSpan w:val="4"/>
          </w:tcPr>
          <w:p>
            <w:pPr>
              <w:spacing w:after="0"/>
              <w:rPr>
                <w:rFonts w:ascii="Arial" w:cs="Arial" w:eastAsia="Arial" w:hAnsi="Arial"/>
                <w:sz w:val="18"/>
                <w:szCs w:val="18"/>
                <w:color w:val="0000FF"/>
                <w:w w:val="88"/>
              </w:rPr>
            </w:pPr>
            <w:hyperlink w:anchor="page41">
              <w:r>
                <w:rPr>
                  <w:rFonts w:ascii="Arial" w:cs="Arial" w:eastAsia="Arial" w:hAnsi="Arial"/>
                  <w:sz w:val="18"/>
                  <w:szCs w:val="18"/>
                  <w:color w:val="0000FF"/>
                  <w:w w:val="88"/>
                </w:rPr>
                <w:t>Legal Proceedings</w:t>
              </w:r>
            </w:hyperlink>
          </w:p>
        </w:tc>
        <w:tc>
          <w:tcPr>
            <w:tcW w:w="2480" w:type="dxa"/>
            <w:vAlign w:val="bottom"/>
            <w:gridSpan w:val="4"/>
          </w:tcPr>
          <w:p>
            <w:pPr>
              <w:spacing w:after="0"/>
              <w:rPr>
                <w:sz w:val="18"/>
                <w:szCs w:val="18"/>
                <w:color w:val="auto"/>
              </w:rPr>
            </w:pPr>
          </w:p>
        </w:tc>
        <w:tc>
          <w:tcPr>
            <w:tcW w:w="2040" w:type="dxa"/>
            <w:vAlign w:val="bottom"/>
            <w:tcBorders>
              <w:top w:val="single" w:sz="8" w:color="0000FF"/>
            </w:tcBorders>
            <w:gridSpan w:val="3"/>
          </w:tcPr>
          <w:p>
            <w:pPr>
              <w:spacing w:after="0"/>
              <w:rPr>
                <w:sz w:val="18"/>
                <w:szCs w:val="18"/>
                <w:color w:val="auto"/>
              </w:rPr>
            </w:pPr>
          </w:p>
        </w:tc>
        <w:tc>
          <w:tcPr>
            <w:tcW w:w="3200" w:type="dxa"/>
            <w:vAlign w:val="bottom"/>
            <w:gridSpan w:val="7"/>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39</w:t>
              </w:r>
            </w:hyperlink>
          </w:p>
        </w:tc>
        <w:tc>
          <w:tcPr>
            <w:tcW w:w="1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000" w:type="dxa"/>
            <w:vAlign w:val="bottom"/>
            <w:gridSpan w:val="3"/>
          </w:tcPr>
          <w:p>
            <w:pPr>
              <w:spacing w:after="0"/>
              <w:rPr>
                <w:sz w:val="20"/>
                <w:szCs w:val="20"/>
                <w:color w:val="auto"/>
              </w:rPr>
            </w:pPr>
            <w:r>
              <w:rPr>
                <w:rFonts w:ascii="Arial" w:cs="Arial" w:eastAsia="Arial" w:hAnsi="Arial"/>
                <w:sz w:val="18"/>
                <w:szCs w:val="18"/>
                <w:color w:val="0000FF"/>
              </w:rPr>
              <w:t>Item 1A.</w:t>
            </w:r>
          </w:p>
        </w:tc>
        <w:tc>
          <w:tcPr>
            <w:tcW w:w="9060" w:type="dxa"/>
            <w:vAlign w:val="bottom"/>
            <w:gridSpan w:val="18"/>
          </w:tcPr>
          <w:p>
            <w:pPr>
              <w:spacing w:after="0"/>
              <w:rPr>
                <w:sz w:val="20"/>
                <w:szCs w:val="20"/>
                <w:color w:val="auto"/>
              </w:rPr>
            </w:pPr>
            <w:r>
              <w:rPr>
                <w:rFonts w:ascii="Arial" w:cs="Arial" w:eastAsia="Arial" w:hAnsi="Arial"/>
                <w:sz w:val="18"/>
                <w:szCs w:val="18"/>
                <w:color w:val="0000FF"/>
              </w:rPr>
              <w:t>Risk Factors</w:t>
            </w:r>
          </w:p>
        </w:tc>
        <w:tc>
          <w:tcPr>
            <w:tcW w:w="980" w:type="dxa"/>
            <w:vAlign w:val="bottom"/>
            <w:gridSpan w:val="4"/>
          </w:tcPr>
          <w:p>
            <w:pPr>
              <w:jc w:val="center"/>
              <w:ind w:left="710"/>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39</w:t>
              </w:r>
            </w:hyperlink>
          </w:p>
        </w:tc>
        <w:tc>
          <w:tcPr>
            <w:tcW w:w="1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Borders>
              <w:top w:val="single" w:sz="8" w:color="0000FF"/>
            </w:tcBorders>
          </w:tcPr>
          <w:p>
            <w:pPr>
              <w:spacing w:after="0"/>
              <w:rPr>
                <w:rFonts w:ascii="Arial" w:cs="Arial" w:eastAsia="Arial" w:hAnsi="Arial"/>
                <w:sz w:val="18"/>
                <w:szCs w:val="18"/>
                <w:color w:val="0000FF"/>
                <w:w w:val="90"/>
              </w:rPr>
            </w:pPr>
            <w:hyperlink w:anchor="page41">
              <w:r>
                <w:rPr>
                  <w:rFonts w:ascii="Arial" w:cs="Arial" w:eastAsia="Arial" w:hAnsi="Arial"/>
                  <w:sz w:val="18"/>
                  <w:szCs w:val="18"/>
                  <w:color w:val="0000FF"/>
                  <w:w w:val="90"/>
                </w:rPr>
                <w:t>Item 6.</w:t>
              </w:r>
            </w:hyperlink>
          </w:p>
        </w:tc>
        <w:tc>
          <w:tcPr>
            <w:tcW w:w="120" w:type="dxa"/>
            <w:vAlign w:val="bottom"/>
            <w:tcBorders>
              <w:top w:val="single" w:sz="8" w:color="0000FF"/>
            </w:tcBorders>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Borders>
              <w:top w:val="single" w:sz="8" w:color="0000FF"/>
            </w:tcBorders>
            <w:gridSpan w:val="3"/>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Exhibits</w:t>
              </w:r>
            </w:hyperlink>
          </w:p>
        </w:tc>
        <w:tc>
          <w:tcPr>
            <w:tcW w:w="8160" w:type="dxa"/>
            <w:vAlign w:val="bottom"/>
            <w:gridSpan w:val="15"/>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Borders>
              <w:top w:val="single" w:sz="8" w:color="0000FF"/>
            </w:tcBorders>
            <w:gridSpan w:val="3"/>
          </w:tcPr>
          <w:p>
            <w:pPr>
              <w:jc w:val="center"/>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40</w:t>
              </w:r>
            </w:hyperlink>
          </w:p>
        </w:tc>
        <w:tc>
          <w:tcPr>
            <w:tcW w:w="1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300" w:type="dxa"/>
            <w:vAlign w:val="bottom"/>
            <w:gridSpan w:val="1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60" w:type="dxa"/>
            <w:vAlign w:val="bottom"/>
            <w:gridSpan w:val="18"/>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Signatures</w:t>
              </w:r>
            </w:hyperlink>
          </w:p>
        </w:tc>
        <w:tc>
          <w:tcPr>
            <w:tcW w:w="980" w:type="dxa"/>
            <w:vAlign w:val="bottom"/>
            <w:gridSpan w:val="4"/>
          </w:tcPr>
          <w:p>
            <w:pPr>
              <w:jc w:val="center"/>
              <w:ind w:left="710"/>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41</w:t>
              </w:r>
            </w:hyperlink>
          </w:p>
        </w:tc>
        <w:tc>
          <w:tcPr>
            <w:tcW w:w="180" w:type="dxa"/>
            <w:vAlign w:val="bottom"/>
          </w:tcPr>
          <w:p>
            <w:pPr>
              <w:spacing w:after="0"/>
              <w:rPr>
                <w:sz w:val="18"/>
                <w:szCs w:val="18"/>
                <w:color w:val="auto"/>
              </w:rPr>
            </w:pPr>
          </w:p>
        </w:tc>
      </w:tr>
      <w:tr>
        <w:trPr>
          <w:trHeight w:val="1877"/>
        </w:trPr>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I. </w:t>
      </w:r>
      <w:r>
        <w:rPr>
          <w:rFonts w:ascii="Arial" w:cs="Arial" w:eastAsia="Arial" w:hAnsi="Arial"/>
          <w:sz w:val="18"/>
          <w:szCs w:val="18"/>
          <w:b w:val="1"/>
          <w:bCs w:val="1"/>
          <w:i w:val="1"/>
          <w:i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par value)</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0"/>
                <w:szCs w:val="20"/>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 2022</w:t>
            </w:r>
          </w:p>
        </w:tc>
        <w:tc>
          <w:tcPr>
            <w:tcW w:w="200" w:type="dxa"/>
            <w:vAlign w:val="bottom"/>
          </w:tcPr>
          <w:p>
            <w:pPr>
              <w:spacing w:after="0"/>
              <w:rPr>
                <w:sz w:val="20"/>
                <w:szCs w:val="20"/>
                <w:color w:val="auto"/>
              </w:rPr>
            </w:pPr>
          </w:p>
        </w:tc>
        <w:tc>
          <w:tcPr>
            <w:tcW w:w="180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December 31, 2021</w:t>
            </w:r>
          </w:p>
        </w:tc>
        <w:tc>
          <w:tcPr>
            <w:tcW w:w="0" w:type="dxa"/>
            <w:vAlign w:val="bottom"/>
          </w:tcPr>
          <w:p>
            <w:pPr>
              <w:spacing w:after="0"/>
              <w:rPr>
                <w:sz w:val="1"/>
                <w:szCs w:val="1"/>
                <w:color w:val="auto"/>
              </w:rPr>
            </w:pPr>
          </w:p>
        </w:tc>
      </w:tr>
      <w:tr>
        <w:trPr>
          <w:trHeight w:val="209"/>
        </w:trPr>
        <w:tc>
          <w:tcPr>
            <w:tcW w:w="7140" w:type="dxa"/>
            <w:vAlign w:val="bottom"/>
            <w:vMerge w:val="continue"/>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140"/>
              <w:spacing w:after="0"/>
              <w:rPr>
                <w:sz w:val="20"/>
                <w:szCs w:val="20"/>
                <w:color w:val="auto"/>
              </w:rPr>
            </w:pPr>
            <w:r>
              <w:rPr>
                <w:rFonts w:ascii="Arial" w:cs="Arial" w:eastAsia="Arial" w:hAnsi="Arial"/>
                <w:sz w:val="18"/>
                <w:szCs w:val="18"/>
                <w:color w:val="auto"/>
              </w:rPr>
              <w:t>Cash</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3,627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5,190</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Accounts receivable—less allowance for doubtful accounts of $868 and $902, respectively</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53,940</w:t>
            </w:r>
          </w:p>
        </w:tc>
        <w:tc>
          <w:tcPr>
            <w:tcW w:w="0" w:type="dxa"/>
            <w:vAlign w:val="bottom"/>
          </w:tcPr>
          <w:p>
            <w:pPr>
              <w:spacing w:after="0"/>
              <w:rPr>
                <w:sz w:val="1"/>
                <w:szCs w:val="1"/>
                <w:color w:val="auto"/>
              </w:rPr>
            </w:pPr>
          </w:p>
        </w:tc>
      </w:tr>
      <w:tr>
        <w:trPr>
          <w:trHeight w:val="229"/>
        </w:trPr>
        <w:tc>
          <w:tcPr>
            <w:tcW w:w="7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20,967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16,711</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75,841</w:t>
            </w: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17,941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16,788</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300,997</w:t>
            </w: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Deferred tax assets, net</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2,099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3,848</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and other assets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4,828</w:t>
            </w:r>
          </w:p>
        </w:tc>
        <w:tc>
          <w:tcPr>
            <w:tcW w:w="0" w:type="dxa"/>
            <w:vAlign w:val="bottom"/>
          </w:tcPr>
          <w:p>
            <w:pPr>
              <w:spacing w:after="0"/>
              <w:rPr>
                <w:sz w:val="1"/>
                <w:szCs w:val="1"/>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74,265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74,265</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indefinite-lived intangibles</w:t>
            </w:r>
          </w:p>
        </w:tc>
        <w:tc>
          <w:tcPr>
            <w:tcW w:w="2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53,730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53,730</w:t>
            </w:r>
          </w:p>
        </w:tc>
        <w:tc>
          <w:tcPr>
            <w:tcW w:w="0" w:type="dxa"/>
            <w:vAlign w:val="bottom"/>
          </w:tcPr>
          <w:p>
            <w:pPr>
              <w:spacing w:after="0"/>
              <w:rPr>
                <w:sz w:val="1"/>
                <w:szCs w:val="1"/>
                <w:color w:val="auto"/>
              </w:rPr>
            </w:pPr>
          </w:p>
        </w:tc>
      </w:tr>
      <w:tr>
        <w:trPr>
          <w:trHeight w:val="223"/>
        </w:trPr>
        <w:tc>
          <w:tcPr>
            <w:tcW w:w="7140" w:type="dxa"/>
            <w:vAlign w:val="bottom"/>
          </w:tcPr>
          <w:p>
            <w:pPr>
              <w:ind w:left="46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507,436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530,297</w:t>
            </w:r>
          </w:p>
        </w:tc>
        <w:tc>
          <w:tcPr>
            <w:tcW w:w="0" w:type="dxa"/>
            <w:vAlign w:val="bottom"/>
          </w:tcPr>
          <w:p>
            <w:pPr>
              <w:spacing w:after="0"/>
              <w:rPr>
                <w:sz w:val="1"/>
                <w:szCs w:val="1"/>
                <w:color w:val="auto"/>
              </w:rPr>
            </w:pP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2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10,553</w:t>
            </w:r>
          </w:p>
        </w:tc>
        <w:tc>
          <w:tcPr>
            <w:tcW w:w="0" w:type="dxa"/>
            <w:vAlign w:val="bottom"/>
          </w:tcPr>
          <w:p>
            <w:pPr>
              <w:spacing w:after="0"/>
              <w:rPr>
                <w:sz w:val="1"/>
                <w:szCs w:val="1"/>
                <w:color w:val="auto"/>
              </w:rPr>
            </w:pPr>
          </w:p>
        </w:tc>
      </w:tr>
      <w:tr>
        <w:trPr>
          <w:trHeight w:val="229"/>
        </w:trPr>
        <w:tc>
          <w:tcPr>
            <w:tcW w:w="7140" w:type="dxa"/>
            <w:vAlign w:val="bottom"/>
          </w:tcPr>
          <w:p>
            <w:pPr>
              <w:ind w:left="140"/>
              <w:spacing w:after="0"/>
              <w:rPr>
                <w:sz w:val="20"/>
                <w:szCs w:val="20"/>
                <w:color w:val="auto"/>
              </w:rPr>
            </w:pPr>
            <w:r>
              <w:rPr>
                <w:rFonts w:ascii="Arial" w:cs="Arial" w:eastAsia="Arial" w:hAnsi="Arial"/>
                <w:sz w:val="18"/>
                <w:szCs w:val="18"/>
                <w:color w:val="auto"/>
              </w:rPr>
              <w:t>Accrued wages and related liabilities</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22,686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23,480</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liabilities—current</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16,118</w:t>
            </w:r>
          </w:p>
        </w:tc>
        <w:tc>
          <w:tcPr>
            <w:tcW w:w="0" w:type="dxa"/>
            <w:vAlign w:val="bottom"/>
          </w:tcPr>
          <w:p>
            <w:pPr>
              <w:spacing w:after="0"/>
              <w:rPr>
                <w:sz w:val="1"/>
                <w:szCs w:val="1"/>
                <w:color w:val="auto"/>
              </w:rPr>
            </w:pPr>
          </w:p>
        </w:tc>
      </w:tr>
      <w:tr>
        <w:trPr>
          <w:trHeight w:val="230"/>
        </w:trPr>
        <w:tc>
          <w:tcPr>
            <w:tcW w:w="7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accrued liabilities</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18,630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21,484</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71,635</w:t>
            </w: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Long-term operating lease liabilities—less current portion</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259,092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287,753</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5,293</w:t>
            </w:r>
          </w:p>
        </w:tc>
        <w:tc>
          <w:tcPr>
            <w:tcW w:w="0" w:type="dxa"/>
            <w:vAlign w:val="bottom"/>
          </w:tcPr>
          <w:p>
            <w:pPr>
              <w:spacing w:after="0"/>
              <w:rPr>
                <w:sz w:val="1"/>
                <w:szCs w:val="1"/>
                <w:color w:val="auto"/>
              </w:rPr>
            </w:pPr>
          </w:p>
        </w:tc>
      </w:tr>
      <w:tr>
        <w:trPr>
          <w:trHeight w:val="229"/>
        </w:trPr>
        <w:tc>
          <w:tcPr>
            <w:tcW w:w="71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Long-term debt, net</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56,501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51,372</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389,504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416,053</w:t>
            </w:r>
          </w:p>
        </w:tc>
        <w:tc>
          <w:tcPr>
            <w:tcW w:w="0" w:type="dxa"/>
            <w:vAlign w:val="bottom"/>
          </w:tcPr>
          <w:p>
            <w:pPr>
              <w:spacing w:after="0"/>
              <w:rPr>
                <w:sz w:val="1"/>
                <w:szCs w:val="1"/>
                <w:color w:val="auto"/>
              </w:rPr>
            </w:pPr>
          </w:p>
        </w:tc>
      </w:tr>
      <w:tr>
        <w:trPr>
          <w:trHeight w:val="209"/>
        </w:trPr>
        <w:tc>
          <w:tcPr>
            <w:tcW w:w="714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140" w:type="dxa"/>
            <w:vAlign w:val="bottom"/>
          </w:tcPr>
          <w:p>
            <w:pPr>
              <w:ind w:left="140"/>
              <w:spacing w:after="0" w:line="176" w:lineRule="exact"/>
              <w:rPr>
                <w:sz w:val="20"/>
                <w:szCs w:val="20"/>
                <w:color w:val="auto"/>
              </w:rPr>
            </w:pPr>
            <w:r>
              <w:rPr>
                <w:rFonts w:ascii="Arial" w:cs="Arial" w:eastAsia="Arial" w:hAnsi="Arial"/>
                <w:sz w:val="18"/>
                <w:szCs w:val="18"/>
                <w:color w:val="auto"/>
                <w:w w:val="91"/>
              </w:rPr>
              <w:t>Common stock, $0.001 par value; 100,000 shares authorized; 28,849 and 28,530 shares issued</w:t>
            </w:r>
          </w:p>
        </w:tc>
        <w:tc>
          <w:tcPr>
            <w:tcW w:w="2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40" w:type="dxa"/>
            <w:vAlign w:val="bottom"/>
          </w:tcPr>
          <w:p>
            <w:pPr>
              <w:ind w:left="140"/>
              <w:spacing w:after="0" w:line="176" w:lineRule="exact"/>
              <w:rPr>
                <w:sz w:val="20"/>
                <w:szCs w:val="20"/>
                <w:color w:val="auto"/>
              </w:rPr>
            </w:pPr>
            <w:r>
              <w:rPr>
                <w:rFonts w:ascii="Arial" w:cs="Arial" w:eastAsia="Arial" w:hAnsi="Arial"/>
                <w:sz w:val="18"/>
                <w:szCs w:val="18"/>
                <w:color w:val="auto"/>
                <w:w w:val="95"/>
              </w:rPr>
              <w:t>and outstanding, respectively, at March 31, 2022; and 28,826 and 28,499 shares issued and</w:t>
            </w:r>
          </w:p>
        </w:tc>
        <w:tc>
          <w:tcPr>
            <w:tcW w:w="260" w:type="dxa"/>
            <w:vAlign w:val="bottom"/>
          </w:tcPr>
          <w:p>
            <w:pPr>
              <w:spacing w:after="0"/>
              <w:rPr>
                <w:sz w:val="15"/>
                <w:szCs w:val="15"/>
                <w:color w:val="auto"/>
              </w:rPr>
            </w:pPr>
          </w:p>
        </w:tc>
        <w:tc>
          <w:tcPr>
            <w:tcW w:w="174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7140" w:type="dxa"/>
            <w:vAlign w:val="bottom"/>
          </w:tcPr>
          <w:p>
            <w:pPr>
              <w:ind w:left="140"/>
              <w:spacing w:after="0"/>
              <w:rPr>
                <w:sz w:val="20"/>
                <w:szCs w:val="20"/>
                <w:color w:val="auto"/>
              </w:rPr>
            </w:pPr>
            <w:r>
              <w:rPr>
                <w:rFonts w:ascii="Arial" w:cs="Arial" w:eastAsia="Arial" w:hAnsi="Arial"/>
                <w:sz w:val="18"/>
                <w:szCs w:val="18"/>
                <w:color w:val="auto"/>
              </w:rPr>
              <w:t>outstanding, respectively, at December 31, 2021</w:t>
            </w:r>
          </w:p>
        </w:tc>
        <w:tc>
          <w:tcPr>
            <w:tcW w:w="260" w:type="dxa"/>
            <w:vAlign w:val="bottom"/>
          </w:tcPr>
          <w:p>
            <w:pPr>
              <w:spacing w:after="0"/>
              <w:rPr>
                <w:sz w:val="19"/>
                <w:szCs w:val="19"/>
                <w:color w:val="auto"/>
              </w:rPr>
            </w:pPr>
          </w:p>
        </w:tc>
        <w:tc>
          <w:tcPr>
            <w:tcW w:w="1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95,595</w:t>
            </w:r>
          </w:p>
        </w:tc>
        <w:tc>
          <w:tcPr>
            <w:tcW w:w="0" w:type="dxa"/>
            <w:vAlign w:val="bottom"/>
          </w:tcPr>
          <w:p>
            <w:pPr>
              <w:spacing w:after="0"/>
              <w:rPr>
                <w:sz w:val="1"/>
                <w:szCs w:val="1"/>
                <w:color w:val="auto"/>
              </w:rPr>
            </w:pPr>
          </w:p>
        </w:tc>
      </w:tr>
      <w:tr>
        <w:trPr>
          <w:trHeight w:val="230"/>
        </w:trPr>
        <w:tc>
          <w:tcPr>
            <w:tcW w:w="714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15,655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14,641</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Treasury stock, at cost, 3 shares at March 31, 2022 and December 31, 2021</w:t>
            </w:r>
          </w:p>
        </w:tc>
        <w:tc>
          <w:tcPr>
            <w:tcW w:w="2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Pennant Group, Inc. stockholders’ equity</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113,743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110,199</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Noncontrolling interest</w:t>
            </w:r>
          </w:p>
        </w:tc>
        <w:tc>
          <w:tcPr>
            <w:tcW w:w="2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117,932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114,244</w:t>
            </w:r>
          </w:p>
        </w:tc>
        <w:tc>
          <w:tcPr>
            <w:tcW w:w="0" w:type="dxa"/>
            <w:vAlign w:val="bottom"/>
          </w:tcPr>
          <w:p>
            <w:pPr>
              <w:spacing w:after="0"/>
              <w:rPr>
                <w:sz w:val="1"/>
                <w:szCs w:val="1"/>
                <w:color w:val="auto"/>
              </w:rPr>
            </w:pPr>
          </w:p>
        </w:tc>
      </w:tr>
      <w:tr>
        <w:trPr>
          <w:trHeight w:val="248"/>
        </w:trPr>
        <w:tc>
          <w:tcPr>
            <w:tcW w:w="71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507,436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530,297</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PENNANT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 except for per-share amounts)</w:t>
      </w: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23"/>
        </w:trPr>
        <w:tc>
          <w:tcPr>
            <w:tcW w:w="8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r>
      <w:tr>
        <w:trPr>
          <w:trHeight w:val="250"/>
        </w:trPr>
        <w:tc>
          <w:tcPr>
            <w:tcW w:w="8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105,663</w:t>
            </w:r>
          </w:p>
        </w:tc>
      </w:tr>
      <w:tr>
        <w:trPr>
          <w:trHeight w:val="270"/>
        </w:trPr>
        <w:tc>
          <w:tcPr>
            <w:tcW w:w="8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Cost of services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90,353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83,622</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Rent—cost of services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9,965</w:t>
            </w: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General and administrative expense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9,288</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w:t>
            </w:r>
          </w:p>
        </w:tc>
      </w:tr>
      <w:tr>
        <w:trPr>
          <w:trHeight w:val="223"/>
        </w:trPr>
        <w:tc>
          <w:tcPr>
            <w:tcW w:w="8220" w:type="dxa"/>
            <w:vAlign w:val="bottom"/>
          </w:tcPr>
          <w:p>
            <w:pPr>
              <w:ind w:left="220"/>
              <w:spacing w:after="0"/>
              <w:rPr>
                <w:sz w:val="20"/>
                <w:szCs w:val="20"/>
                <w:color w:val="auto"/>
              </w:rPr>
            </w:pPr>
            <w:r>
              <w:rPr>
                <w:rFonts w:ascii="Arial" w:cs="Arial" w:eastAsia="Arial" w:hAnsi="Arial"/>
                <w:sz w:val="18"/>
                <w:szCs w:val="18"/>
                <w:color w:val="auto"/>
              </w:rPr>
              <w:t>Total expenses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111,584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104,050</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Interest expense, net</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r>
      <w:tr>
        <w:trPr>
          <w:trHeight w:val="223"/>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1,253</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913</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(loss) attributable to noncontrolling interest</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Net income and other comprehensive income attributable to The Pennant Group, Inc.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7"/>
        </w:trPr>
        <w:tc>
          <w:tcPr>
            <w:tcW w:w="82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per share:</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9"/>
        </w:trPr>
        <w:tc>
          <w:tcPr>
            <w:tcW w:w="8220" w:type="dxa"/>
            <w:vAlign w:val="bottom"/>
          </w:tcPr>
          <w:p>
            <w:pPr>
              <w:ind w:left="10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0.03</w:t>
            </w:r>
          </w:p>
        </w:tc>
      </w:tr>
      <w:tr>
        <w:trPr>
          <w:trHeight w:val="230"/>
        </w:trPr>
        <w:tc>
          <w:tcPr>
            <w:tcW w:w="8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28,291</w:t>
            </w:r>
          </w:p>
        </w:tc>
      </w:tr>
      <w:tr>
        <w:trPr>
          <w:trHeight w:val="230"/>
        </w:trPr>
        <w:tc>
          <w:tcPr>
            <w:tcW w:w="8220" w:type="dxa"/>
            <w:vAlign w:val="bottom"/>
          </w:tcPr>
          <w:p>
            <w:pPr>
              <w:ind w:left="10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30,143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30,907</w:t>
            </w:r>
          </w:p>
        </w:tc>
      </w:tr>
    </w:tbl>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3"/>
            <w:vMerge w:val="restart"/>
          </w:tcPr>
          <w:p>
            <w:pPr>
              <w:jc w:val="center"/>
              <w:ind w:right="240"/>
              <w:spacing w:after="0"/>
              <w:rPr>
                <w:sz w:val="20"/>
                <w:szCs w:val="20"/>
                <w:color w:val="auto"/>
              </w:rPr>
            </w:pPr>
            <w:r>
              <w:rPr>
                <w:rFonts w:ascii="Arial" w:cs="Arial" w:eastAsia="Arial" w:hAnsi="Arial"/>
                <w:sz w:val="16"/>
                <w:szCs w:val="16"/>
                <w:b w:val="1"/>
                <w:bCs w:val="1"/>
                <w:color w:val="auto"/>
                <w:w w:val="91"/>
              </w:rPr>
              <w:t>Additional</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Retained</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3"/>
              </w:rPr>
              <w:t>Non-</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780" w:type="dxa"/>
            <w:vAlign w:val="bottom"/>
          </w:tcPr>
          <w:p>
            <w:pPr>
              <w:spacing w:after="0"/>
              <w:rPr>
                <w:sz w:val="14"/>
                <w:szCs w:val="14"/>
                <w:color w:val="auto"/>
              </w:rPr>
            </w:pPr>
          </w:p>
        </w:tc>
        <w:tc>
          <w:tcPr>
            <w:tcW w:w="1820" w:type="dxa"/>
            <w:vAlign w:val="bottom"/>
            <w:gridSpan w:val="5"/>
            <w:vMerge w:val="restart"/>
          </w:tcPr>
          <w:p>
            <w:pPr>
              <w:ind w:left="380"/>
              <w:spacing w:after="0"/>
              <w:rPr>
                <w:sz w:val="20"/>
                <w:szCs w:val="20"/>
                <w:color w:val="auto"/>
              </w:rPr>
            </w:pPr>
            <w:r>
              <w:rPr>
                <w:rFonts w:ascii="Arial" w:cs="Arial" w:eastAsia="Arial" w:hAnsi="Arial"/>
                <w:sz w:val="16"/>
                <w:szCs w:val="16"/>
                <w:b w:val="1"/>
                <w:bCs w:val="1"/>
                <w:color w:val="auto"/>
              </w:rPr>
              <w:t>Common Stock</w:t>
            </w:r>
          </w:p>
        </w:tc>
        <w:tc>
          <w:tcPr>
            <w:tcW w:w="100" w:type="dxa"/>
            <w:vAlign w:val="bottom"/>
            <w:gridSpan w:val="2"/>
            <w:vMerge w:val="restart"/>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3"/>
              </w:rPr>
              <w:t>Earnings/</w:t>
            </w:r>
          </w:p>
        </w:tc>
        <w:tc>
          <w:tcPr>
            <w:tcW w:w="1820" w:type="dxa"/>
            <w:vAlign w:val="bottom"/>
            <w:gridSpan w:val="4"/>
            <w:vMerge w:val="restart"/>
          </w:tcPr>
          <w:p>
            <w:pPr>
              <w:ind w:left="380"/>
              <w:spacing w:after="0"/>
              <w:rPr>
                <w:sz w:val="20"/>
                <w:szCs w:val="20"/>
                <w:color w:val="auto"/>
              </w:rPr>
            </w:pPr>
            <w:r>
              <w:rPr>
                <w:rFonts w:ascii="Arial" w:cs="Arial" w:eastAsia="Arial" w:hAnsi="Arial"/>
                <w:sz w:val="16"/>
                <w:szCs w:val="16"/>
                <w:b w:val="1"/>
                <w:bCs w:val="1"/>
                <w:color w:val="auto"/>
              </w:rPr>
              <w:t>Treasury Stock</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780" w:type="dxa"/>
            <w:vAlign w:val="bottom"/>
          </w:tcPr>
          <w:p>
            <w:pPr>
              <w:spacing w:after="0"/>
              <w:rPr>
                <w:sz w:val="12"/>
                <w:szCs w:val="12"/>
                <w:color w:val="auto"/>
              </w:rPr>
            </w:pPr>
          </w:p>
        </w:tc>
        <w:tc>
          <w:tcPr>
            <w:tcW w:w="1820" w:type="dxa"/>
            <w:vAlign w:val="bottom"/>
            <w:tcBorders>
              <w:bottom w:val="single" w:sz="8" w:color="auto"/>
            </w:tcBorders>
            <w:gridSpan w:val="5"/>
            <w:vMerge w:val="continue"/>
          </w:tcPr>
          <w:p>
            <w:pPr>
              <w:spacing w:after="0"/>
              <w:rPr>
                <w:sz w:val="12"/>
                <w:szCs w:val="12"/>
                <w:color w:val="auto"/>
              </w:rPr>
            </w:pPr>
          </w:p>
        </w:tc>
        <w:tc>
          <w:tcPr>
            <w:tcW w:w="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tcPr>
          <w:p>
            <w:pPr>
              <w:jc w:val="center"/>
              <w:ind w:right="240"/>
              <w:spacing w:after="0" w:line="142" w:lineRule="exact"/>
              <w:rPr>
                <w:sz w:val="20"/>
                <w:szCs w:val="20"/>
                <w:color w:val="auto"/>
              </w:rPr>
            </w:pPr>
            <w:r>
              <w:rPr>
                <w:rFonts w:ascii="Arial" w:cs="Arial" w:eastAsia="Arial" w:hAnsi="Arial"/>
                <w:sz w:val="16"/>
                <w:szCs w:val="16"/>
                <w:b w:val="1"/>
                <w:bCs w:val="1"/>
                <w:color w:val="auto"/>
                <w:w w:val="97"/>
              </w:rPr>
              <w:t>Paid-In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2" w:lineRule="exact"/>
              <w:rPr>
                <w:sz w:val="20"/>
                <w:szCs w:val="20"/>
                <w:color w:val="auto"/>
              </w:rPr>
            </w:pPr>
            <w:r>
              <w:rPr>
                <w:rFonts w:ascii="Arial" w:cs="Arial" w:eastAsia="Arial" w:hAnsi="Arial"/>
                <w:sz w:val="16"/>
                <w:szCs w:val="16"/>
                <w:b w:val="1"/>
                <w:bCs w:val="1"/>
                <w:color w:val="auto"/>
                <w:w w:val="90"/>
              </w:rPr>
              <w:t>(Accumulated</w:t>
            </w:r>
          </w:p>
        </w:tc>
        <w:tc>
          <w:tcPr>
            <w:tcW w:w="1820" w:type="dxa"/>
            <w:vAlign w:val="bottom"/>
            <w:tcBorders>
              <w:bottom w:val="single" w:sz="8" w:color="auto"/>
            </w:tcBorders>
            <w:gridSpan w:val="4"/>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w w:val="93"/>
              </w:rPr>
              <w:t>Controlling</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780" w:type="dxa"/>
            <w:vAlign w:val="bottom"/>
          </w:tcPr>
          <w:p>
            <w:pPr>
              <w:spacing w:after="0"/>
              <w:rPr>
                <w:sz w:val="17"/>
                <w:szCs w:val="17"/>
                <w:color w:val="auto"/>
              </w:rPr>
            </w:pPr>
          </w:p>
        </w:tc>
        <w:tc>
          <w:tcPr>
            <w:tcW w:w="960" w:type="dxa"/>
            <w:vAlign w:val="bottom"/>
            <w:gridSpan w:val="3"/>
          </w:tcPr>
          <w:p>
            <w:pPr>
              <w:ind w:left="20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7"/>
                <w:szCs w:val="17"/>
                <w:color w:val="auto"/>
              </w:rPr>
            </w:pPr>
          </w:p>
        </w:tc>
        <w:tc>
          <w:tcPr>
            <w:tcW w:w="840" w:type="dxa"/>
            <w:vAlign w:val="bottom"/>
            <w:gridSpan w:val="3"/>
          </w:tcPr>
          <w:p>
            <w:pPr>
              <w:ind w:left="2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7"/>
                <w:szCs w:val="17"/>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Deficit)</w:t>
            </w:r>
          </w:p>
        </w:tc>
        <w:tc>
          <w:tcPr>
            <w:tcW w:w="960" w:type="dxa"/>
            <w:vAlign w:val="bottom"/>
            <w:gridSpan w:val="2"/>
          </w:tcPr>
          <w:p>
            <w:pPr>
              <w:ind w:left="20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Interest</w:t>
            </w:r>
          </w:p>
        </w:tc>
        <w:tc>
          <w:tcPr>
            <w:tcW w:w="180" w:type="dxa"/>
            <w:vAlign w:val="bottom"/>
          </w:tcPr>
          <w:p>
            <w:pPr>
              <w:spacing w:after="0"/>
              <w:rPr>
                <w:sz w:val="17"/>
                <w:szCs w:val="17"/>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53"/>
        </w:trPr>
        <w:tc>
          <w:tcPr>
            <w:tcW w:w="278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2021</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28,826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14,641</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center"/>
              <w:ind w:left="339"/>
              <w:spacing w:after="0"/>
              <w:rPr>
                <w:sz w:val="20"/>
                <w:szCs w:val="20"/>
                <w:color w:val="auto"/>
              </w:rPr>
            </w:pPr>
            <w:r>
              <w:rPr>
                <w:rFonts w:ascii="Arial" w:cs="Arial" w:eastAsia="Arial" w:hAnsi="Arial"/>
                <w:sz w:val="16"/>
                <w:szCs w:val="16"/>
                <w:color w:val="auto"/>
                <w:w w:val="98"/>
              </w:rPr>
              <w:t>(65)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114,244</w:t>
            </w:r>
          </w:p>
        </w:tc>
        <w:tc>
          <w:tcPr>
            <w:tcW w:w="0" w:type="dxa"/>
            <w:vAlign w:val="bottom"/>
          </w:tcPr>
          <w:p>
            <w:pPr>
              <w:spacing w:after="0"/>
              <w:rPr>
                <w:sz w:val="1"/>
                <w:szCs w:val="1"/>
                <w:color w:val="auto"/>
              </w:rPr>
            </w:pPr>
          </w:p>
        </w:tc>
      </w:tr>
      <w:tr>
        <w:trPr>
          <w:trHeight w:val="166"/>
        </w:trPr>
        <w:tc>
          <w:tcPr>
            <w:tcW w:w="2780" w:type="dxa"/>
            <w:vAlign w:val="bottom"/>
          </w:tcPr>
          <w:p>
            <w:pPr>
              <w:ind w:left="20"/>
              <w:spacing w:after="0" w:line="166" w:lineRule="exact"/>
              <w:rPr>
                <w:sz w:val="20"/>
                <w:szCs w:val="20"/>
                <w:color w:val="auto"/>
              </w:rPr>
            </w:pPr>
            <w:r>
              <w:rPr>
                <w:rFonts w:ascii="Arial" w:cs="Arial" w:eastAsia="Arial" w:hAnsi="Arial"/>
                <w:sz w:val="16"/>
                <w:szCs w:val="16"/>
                <w:color w:val="auto"/>
                <w:w w:val="98"/>
              </w:rPr>
              <w:t>Net income attributable to The Pennant</w:t>
            </w:r>
          </w:p>
        </w:tc>
        <w:tc>
          <w:tcPr>
            <w:tcW w:w="960" w:type="dxa"/>
            <w:vAlign w:val="bottom"/>
            <w:gridSpan w:val="3"/>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gridSpan w:val="3"/>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40" w:type="dxa"/>
            <w:vAlign w:val="bottom"/>
            <w:gridSpan w:val="3"/>
            <w:vMerge w:val="restart"/>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1,014</w:t>
            </w:r>
          </w:p>
        </w:tc>
        <w:tc>
          <w:tcPr>
            <w:tcW w:w="10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1,014</w:t>
            </w:r>
          </w:p>
        </w:tc>
        <w:tc>
          <w:tcPr>
            <w:tcW w:w="0" w:type="dxa"/>
            <w:vAlign w:val="bottom"/>
          </w:tcPr>
          <w:p>
            <w:pPr>
              <w:spacing w:after="0"/>
              <w:rPr>
                <w:sz w:val="1"/>
                <w:szCs w:val="1"/>
                <w:color w:val="auto"/>
              </w:rPr>
            </w:pPr>
          </w:p>
        </w:tc>
      </w:tr>
      <w:tr>
        <w:trPr>
          <w:trHeight w:val="209"/>
        </w:trPr>
        <w:tc>
          <w:tcPr>
            <w:tcW w:w="2780" w:type="dxa"/>
            <w:vAlign w:val="bottom"/>
          </w:tcPr>
          <w:p>
            <w:pPr>
              <w:ind w:left="20"/>
              <w:spacing w:after="0"/>
              <w:rPr>
                <w:sz w:val="20"/>
                <w:szCs w:val="20"/>
                <w:color w:val="auto"/>
              </w:rPr>
            </w:pPr>
            <w:r>
              <w:rPr>
                <w:rFonts w:ascii="Arial" w:cs="Arial" w:eastAsia="Arial" w:hAnsi="Arial"/>
                <w:sz w:val="16"/>
                <w:szCs w:val="16"/>
                <w:color w:val="auto"/>
              </w:rPr>
              <w:t>Group, Inc.</w:t>
            </w:r>
          </w:p>
        </w:tc>
        <w:tc>
          <w:tcPr>
            <w:tcW w:w="9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7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Net income attributable to Non-</w:t>
            </w:r>
          </w:p>
        </w:tc>
        <w:tc>
          <w:tcPr>
            <w:tcW w:w="9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Controlling Interests</w:t>
            </w:r>
          </w:p>
        </w:tc>
        <w:tc>
          <w:tcPr>
            <w:tcW w:w="96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9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2,440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2,440</w:t>
            </w:r>
          </w:p>
        </w:tc>
        <w:tc>
          <w:tcPr>
            <w:tcW w:w="0" w:type="dxa"/>
            <w:vAlign w:val="bottom"/>
          </w:tcPr>
          <w:p>
            <w:pPr>
              <w:spacing w:after="0"/>
              <w:rPr>
                <w:sz w:val="1"/>
                <w:szCs w:val="1"/>
                <w:color w:val="auto"/>
              </w:rPr>
            </w:pPr>
          </w:p>
        </w:tc>
      </w:tr>
      <w:tr>
        <w:trPr>
          <w:trHeight w:val="169"/>
        </w:trPr>
        <w:tc>
          <w:tcPr>
            <w:tcW w:w="27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 of common stock from the</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stock options</w:t>
            </w:r>
          </w:p>
        </w:tc>
        <w:tc>
          <w:tcPr>
            <w:tcW w:w="86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780" w:type="dxa"/>
            <w:vAlign w:val="bottom"/>
          </w:tcPr>
          <w:p>
            <w:pPr>
              <w:ind w:left="20"/>
              <w:spacing w:after="0" w:line="166" w:lineRule="exact"/>
              <w:rPr>
                <w:sz w:val="20"/>
                <w:szCs w:val="20"/>
                <w:color w:val="auto"/>
              </w:rPr>
            </w:pPr>
            <w:r>
              <w:rPr>
                <w:rFonts w:ascii="Arial" w:cs="Arial" w:eastAsia="Arial" w:hAnsi="Arial"/>
                <w:sz w:val="16"/>
                <w:szCs w:val="16"/>
                <w:color w:val="auto"/>
              </w:rPr>
              <w:t>Issuance/ (cancellation) of restricted</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40" w:type="dxa"/>
            <w:vAlign w:val="bottom"/>
            <w:gridSpan w:val="3"/>
            <w:vMerge w:val="restart"/>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780" w:type="dxa"/>
            <w:vAlign w:val="bottom"/>
          </w:tcPr>
          <w:p>
            <w:pPr>
              <w:ind w:left="20"/>
              <w:spacing w:after="0"/>
              <w:rPr>
                <w:sz w:val="20"/>
                <w:szCs w:val="20"/>
                <w:color w:val="auto"/>
              </w:rPr>
            </w:pPr>
            <w:r>
              <w:rPr>
                <w:rFonts w:ascii="Arial" w:cs="Arial" w:eastAsia="Arial" w:hAnsi="Arial"/>
                <w:sz w:val="16"/>
                <w:szCs w:val="16"/>
                <w:color w:val="auto"/>
              </w:rPr>
              <w:t>stock</w:t>
            </w:r>
          </w:p>
        </w:tc>
        <w:tc>
          <w:tcPr>
            <w:tcW w:w="8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2022</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28,849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98,124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center"/>
              <w:ind w:left="339"/>
              <w:spacing w:after="0"/>
              <w:rPr>
                <w:sz w:val="20"/>
                <w:szCs w:val="20"/>
                <w:color w:val="auto"/>
              </w:rPr>
            </w:pPr>
            <w:r>
              <w:rPr>
                <w:rFonts w:ascii="Arial" w:cs="Arial" w:eastAsia="Arial" w:hAnsi="Arial"/>
                <w:sz w:val="16"/>
                <w:szCs w:val="16"/>
                <w:color w:val="auto"/>
                <w:w w:val="98"/>
              </w:rPr>
              <w:t>(65)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117,932</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2780" w:type="dxa"/>
            <w:vAlign w:val="bottom"/>
          </w:tcPr>
          <w:p>
            <w:pPr>
              <w:spacing w:after="0"/>
              <w:rPr>
                <w:sz w:val="24"/>
                <w:szCs w:val="24"/>
                <w:color w:val="auto"/>
              </w:rPr>
            </w:pPr>
          </w:p>
        </w:tc>
        <w:tc>
          <w:tcPr>
            <w:tcW w:w="1840" w:type="dxa"/>
            <w:vAlign w:val="bottom"/>
            <w:gridSpan w:val="6"/>
            <w:vMerge w:val="restart"/>
          </w:tcPr>
          <w:p>
            <w:pPr>
              <w:ind w:left="380"/>
              <w:spacing w:after="0"/>
              <w:rPr>
                <w:sz w:val="20"/>
                <w:szCs w:val="20"/>
                <w:color w:val="auto"/>
              </w:rPr>
            </w:pPr>
            <w:r>
              <w:rPr>
                <w:rFonts w:ascii="Arial" w:cs="Arial" w:eastAsia="Arial" w:hAnsi="Arial"/>
                <w:sz w:val="16"/>
                <w:szCs w:val="16"/>
                <w:b w:val="1"/>
                <w:bCs w:val="1"/>
                <w:color w:val="auto"/>
              </w:rPr>
              <w:t>Common Stock</w:t>
            </w:r>
          </w:p>
        </w:tc>
        <w:tc>
          <w:tcPr>
            <w:tcW w:w="8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4"/>
              </w:rPr>
              <w:t>Additional</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4"/>
            <w:vMerge w:val="restart"/>
          </w:tcPr>
          <w:p>
            <w:pPr>
              <w:ind w:left="380"/>
              <w:spacing w:after="0"/>
              <w:rPr>
                <w:sz w:val="20"/>
                <w:szCs w:val="20"/>
                <w:color w:val="auto"/>
              </w:rPr>
            </w:pPr>
            <w:r>
              <w:rPr>
                <w:rFonts w:ascii="Arial" w:cs="Arial" w:eastAsia="Arial" w:hAnsi="Arial"/>
                <w:sz w:val="16"/>
                <w:szCs w:val="16"/>
                <w:b w:val="1"/>
                <w:bCs w:val="1"/>
                <w:color w:val="auto"/>
              </w:rPr>
              <w:t>Treasury Stock</w:t>
            </w:r>
          </w:p>
        </w:tc>
        <w:tc>
          <w:tcPr>
            <w:tcW w:w="10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Non-</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780" w:type="dxa"/>
            <w:vAlign w:val="bottom"/>
          </w:tcPr>
          <w:p>
            <w:pPr>
              <w:spacing w:after="0"/>
              <w:rPr>
                <w:sz w:val="12"/>
                <w:szCs w:val="12"/>
                <w:color w:val="auto"/>
              </w:rPr>
            </w:pPr>
          </w:p>
        </w:tc>
        <w:tc>
          <w:tcPr>
            <w:tcW w:w="1840" w:type="dxa"/>
            <w:vAlign w:val="bottom"/>
            <w:tcBorders>
              <w:bottom w:val="single" w:sz="8" w:color="auto"/>
            </w:tcBorders>
            <w:gridSpan w:val="6"/>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tcPr>
          <w:p>
            <w:pPr>
              <w:jc w:val="center"/>
              <w:ind w:right="200"/>
              <w:spacing w:after="0" w:line="142" w:lineRule="exact"/>
              <w:rPr>
                <w:sz w:val="20"/>
                <w:szCs w:val="20"/>
                <w:color w:val="auto"/>
              </w:rPr>
            </w:pPr>
            <w:r>
              <w:rPr>
                <w:rFonts w:ascii="Arial" w:cs="Arial" w:eastAsia="Arial" w:hAnsi="Arial"/>
                <w:sz w:val="16"/>
                <w:szCs w:val="16"/>
                <w:b w:val="1"/>
                <w:bCs w:val="1"/>
                <w:color w:val="auto"/>
                <w:w w:val="97"/>
              </w:rPr>
              <w:t>Paid-In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w w:val="91"/>
              </w:rPr>
              <w:t>Retained</w:t>
            </w:r>
          </w:p>
        </w:tc>
        <w:tc>
          <w:tcPr>
            <w:tcW w:w="1820" w:type="dxa"/>
            <w:vAlign w:val="bottom"/>
            <w:tcBorders>
              <w:bottom w:val="single" w:sz="8" w:color="auto"/>
            </w:tcBorders>
            <w:gridSpan w:val="4"/>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w w:val="93"/>
              </w:rPr>
              <w:t>Controlling</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780" w:type="dxa"/>
            <w:vAlign w:val="bottom"/>
          </w:tcPr>
          <w:p>
            <w:pPr>
              <w:spacing w:after="0"/>
              <w:rPr>
                <w:sz w:val="17"/>
                <w:szCs w:val="17"/>
                <w:color w:val="auto"/>
              </w:rPr>
            </w:pPr>
          </w:p>
        </w:tc>
        <w:tc>
          <w:tcPr>
            <w:tcW w:w="960" w:type="dxa"/>
            <w:vAlign w:val="bottom"/>
            <w:gridSpan w:val="3"/>
          </w:tcPr>
          <w:p>
            <w:pPr>
              <w:ind w:left="20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7"/>
                <w:szCs w:val="17"/>
                <w:color w:val="auto"/>
              </w:rPr>
            </w:pPr>
          </w:p>
        </w:tc>
        <w:tc>
          <w:tcPr>
            <w:tcW w:w="840" w:type="dxa"/>
            <w:vAlign w:val="bottom"/>
            <w:gridSpan w:val="3"/>
          </w:tcPr>
          <w:p>
            <w:pPr>
              <w:ind w:left="4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7"/>
                <w:szCs w:val="17"/>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3"/>
              </w:rPr>
              <w:t>Capital</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Earnings</w:t>
            </w:r>
          </w:p>
        </w:tc>
        <w:tc>
          <w:tcPr>
            <w:tcW w:w="960" w:type="dxa"/>
            <w:vAlign w:val="bottom"/>
            <w:gridSpan w:val="2"/>
          </w:tcPr>
          <w:p>
            <w:pPr>
              <w:ind w:left="20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Interest</w:t>
            </w:r>
          </w:p>
        </w:tc>
        <w:tc>
          <w:tcPr>
            <w:tcW w:w="180" w:type="dxa"/>
            <w:vAlign w:val="bottom"/>
          </w:tcPr>
          <w:p>
            <w:pPr>
              <w:spacing w:after="0"/>
              <w:rPr>
                <w:sz w:val="17"/>
                <w:szCs w:val="17"/>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53"/>
        </w:trPr>
        <w:tc>
          <w:tcPr>
            <w:tcW w:w="278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28,696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84,671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11,945</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center"/>
              <w:ind w:left="339"/>
              <w:spacing w:after="0"/>
              <w:rPr>
                <w:sz w:val="20"/>
                <w:szCs w:val="20"/>
                <w:color w:val="auto"/>
              </w:rPr>
            </w:pPr>
            <w:r>
              <w:rPr>
                <w:rFonts w:ascii="Arial" w:cs="Arial" w:eastAsia="Arial" w:hAnsi="Arial"/>
                <w:sz w:val="16"/>
                <w:szCs w:val="16"/>
                <w:color w:val="auto"/>
                <w:w w:val="98"/>
              </w:rPr>
              <w:t>(65)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101,172</w:t>
            </w:r>
          </w:p>
        </w:tc>
        <w:tc>
          <w:tcPr>
            <w:tcW w:w="0" w:type="dxa"/>
            <w:vAlign w:val="bottom"/>
          </w:tcPr>
          <w:p>
            <w:pPr>
              <w:spacing w:after="0"/>
              <w:rPr>
                <w:sz w:val="1"/>
                <w:szCs w:val="1"/>
                <w:color w:val="auto"/>
              </w:rPr>
            </w:pPr>
          </w:p>
        </w:tc>
      </w:tr>
      <w:tr>
        <w:trPr>
          <w:trHeight w:val="166"/>
        </w:trPr>
        <w:tc>
          <w:tcPr>
            <w:tcW w:w="2780" w:type="dxa"/>
            <w:vAlign w:val="bottom"/>
          </w:tcPr>
          <w:p>
            <w:pPr>
              <w:ind w:left="20"/>
              <w:spacing w:after="0" w:line="166" w:lineRule="exact"/>
              <w:rPr>
                <w:sz w:val="20"/>
                <w:szCs w:val="20"/>
                <w:color w:val="auto"/>
              </w:rPr>
            </w:pPr>
            <w:r>
              <w:rPr>
                <w:rFonts w:ascii="Arial" w:cs="Arial" w:eastAsia="Arial" w:hAnsi="Arial"/>
                <w:sz w:val="16"/>
                <w:szCs w:val="16"/>
                <w:color w:val="auto"/>
                <w:w w:val="98"/>
              </w:rPr>
              <w:t>Net income attributable to The Pennant</w:t>
            </w:r>
          </w:p>
        </w:tc>
        <w:tc>
          <w:tcPr>
            <w:tcW w:w="960" w:type="dxa"/>
            <w:vAlign w:val="bottom"/>
            <w:gridSpan w:val="3"/>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gridSpan w:val="3"/>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40" w:type="dxa"/>
            <w:vAlign w:val="bottom"/>
            <w:gridSpan w:val="3"/>
            <w:vMerge w:val="restart"/>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950</w:t>
            </w:r>
          </w:p>
        </w:tc>
        <w:tc>
          <w:tcPr>
            <w:tcW w:w="10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950</w:t>
            </w:r>
          </w:p>
        </w:tc>
        <w:tc>
          <w:tcPr>
            <w:tcW w:w="0" w:type="dxa"/>
            <w:vAlign w:val="bottom"/>
          </w:tcPr>
          <w:p>
            <w:pPr>
              <w:spacing w:after="0"/>
              <w:rPr>
                <w:sz w:val="1"/>
                <w:szCs w:val="1"/>
                <w:color w:val="auto"/>
              </w:rPr>
            </w:pPr>
          </w:p>
        </w:tc>
      </w:tr>
      <w:tr>
        <w:trPr>
          <w:trHeight w:val="209"/>
        </w:trPr>
        <w:tc>
          <w:tcPr>
            <w:tcW w:w="2780" w:type="dxa"/>
            <w:vAlign w:val="bottom"/>
          </w:tcPr>
          <w:p>
            <w:pPr>
              <w:ind w:left="20"/>
              <w:spacing w:after="0"/>
              <w:rPr>
                <w:sz w:val="20"/>
                <w:szCs w:val="20"/>
                <w:color w:val="auto"/>
              </w:rPr>
            </w:pPr>
            <w:r>
              <w:rPr>
                <w:rFonts w:ascii="Arial" w:cs="Arial" w:eastAsia="Arial" w:hAnsi="Arial"/>
                <w:sz w:val="16"/>
                <w:szCs w:val="16"/>
                <w:color w:val="auto"/>
              </w:rPr>
              <w:t>Group, Inc.</w:t>
            </w:r>
          </w:p>
        </w:tc>
        <w:tc>
          <w:tcPr>
            <w:tcW w:w="9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7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9"/>
              </w:rPr>
              <w:t>Net loss attributable to Non-Controlling</w:t>
            </w:r>
          </w:p>
        </w:tc>
        <w:tc>
          <w:tcPr>
            <w:tcW w:w="9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4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Interests</w:t>
            </w:r>
          </w:p>
        </w:tc>
        <w:tc>
          <w:tcPr>
            <w:tcW w:w="96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9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2,416</w:t>
            </w:r>
          </w:p>
        </w:tc>
        <w:tc>
          <w:tcPr>
            <w:tcW w:w="0" w:type="dxa"/>
            <w:vAlign w:val="bottom"/>
          </w:tcPr>
          <w:p>
            <w:pPr>
              <w:spacing w:after="0"/>
              <w:rPr>
                <w:sz w:val="1"/>
                <w:szCs w:val="1"/>
                <w:color w:val="auto"/>
              </w:rPr>
            </w:pPr>
          </w:p>
        </w:tc>
      </w:tr>
      <w:tr>
        <w:trPr>
          <w:trHeight w:val="169"/>
        </w:trPr>
        <w:tc>
          <w:tcPr>
            <w:tcW w:w="27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 of common stock from the</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stock options</w:t>
            </w:r>
          </w:p>
        </w:tc>
        <w:tc>
          <w:tcPr>
            <w:tcW w:w="86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w w:val="91"/>
              </w:rPr>
              <w:t>Issuance/ (cancellation) of restricted stock</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left="379"/>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28,720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87,305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12,895</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center"/>
              <w:ind w:left="339"/>
              <w:spacing w:after="0"/>
              <w:rPr>
                <w:sz w:val="20"/>
                <w:szCs w:val="20"/>
                <w:color w:val="auto"/>
              </w:rPr>
            </w:pPr>
            <w:r>
              <w:rPr>
                <w:rFonts w:ascii="Arial" w:cs="Arial" w:eastAsia="Arial" w:hAnsi="Arial"/>
                <w:sz w:val="16"/>
                <w:szCs w:val="16"/>
                <w:color w:val="auto"/>
                <w:w w:val="98"/>
              </w:rPr>
              <w:t>(65)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104,719</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PENNANT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3140" w:type="dxa"/>
            <w:vAlign w:val="bottom"/>
            <w:tcBorders>
              <w:bottom w:val="single" w:sz="8" w:color="auto"/>
            </w:tcBorders>
            <w:gridSpan w:val="5"/>
          </w:tcPr>
          <w:p>
            <w:pPr>
              <w:jc w:val="right"/>
              <w:ind w:right="379"/>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80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r>
      <w:tr>
        <w:trPr>
          <w:trHeight w:val="19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806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1,158</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913</w:t>
            </w:r>
          </w:p>
        </w:tc>
      </w:tr>
      <w:tr>
        <w:trPr>
          <w:trHeight w:val="219"/>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net cash (used in) provided by operating activities: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806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1,147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1,175</w:t>
            </w:r>
          </w:p>
        </w:tc>
      </w:tr>
      <w:tr>
        <w:trPr>
          <w:trHeight w:val="219"/>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financing fees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13"/>
        </w:trPr>
        <w:tc>
          <w:tcPr>
            <w:tcW w:w="8060" w:type="dxa"/>
            <w:vAlign w:val="bottom"/>
          </w:tcPr>
          <w:p>
            <w:pPr>
              <w:ind w:left="220"/>
              <w:spacing w:after="0"/>
              <w:rPr>
                <w:sz w:val="20"/>
                <w:szCs w:val="20"/>
                <w:color w:val="auto"/>
              </w:rPr>
            </w:pPr>
            <w:r>
              <w:rPr>
                <w:rFonts w:ascii="Arial" w:cs="Arial" w:eastAsia="Arial" w:hAnsi="Arial"/>
                <w:sz w:val="16"/>
                <w:szCs w:val="16"/>
                <w:color w:val="auto"/>
              </w:rPr>
              <w:t>Impairment of long-lived assets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Provision for doubtful accounts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r>
      <w:tr>
        <w:trPr>
          <w:trHeight w:val="213"/>
        </w:trPr>
        <w:tc>
          <w:tcPr>
            <w:tcW w:w="8060" w:type="dxa"/>
            <w:vAlign w:val="bottom"/>
          </w:tcPr>
          <w:p>
            <w:pPr>
              <w:ind w:left="220"/>
              <w:spacing w:after="0"/>
              <w:rPr>
                <w:sz w:val="20"/>
                <w:szCs w:val="20"/>
                <w:color w:val="auto"/>
              </w:rPr>
            </w:pPr>
            <w:r>
              <w:rPr>
                <w:rFonts w:ascii="Arial" w:cs="Arial" w:eastAsia="Arial" w:hAnsi="Arial"/>
                <w:sz w:val="16"/>
                <w:szCs w:val="16"/>
                <w:color w:val="auto"/>
              </w:rPr>
              <w:t>Share-based compensation</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2,440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2,416</w:t>
            </w:r>
          </w:p>
        </w:tc>
      </w:tr>
      <w:tr>
        <w:trPr>
          <w:trHeight w:val="219"/>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r>
      <w:tr>
        <w:trPr>
          <w:trHeight w:val="213"/>
        </w:trPr>
        <w:tc>
          <w:tcPr>
            <w:tcW w:w="8060" w:type="dxa"/>
            <w:vAlign w:val="bottom"/>
          </w:tcPr>
          <w:p>
            <w:pPr>
              <w:ind w:left="220"/>
              <w:spacing w:after="0"/>
              <w:rPr>
                <w:sz w:val="20"/>
                <w:szCs w:val="20"/>
                <w:color w:val="auto"/>
              </w:rPr>
            </w:pPr>
            <w:r>
              <w:rPr>
                <w:rFonts w:ascii="Arial" w:cs="Arial" w:eastAsia="Arial" w:hAnsi="Arial"/>
                <w:sz w:val="16"/>
                <w:szCs w:val="16"/>
                <w:color w:val="auto"/>
              </w:rPr>
              <w:t>Change in operating assets and liabilities, net of acquisitions:</w:t>
            </w: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receivable</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(3,161)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(3,795)</w:t>
            </w:r>
          </w:p>
        </w:tc>
      </w:tr>
      <w:tr>
        <w:trPr>
          <w:trHeight w:val="213"/>
        </w:trPr>
        <w:tc>
          <w:tcPr>
            <w:tcW w:w="8060" w:type="dxa"/>
            <w:vAlign w:val="bottom"/>
          </w:tcPr>
          <w:p>
            <w:pPr>
              <w:ind w:left="340"/>
              <w:spacing w:after="0"/>
              <w:rPr>
                <w:sz w:val="20"/>
                <w:szCs w:val="20"/>
                <w:color w:val="auto"/>
              </w:rPr>
            </w:pPr>
            <w:r>
              <w:rPr>
                <w:rFonts w:ascii="Arial" w:cs="Arial" w:eastAsia="Arial" w:hAnsi="Arial"/>
                <w:sz w:val="16"/>
                <w:szCs w:val="16"/>
                <w:color w:val="auto"/>
              </w:rPr>
              <w:t>Prepaid expenses and other assets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8"/>
              </w:rPr>
              <w:t>(4,665)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(3,309)</w:t>
            </w:r>
          </w:p>
        </w:tc>
      </w:tr>
      <w:tr>
        <w:trPr>
          <w:trHeight w:val="219"/>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lease obligations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w:t>
            </w:r>
          </w:p>
        </w:tc>
      </w:tr>
      <w:tr>
        <w:trPr>
          <w:trHeight w:val="213"/>
        </w:trPr>
        <w:tc>
          <w:tcPr>
            <w:tcW w:w="806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(930)</w:t>
            </w:r>
          </w:p>
        </w:tc>
      </w:tr>
      <w:tr>
        <w:trPr>
          <w:trHeight w:val="219"/>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wages and related liabilities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(5,896)</w:t>
            </w:r>
          </w:p>
        </w:tc>
      </w:tr>
      <w:tr>
        <w:trPr>
          <w:trHeight w:val="213"/>
        </w:trPr>
        <w:tc>
          <w:tcPr>
            <w:tcW w:w="8060" w:type="dxa"/>
            <w:vAlign w:val="bottom"/>
          </w:tcPr>
          <w:p>
            <w:pPr>
              <w:ind w:left="340"/>
              <w:spacing w:after="0"/>
              <w:rPr>
                <w:sz w:val="20"/>
                <w:szCs w:val="20"/>
                <w:color w:val="auto"/>
              </w:rPr>
            </w:pPr>
            <w:r>
              <w:rPr>
                <w:rFonts w:ascii="Arial" w:cs="Arial" w:eastAsia="Arial" w:hAnsi="Arial"/>
                <w:sz w:val="16"/>
                <w:szCs w:val="16"/>
                <w:color w:val="auto"/>
              </w:rPr>
              <w:t>Other accrued liabilities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1,635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1,305</w:t>
            </w:r>
          </w:p>
        </w:tc>
      </w:tr>
      <w:tr>
        <w:trPr>
          <w:trHeight w:val="219"/>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Contract liabilities (CARES Act advance payments)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(4,722)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0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long-term liabilities</w:t>
            </w: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w:t>
            </w:r>
          </w:p>
        </w:tc>
      </w:tr>
      <w:tr>
        <w:trPr>
          <w:trHeight w:val="212"/>
        </w:trPr>
        <w:tc>
          <w:tcPr>
            <w:tcW w:w="80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Net cash used in operating activities</w:t>
            </w: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(4,071)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(7,267)</w:t>
            </w:r>
          </w:p>
        </w:tc>
      </w:tr>
      <w:tr>
        <w:trPr>
          <w:trHeight w:val="193"/>
        </w:trPr>
        <w:tc>
          <w:tcPr>
            <w:tcW w:w="806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9"/>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 of property and equipment</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(2,392)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w:t>
            </w:r>
          </w:p>
        </w:tc>
      </w:tr>
      <w:tr>
        <w:trPr>
          <w:trHeight w:val="213"/>
        </w:trPr>
        <w:tc>
          <w:tcPr>
            <w:tcW w:w="8060" w:type="dxa"/>
            <w:vAlign w:val="bottom"/>
          </w:tcPr>
          <w:p>
            <w:pPr>
              <w:ind w:left="140"/>
              <w:spacing w:after="0"/>
              <w:rPr>
                <w:sz w:val="20"/>
                <w:szCs w:val="20"/>
                <w:color w:val="auto"/>
              </w:rPr>
            </w:pPr>
            <w:r>
              <w:rPr>
                <w:rFonts w:ascii="Arial" w:cs="Arial" w:eastAsia="Arial" w:hAnsi="Arial"/>
                <w:sz w:val="16"/>
                <w:szCs w:val="16"/>
                <w:color w:val="auto"/>
              </w:rPr>
              <w:t>Cash payments for business acquisitions</w:t>
            </w:r>
          </w:p>
        </w:tc>
        <w:tc>
          <w:tcPr>
            <w:tcW w:w="9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(3,100)</w:t>
            </w:r>
          </w:p>
        </w:tc>
      </w:tr>
      <w:tr>
        <w:trPr>
          <w:trHeight w:val="219"/>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w:t>
            </w:r>
          </w:p>
        </w:tc>
      </w:tr>
      <w:tr>
        <w:trPr>
          <w:trHeight w:val="206"/>
        </w:trPr>
        <w:tc>
          <w:tcPr>
            <w:tcW w:w="806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Net cash used in investing activities</w:t>
            </w:r>
          </w:p>
        </w:tc>
        <w:tc>
          <w:tcPr>
            <w:tcW w:w="9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(2,582)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(3,995)</w:t>
            </w:r>
          </w:p>
        </w:tc>
      </w:tr>
      <w:tr>
        <w:trPr>
          <w:trHeight w:val="19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8060" w:type="dxa"/>
            <w:vAlign w:val="bottom"/>
          </w:tcPr>
          <w:p>
            <w:pPr>
              <w:ind w:left="140"/>
              <w:spacing w:after="0"/>
              <w:rPr>
                <w:sz w:val="20"/>
                <w:szCs w:val="20"/>
                <w:color w:val="auto"/>
              </w:rPr>
            </w:pPr>
            <w:r>
              <w:rPr>
                <w:rFonts w:ascii="Arial" w:cs="Arial" w:eastAsia="Arial" w:hAnsi="Arial"/>
                <w:sz w:val="16"/>
                <w:szCs w:val="16"/>
                <w:color w:val="auto"/>
              </w:rPr>
              <w:t>Proceeds from Revolving Credit Facility</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11,000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39,000</w:t>
            </w:r>
          </w:p>
        </w:tc>
      </w:tr>
      <w:tr>
        <w:trPr>
          <w:trHeight w:val="219"/>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on Revolving Credit Facility</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(6,000)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(21,000)</w:t>
            </w:r>
          </w:p>
        </w:tc>
      </w:tr>
      <w:tr>
        <w:trPr>
          <w:trHeight w:val="213"/>
        </w:trPr>
        <w:tc>
          <w:tcPr>
            <w:tcW w:w="8060" w:type="dxa"/>
            <w:vAlign w:val="bottom"/>
          </w:tcPr>
          <w:p>
            <w:pPr>
              <w:ind w:left="140"/>
              <w:spacing w:after="0"/>
              <w:rPr>
                <w:sz w:val="20"/>
                <w:szCs w:val="20"/>
                <w:color w:val="auto"/>
              </w:rPr>
            </w:pPr>
            <w:r>
              <w:rPr>
                <w:rFonts w:ascii="Arial" w:cs="Arial" w:eastAsia="Arial" w:hAnsi="Arial"/>
                <w:sz w:val="16"/>
                <w:szCs w:val="16"/>
                <w:color w:val="auto"/>
              </w:rPr>
              <w:t>Payments for deferred financing costs</w:t>
            </w:r>
          </w:p>
        </w:tc>
        <w:tc>
          <w:tcPr>
            <w:tcW w:w="9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(1,394)</w:t>
            </w:r>
          </w:p>
        </w:tc>
      </w:tr>
      <w:tr>
        <w:trPr>
          <w:trHeight w:val="219"/>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common stock upon the exercise of options</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w:t>
            </w:r>
          </w:p>
        </w:tc>
      </w:tr>
      <w:tr>
        <w:trPr>
          <w:trHeight w:val="207"/>
        </w:trPr>
        <w:tc>
          <w:tcPr>
            <w:tcW w:w="806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Net cash provided by financing activities</w:t>
            </w:r>
          </w:p>
        </w:tc>
        <w:tc>
          <w:tcPr>
            <w:tcW w:w="9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16,824</w:t>
            </w:r>
          </w:p>
        </w:tc>
      </w:tr>
      <w:tr>
        <w:trPr>
          <w:trHeight w:val="212"/>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increase in cash</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(1,563)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5,562</w:t>
            </w:r>
          </w:p>
        </w:tc>
      </w:tr>
      <w:tr>
        <w:trPr>
          <w:trHeight w:val="21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beginning of period</w:t>
            </w: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r>
      <w:tr>
        <w:trPr>
          <w:trHeight w:val="23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end of period</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5,605</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w w:val="99"/>
              </w:rPr>
              <w:t>Three Months Ended March 31,</w:t>
            </w:r>
          </w:p>
        </w:tc>
      </w:tr>
      <w:tr>
        <w:trPr>
          <w:trHeight w:val="210"/>
        </w:trPr>
        <w:tc>
          <w:tcPr>
            <w:tcW w:w="8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r>
      <w:tr>
        <w:trPr>
          <w:trHeight w:val="19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8180" w:type="dxa"/>
            <w:vAlign w:val="bottom"/>
          </w:tcPr>
          <w:p>
            <w:pPr>
              <w:ind w:left="140"/>
              <w:spacing w:after="0"/>
              <w:rPr>
                <w:sz w:val="20"/>
                <w:szCs w:val="20"/>
                <w:color w:val="auto"/>
              </w:rPr>
            </w:pPr>
            <w:r>
              <w:rPr>
                <w:rFonts w:ascii="Arial" w:cs="Arial" w:eastAsia="Arial" w:hAnsi="Arial"/>
                <w:sz w:val="16"/>
                <w:szCs w:val="16"/>
                <w:color w:val="auto"/>
              </w:rPr>
              <w:t>Cash paid during the period for:</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4"/>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Interest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8180" w:type="dxa"/>
            <w:vAlign w:val="bottom"/>
          </w:tcPr>
          <w:p>
            <w:pPr>
              <w:ind w:left="240"/>
              <w:spacing w:after="0"/>
              <w:rPr>
                <w:sz w:val="20"/>
                <w:szCs w:val="20"/>
                <w:color w:val="auto"/>
              </w:rPr>
            </w:pPr>
            <w:r>
              <w:rPr>
                <w:rFonts w:ascii="Arial" w:cs="Arial" w:eastAsia="Arial" w:hAnsi="Arial"/>
                <w:sz w:val="16"/>
                <w:szCs w:val="16"/>
                <w:color w:val="auto"/>
              </w:rPr>
              <w:t>Income taxes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5"/>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Lease liabilities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9,516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9,713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8180" w:type="dxa"/>
            <w:vAlign w:val="bottom"/>
          </w:tcPr>
          <w:p>
            <w:pPr>
              <w:ind w:left="140"/>
              <w:spacing w:after="0"/>
              <w:rPr>
                <w:sz w:val="20"/>
                <w:szCs w:val="20"/>
                <w:color w:val="auto"/>
              </w:rPr>
            </w:pPr>
            <w:r>
              <w:rPr>
                <w:rFonts w:ascii="Arial" w:cs="Arial" w:eastAsia="Arial" w:hAnsi="Arial"/>
                <w:sz w:val="16"/>
                <w:szCs w:val="16"/>
                <w:color w:val="auto"/>
              </w:rPr>
              <w:t>Right-of-use assets obtained in exchange for new operating lease obligations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1,678</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5"/>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Non-cash adjustment to right-of-use assets and lease liabilities from lease modifications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9,349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8180" w:type="dxa"/>
            <w:vAlign w:val="bottom"/>
          </w:tcPr>
          <w:p>
            <w:pPr>
              <w:ind w:left="140"/>
              <w:spacing w:after="0"/>
              <w:rPr>
                <w:sz w:val="20"/>
                <w:szCs w:val="20"/>
                <w:color w:val="auto"/>
              </w:rPr>
            </w:pPr>
            <w:r>
              <w:rPr>
                <w:rFonts w:ascii="Arial" w:cs="Arial" w:eastAsia="Arial" w:hAnsi="Arial"/>
                <w:sz w:val="16"/>
                <w:szCs w:val="16"/>
                <w:color w:val="auto"/>
              </w:rPr>
              <w:t>Non-cash adjustment to right-of-use assets and lease liabilities from lease terminations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(33,804)</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3"/>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Non-cash investing activity:</w:t>
            </w: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16"/>
        </w:trPr>
        <w:tc>
          <w:tcPr>
            <w:tcW w:w="8180" w:type="dxa"/>
            <w:vAlign w:val="bottom"/>
          </w:tcPr>
          <w:p>
            <w:pPr>
              <w:ind w:left="240"/>
              <w:spacing w:after="0"/>
              <w:rPr>
                <w:sz w:val="20"/>
                <w:szCs w:val="20"/>
                <w:color w:val="auto"/>
              </w:rPr>
            </w:pPr>
            <w:r>
              <w:rPr>
                <w:rFonts w:ascii="Arial" w:cs="Arial" w:eastAsia="Arial" w:hAnsi="Arial"/>
                <w:sz w:val="16"/>
                <w:szCs w:val="16"/>
                <w:color w:val="auto"/>
              </w:rPr>
              <w:t>Capital expenditures in accounts payable</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r>
      <w:tr>
        <w:trPr>
          <w:trHeight w:val="21"/>
        </w:trPr>
        <w:tc>
          <w:tcPr>
            <w:tcW w:w="8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 and operational senior living units)</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5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Pennant Group, Inc. (herein referred to as “Pennant,” the “Company,” “it,” or “its”), is a holding company with no direct operating assets, employees or revenue. The Company, through its independent operating subsidiaries, provides healthcare services across the post-acute care continuum. As of March 31, 2022, the Company’s subsidiaries operated 88 home health, hospice and home care agencies and 52 senior living communities located in Arizona, California, Colorado, Idaho, Iowa, Montana, Nevada, Oklahoma, Oregon, Texas, Utah, Washington, Wisconsin and Wyoming.</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Certain of the Company’s subsidiaries, collectively referred to as the Service Center, provide accounting, payroll, human resources, information technology, legal, risk management, and other services to the operations through contractual relationships.</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Each of the Company’s affiliated operations are operated by separate, independent subsidiaries that have their own management, employees and assets. References herein to the consolidated “Company” and “its” assets and activities is not meant to imply, nor should it be construed as meaning, that Pennant has direct operating assets, employees or revenue, or that any of the subsidiaries are operated by Pennant.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5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i w:val="1"/>
          <w:iCs w:val="1"/>
          <w:color w:val="auto"/>
        </w:rPr>
        <w:t xml:space="preserve">Basis of Presentation - </w:t>
      </w:r>
      <w:r>
        <w:rPr>
          <w:rFonts w:ascii="Arial" w:cs="Arial" w:eastAsia="Arial" w:hAnsi="Arial"/>
          <w:sz w:val="18"/>
          <w:szCs w:val="18"/>
          <w:color w:val="auto"/>
        </w:rPr>
        <w:t>The accompanying unaudited condensed consolidated financial statements of the Company (the “Interim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reflect the Company’s financial position, results of operations and cash flows of the business. The Interim Financial Statements have been prepared in accordance with accounting principles generally accepted in the United States (“GAAP”) and pursuant to the regulations of the Securities and Exchange Commission (“SEC”). Management believes that the Interim Financial Statements reflect, in all material respects, all adjustments which are of a normal and recurring nature necessary to present fairly the Company’s financial position, results of operations, and cash flows for the periods presented in conformity with GAAP. The results reported in these Interim Financial Statements are not necessarily indicative of results that may be expected for the entire year.</w:t>
      </w:r>
    </w:p>
    <w:p>
      <w:pPr>
        <w:spacing w:after="0" w:line="21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Condensed Consolidated Balance Sheet as of December 31, 2021 is derived from the Company’s annual audited Consolidated Financial Statements for the fiscal year ended December 31, 2021, which should be read in conjunction with these Interim Financial Statements. Certain information in the accompanying footnote disclosures normally included in annual financial statements was condensed or omitted for the interim periods presented in accordance with GAAP.</w:t>
      </w:r>
    </w:p>
    <w:p>
      <w:pPr>
        <w:spacing w:after="0" w:line="21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All significant intercompany transactions and balances between the various legal entities comprising the Company have been eliminated in consolidation. The Company presents noncontrolling interests within the equity section of its Condensed Consolidated Balance Sheets and the amount of consolidated net income that is attributable to the Company and the noncontrolling interest in its Condensed Consolidated Statements of Income.</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consists of various limited liability companies and corporations established to operate home health, hospice, home care, and senior living operations. The Interim Financial Statements include the accounts of all entities controlled by the Company through its ownership of a majority voting interest.</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Estimates and Assumptions - </w:t>
      </w:r>
      <w:r>
        <w:rPr>
          <w:rFonts w:ascii="Arial" w:cs="Arial" w:eastAsia="Arial" w:hAnsi="Arial"/>
          <w:sz w:val="17"/>
          <w:szCs w:val="17"/>
          <w:color w:val="auto"/>
        </w:rPr>
        <w:t>The preparation of the Interim Financial Statements in conformity with GAAP requires management to make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estimates and assumptions that affect the reported amounts of assets and liabilities and disclosure of contingent assets and liabilities at the date of the Interim Financial Statements and the reported amounts of revenue and expenses during the reporting periods. The most significant estimates in the Interim Financial Statements relate to revenue, intangible assets and goodwill, right-of-use assets and lease liabilities for leases greater than 12 months, self-insurance reserves, and income taxes. Actual results could differ from those estimates.</w:t>
      </w:r>
    </w:p>
    <w:p>
      <w:pPr>
        <w:spacing w:after="0" w:line="20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CARES Act</w:t>
      </w:r>
      <w:r>
        <w:rPr>
          <w:rFonts w:ascii="Arial" w:cs="Arial" w:eastAsia="Arial" w:hAnsi="Arial"/>
          <w:sz w:val="17"/>
          <w:szCs w:val="17"/>
          <w:color w:val="auto"/>
        </w:rPr>
        <w:t>: The Coronavirus Aid, Relief, and Economic Security Act (the “CARES Act”) was enacted on March 27, 2020 in the United States.</w:t>
      </w:r>
      <w:r>
        <w:rPr>
          <w:rFonts w:ascii="Arial" w:cs="Arial" w:eastAsia="Arial" w:hAnsi="Arial"/>
          <w:sz w:val="17"/>
          <w:szCs w:val="17"/>
          <w:i w:val="1"/>
          <w:iCs w:val="1"/>
          <w:color w:val="auto"/>
        </w:rPr>
        <w:t xml:space="preserve"> </w:t>
      </w:r>
      <w:r>
        <w:rPr>
          <w:rFonts w:ascii="Arial" w:cs="Arial" w:eastAsia="Arial" w:hAnsi="Arial"/>
          <w:sz w:val="17"/>
          <w:szCs w:val="17"/>
          <w:color w:val="auto"/>
        </w:rPr>
        <w:t>The CARES Act allowed for deferred payment of the employer-paid portion of social security taxes through the end of 2020, with 50% due on December 31, 2021 and the remainder due on December 31, 2022. The Company deferred approximately $7,836 of the employer-paid portion of social security taxes, of which $4,129 remains as of March 31, 2022 and is included in current liabilities in accrued wages and related liabilities. The CARES Act also expanded the Centers for Medicare &amp; Medicaid Services’ (“CMS”) ability to provide accelerated/advance payments intended to increase the cash flow of healthcare providers and suppliers impacted by COVID-19. During 2020, the Company applied for and received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$27,997 in funds under the Accelerated and Advance Payment (“AAP”) Program, of which $26,508 has been recouped since the start of repayment in 2021 through March 31, 2022.</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TRANSACTIONS WITH ENSIGN</w:t>
      </w:r>
    </w:p>
    <w:p>
      <w:pPr>
        <w:spacing w:after="0" w:line="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October 1, 2019, The Ensign Group, Inc. (“Ensign”) completed the separation of Pennant (the “Spin-Off”). In connection with the Spin-Off, Pennant entered into several agreements with Ensign that set forth the principal actions taken or to be taken in connection with the Spin-Off and govern the relationship of the parties following the Spin-Off. The Transitions Services Agreement with Ensign (the “Transition Services Agreement”) provided Pennant primarily administrative support. The Transitions Services Agreement expired two years from the Spin-Off date. The Company incurred costs of $643 and $988 for the three months ended March 31, 2022 and March 31, 2021, respectively that related primarily to administrative support under the Transitions Services Agreement.</w:t>
      </w:r>
    </w:p>
    <w:p>
      <w:pPr>
        <w:spacing w:after="0" w:line="2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Services included in cost of services were $574 and $868 for the three months ended March 31, 2022 and March 31, 2021, respectively. Additionally, the Company’s independent operating subsidiaries leased 32 and 31 communities from subsidiaries of Ensign under a master lease arrangement as of March 31, 2022 and March 31, 2021. See further discussion below at Note 8,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COMPUTATION OF NET INCOME PER COMMON SHARE</w:t>
      </w:r>
    </w:p>
    <w:p>
      <w:pPr>
        <w:spacing w:after="0" w:line="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Basic net income per share is computed by dividing net income attributable to stockholders of the Company by the weighted average number of outstanding common shares for the period. The computation of diluted net income per share is similar to the computation of basic net income per share except that the denominator is increased to include the number of additional common shares that would have been outstanding if the dilutive potential common shares had been issued.</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212529"/>
        </w:rPr>
        <w:t>The following table sets forth the computation of basic and diluted net income per share for the periods presented:</w:t>
      </w:r>
    </w:p>
    <w:p>
      <w:pPr>
        <w:spacing w:after="0" w:line="277" w:lineRule="exact"/>
        <w:rPr>
          <w:sz w:val="20"/>
          <w:szCs w:val="20"/>
          <w:color w:val="auto"/>
        </w:rPr>
      </w:pPr>
    </w:p>
    <w:p>
      <w:pPr>
        <w:jc w:val="center"/>
        <w:ind w:left="8780"/>
        <w:spacing w:after="0"/>
        <w:rPr>
          <w:sz w:val="20"/>
          <w:szCs w:val="20"/>
          <w:color w:val="auto"/>
        </w:rPr>
      </w:pPr>
      <w:r>
        <w:rPr>
          <w:rFonts w:ascii="Arial" w:cs="Arial" w:eastAsia="Arial" w:hAnsi="Arial"/>
          <w:sz w:val="18"/>
          <w:szCs w:val="18"/>
          <w:b w:val="1"/>
          <w:bCs w:val="1"/>
          <w:color w:val="auto"/>
        </w:rPr>
        <w:t>Three Months Ended March</w:t>
      </w:r>
    </w:p>
    <w:p>
      <w:pPr>
        <w:jc w:val="center"/>
        <w:ind w:left="8780"/>
        <w:spacing w:after="0"/>
        <w:rPr>
          <w:sz w:val="20"/>
          <w:szCs w:val="20"/>
          <w:color w:val="auto"/>
        </w:rPr>
      </w:pPr>
      <w:r>
        <w:rPr>
          <w:rFonts w:ascii="Arial" w:cs="Arial" w:eastAsia="Arial" w:hAnsi="Arial"/>
          <w:sz w:val="18"/>
          <w:szCs w:val="18"/>
          <w:b w:val="1"/>
          <w:bCs w:val="1"/>
          <w:color w:val="auto"/>
        </w:rPr>
        <w:t>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8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r>
      <w:tr>
        <w:trPr>
          <w:trHeight w:val="210"/>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88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1,158</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913</w:t>
            </w:r>
          </w:p>
        </w:tc>
      </w:tr>
      <w:tr>
        <w:trPr>
          <w:trHeight w:val="230"/>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net income/ (loss)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8800" w:type="dxa"/>
            <w:vAlign w:val="bottom"/>
          </w:tcPr>
          <w:p>
            <w:pPr>
              <w:ind w:left="480"/>
              <w:spacing w:after="0"/>
              <w:rPr>
                <w:sz w:val="20"/>
                <w:szCs w:val="20"/>
                <w:color w:val="auto"/>
              </w:rPr>
            </w:pPr>
            <w:r>
              <w:rPr>
                <w:rFonts w:ascii="Arial" w:cs="Arial" w:eastAsia="Arial" w:hAnsi="Arial"/>
                <w:sz w:val="18"/>
                <w:szCs w:val="18"/>
                <w:color w:val="auto"/>
              </w:rPr>
              <w:t>Net income attributable to The Pennant Group, Inc.</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w:t>
            </w:r>
          </w:p>
        </w:tc>
      </w:tr>
      <w:tr>
        <w:trPr>
          <w:trHeight w:val="20"/>
        </w:trPr>
        <w:tc>
          <w:tcPr>
            <w:tcW w:w="8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8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9"/>
        </w:trPr>
        <w:tc>
          <w:tcPr>
            <w:tcW w:w="880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shares outstanding for basic net income per share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28,291</w:t>
            </w:r>
          </w:p>
        </w:tc>
      </w:tr>
      <w:tr>
        <w:trPr>
          <w:trHeight w:val="230"/>
        </w:trPr>
        <w:tc>
          <w:tcPr>
            <w:tcW w:w="880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w w:val="93"/>
              </w:rPr>
              <w:t>Plus: assumed incremental shares from exercise of options and assumed conversion or vesting of restricted stock</w:t>
            </w:r>
            <w:r>
              <w:rPr>
                <w:rFonts w:ascii="Arial" w:cs="Arial" w:eastAsia="Arial" w:hAnsi="Arial"/>
                <w:sz w:val="23"/>
                <w:szCs w:val="23"/>
                <w:color w:val="auto"/>
                <w:w w:val="93"/>
                <w:vertAlign w:val="superscript"/>
              </w:rPr>
              <w:t>(a)</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2,616</w:t>
            </w:r>
          </w:p>
        </w:tc>
      </w:tr>
      <w:tr>
        <w:trPr>
          <w:trHeight w:val="223"/>
        </w:trPr>
        <w:tc>
          <w:tcPr>
            <w:tcW w:w="8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Adjusted weighted average common shares outstanding for diluted income per share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30,907</w:t>
            </w:r>
          </w:p>
        </w:tc>
      </w:tr>
      <w:tr>
        <w:trPr>
          <w:trHeight w:val="270"/>
        </w:trPr>
        <w:tc>
          <w:tcPr>
            <w:tcW w:w="8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30"/>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Share: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800" w:type="dxa"/>
            <w:vAlign w:val="bottom"/>
          </w:tcPr>
          <w:p>
            <w:pPr>
              <w:ind w:left="140"/>
              <w:spacing w:after="0"/>
              <w:rPr>
                <w:sz w:val="20"/>
                <w:szCs w:val="20"/>
                <w:color w:val="auto"/>
              </w:rPr>
            </w:pPr>
            <w:r>
              <w:rPr>
                <w:rFonts w:ascii="Arial" w:cs="Arial" w:eastAsia="Arial" w:hAnsi="Arial"/>
                <w:sz w:val="18"/>
                <w:szCs w:val="18"/>
                <w:color w:val="auto"/>
              </w:rPr>
              <w:t>Basic net income per common share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0.04</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0.03</w:t>
            </w:r>
          </w:p>
        </w:tc>
      </w:tr>
      <w:tr>
        <w:trPr>
          <w:trHeight w:val="230"/>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 net income per common share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r>
    </w:tbl>
    <w:p>
      <w:pPr>
        <w:spacing w:after="0" w:line="116" w:lineRule="exact"/>
        <w:rPr>
          <w:sz w:val="20"/>
          <w:szCs w:val="20"/>
          <w:color w:val="auto"/>
        </w:rPr>
      </w:pPr>
    </w:p>
    <w:p>
      <w:pPr>
        <w:jc w:val="both"/>
        <w:ind w:left="480" w:right="20" w:hanging="454"/>
        <w:spacing w:after="0" w:line="224" w:lineRule="auto"/>
        <w:tabs>
          <w:tab w:leader="none" w:pos="480" w:val="left"/>
        </w:tabs>
        <w:numPr>
          <w:ilvl w:val="1"/>
          <w:numId w:val="4"/>
        </w:numPr>
        <w:rPr>
          <w:rFonts w:ascii="Arial" w:cs="Arial" w:eastAsia="Arial" w:hAnsi="Arial"/>
          <w:sz w:val="14"/>
          <w:szCs w:val="14"/>
          <w:color w:val="auto"/>
        </w:rPr>
      </w:pPr>
      <w:r>
        <w:rPr>
          <w:rFonts w:ascii="Arial" w:cs="Arial" w:eastAsia="Arial" w:hAnsi="Arial"/>
          <w:sz w:val="14"/>
          <w:szCs w:val="14"/>
          <w:color w:val="auto"/>
        </w:rPr>
        <w:t>The calculation of dilutive shares outstanding excludes out-of-the-money stock options (i.e., such options’ exercise prices were greater than the average market price of our common shares for the period) because their inclusion would have been antidilutive. Options outstanding which are anti-dilutive and therefore not factored into the weighted average common shares amount above were 1,690 and 14 for the three months ended March 31, 2022 and 2021, respectively.</w:t>
      </w:r>
    </w:p>
    <w:p>
      <w:pPr>
        <w:spacing w:after="0" w:line="373" w:lineRule="exact"/>
        <w:rPr>
          <w:rFonts w:ascii="Arial" w:cs="Arial" w:eastAsia="Arial" w:hAnsi="Arial"/>
          <w:sz w:val="14"/>
          <w:szCs w:val="14"/>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 AND ACCOUNTS RECEIVABLE</w:t>
      </w:r>
    </w:p>
    <w:p>
      <w:pPr>
        <w:spacing w:after="0" w:line="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Revenue is recognized when services are provided to the patients at the amount that reflects the consideration to which the Company expects to be entitled from patients and third-party payors, including Medicaid, Medicare and managed care programs (Commercial, Medicare Advantage and Managed Medicaid plans), in exchange for providing patient care. The healthcare services in home health and hospice patient contracts include routine services in exchange for a contractual agreed-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amount or rate. Routine services are treated as a single performance obligation satisfied over time as services are rendered. As such, patient care services represent a bundle of services that are not capable of being distinct within the context of the contract. Additionally, there may be ancillary services which are not included in the rates for routine services, but instead are treated as separate performance obligations satisfied at a point in time, if and when those services are rendered.</w:t>
      </w:r>
    </w:p>
    <w:p>
      <w:pPr>
        <w:spacing w:after="0" w:line="21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Revenue recognized from healthcare services are adjusted for estimates of variable consideration to arrive at the transaction price. The Company determines the transaction price based on contractually agreed-upon amounts or rate, adjusted for estimates of variable consideration. The Company uses the expected value method in determining the variable component that should be used to arrive at the transaction price, using contractual agreements and historical reimbursement experience within each payor type. The amount of variable consideration which is included in the transaction price may be constrained, and is included in the net revenue only to the extent that it is probable that a significant reversal in the amount of the cumulative revenue recognized will not occur in a future period. If actual amounts of consideration ultimately received differ from the Company’s estimates, the Company adjusts these estimates, which would affect net service revenue in the period such variances become known.</w:t>
      </w:r>
    </w:p>
    <w:p>
      <w:pPr>
        <w:spacing w:after="0" w:line="20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Revenue from the Medicare and Medicaid programs accounted for 61.9% of the Company’s revenue, for the three months ended March 31, 2022, and 64.0% for the three months ended March 31, 2021. The Company records revenue from these governmental and managed care programs as services are performed at their expected net realizable amounts under these programs. The Company’s revenue from governmental and managed care programs is subject to audit and retroactive adjustment by governmental and third-party agencies. Consistent with healthcare industry accounting practices, any changes to these governmental revenue estimates are recorded in the period the change or adjustment becomes known based on final settlement.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disaggregates revenue from contracts with its patients by reportable operating segments and payors. The Company has determined that disaggregating revenue into these categories achieves the disclosure objectives to depict how the nature, amount, timing and uncertainty of revenue and cash flows are affected by economic factors.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service specific revenue recognition policies are as follows: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 Health Revenue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 Revenue</w:t>
      </w:r>
    </w:p>
    <w:p>
      <w:pPr>
        <w:spacing w:after="0" w:line="25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Net service revenue is recognized in accordance with the Patient Driven Groupings Model (“PDGM”). Under PDGM, Medicare provides agencies with payments for each 30-day payment period provided to beneficiaries. If a beneficiary is still eligible for care after the end of the first 30-day payment period, a second 30-day payment period can begin. There are no limits to the number of periods of care a beneficiary who remains eligible for the home health benefit can receive. While payment for each 30-day payment period is adjusted to reflect the beneficiary’s health condition and needs, a special outlier provision exists to ensure appropriate payment for those beneficiaries that have the most expensive care needs. The payment under the Medicare program is also adjusted for certain variables including, but not limited to: (a) a LUPA if the number of visits is below an established threshold that varies based on the diagnosis of a beneficiary; (b) a partial payment if the patient transferred to another provider or the Company received a patient from another provider before completing the period of care; (c) adjustment to the admission source of claim if it is determined that the patient had a qualifying stay in a post-acute care setting within 14 days prior to the start of a 30-day payment period; (d) the timing of the 30-day payment period provided to a patient in relation to the admission date, regardless of whether the same home health provider provided care for the entire series of episodes; (e) changes to the acuity of the patient during the previous 30-day payment period; (f) changes in the base payments established by the Medicare program; (g) adjustments to the base payments for case mix and geographic wages; and (h) recoveries of overpayments.</w:t>
      </w:r>
    </w:p>
    <w:p>
      <w:pPr>
        <w:spacing w:after="0" w:line="19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adjusts Medicare revenue on completed episodes to reflect differences between estimated and actual payment amounts, an inability to obtain appropriate billing documentation and other reasons unrelated to credit risk. Therefore, the Company believes that its reported net service revenue and patient accounts receivable will be the net amounts to be realized from Medicare for services rendered.</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to revenue recognized on completed episodes and periods, the Company also recognizes a portion of</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 associated with episodes and periods in progress. Episodes in progress are 30-day payment periods that begin during the reporting period but were not completed as of the end of the period. As such, the Company estimates revenue and recognizes it on a daily basis. The primary factors underlying this estimate are the number of episodes in progress at the end of the reporting period, expected Medicare revenue per period of care or episode of care and the Company’s estimate of the average percentage complete based on the scheduled end of period and end of episode dates.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Non-Medicare Revenue</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 xml:space="preserve">Episodic Based Revenue - </w:t>
      </w:r>
      <w:r>
        <w:rPr>
          <w:rFonts w:ascii="Arial" w:cs="Arial" w:eastAsia="Arial" w:hAnsi="Arial"/>
          <w:sz w:val="17"/>
          <w:szCs w:val="17"/>
          <w:color w:val="auto"/>
        </w:rPr>
        <w:t>The Company recognizes revenue in a similar manner as it recognizes Medicare revenue for episodic-based rates that</w:t>
      </w:r>
      <w:r>
        <w:rPr>
          <w:rFonts w:ascii="Arial" w:cs="Arial" w:eastAsia="Arial" w:hAnsi="Arial"/>
          <w:sz w:val="17"/>
          <w:szCs w:val="17"/>
          <w:i w:val="1"/>
          <w:iCs w:val="1"/>
          <w:color w:val="auto"/>
        </w:rPr>
        <w:t xml:space="preserve"> </w:t>
      </w:r>
      <w:r>
        <w:rPr>
          <w:rFonts w:ascii="Arial" w:cs="Arial" w:eastAsia="Arial" w:hAnsi="Arial"/>
          <w:sz w:val="17"/>
          <w:szCs w:val="17"/>
          <w:color w:val="auto"/>
        </w:rPr>
        <w:t>are paid by other insurance carriers, including Medicare Advantage programs. These rates can vary based upon the negotiated terms.</w:t>
      </w:r>
    </w:p>
    <w:p>
      <w:pPr>
        <w:spacing w:after="0" w:line="17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Non-episodic Based Revenue - </w:t>
      </w:r>
      <w:r>
        <w:rPr>
          <w:rFonts w:ascii="Arial" w:cs="Arial" w:eastAsia="Arial" w:hAnsi="Arial"/>
          <w:sz w:val="18"/>
          <w:szCs w:val="18"/>
          <w:color w:val="auto"/>
        </w:rPr>
        <w:t>Revenue is recognized on an accrual basis based upon the date of service at amounts equal to its established or</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per visit rates, as applicable.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Hospice Revenue</w:t>
      </w:r>
    </w:p>
    <w:p>
      <w:pPr>
        <w:spacing w:after="0" w:line="25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Revenue is recognized on an accrual basis based upon the date of service at amounts equal to the estimated payment rates. The estimated payment rates are calculated as daily rates for each of the levels of care the Company delivers. Revenue is adjusted for an inability to obtain appropriate billing documentation or authorizations acceptable to the payor and other reasons unrelated to credit risk. Additionally, as Medicare hospice revenue is subject to an inpatient cap and an overall payment cap, the Company monitors its provider numbers and estimates amounts due back to Medicare if a cap has been exceeded. The Company regularly evaluates and records these adjustments as a reduction to revenue and an increase to other accrued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Living Revenue</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Company has elected the lessor practical expedient within ASC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and therefore recognizes, measures, presents, and discloses the revenue for services rendered under the Company’s senior living residency agreements based upon the predominant component, either the lease or non-lease component, of the contracts. The Company has determined that the services included under the Company’s senior living residency agreements each have the same timing and pattern of transfer. The Company recognizes revenue under ASC Topic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for its senior residency agreements, for which it has determined that the non-lease components of such residency agreements are the</w:t>
      </w:r>
      <w:r>
        <w:rPr>
          <w:rFonts w:ascii="Arial" w:cs="Arial" w:eastAsia="Arial" w:hAnsi="Arial"/>
          <w:sz w:val="18"/>
          <w:szCs w:val="18"/>
          <w:i w:val="1"/>
          <w:iCs w:val="1"/>
          <w:color w:val="auto"/>
        </w:rPr>
        <w:t xml:space="preserve"> </w:t>
      </w:r>
      <w:r>
        <w:rPr>
          <w:rFonts w:ascii="Arial" w:cs="Arial" w:eastAsia="Arial" w:hAnsi="Arial"/>
          <w:sz w:val="18"/>
          <w:szCs w:val="18"/>
          <w:color w:val="auto"/>
        </w:rPr>
        <w:t>predominant component of each such contract.</w:t>
      </w:r>
    </w:p>
    <w:p>
      <w:pPr>
        <w:spacing w:after="0" w:line="21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Company’s senior living revenue consists of fees for basic housing and assisted living care. Accordingly, the Company records revenue when services are rendered on the date services are provided at amounts billable to individual residents. Residency agreements are generally for a term of 30 days, with resident fees billed monthly in advance. For residents under reimbursement arrangements with Medicaid, revenue is recorded based on contractually agreed-upon amounts or rates on a per resident, daily basis or as services are rendered.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By Payor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by payor for the three months ended March 31, 2022 and 2021, is summarized in the following tables: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0" w:type="dxa"/>
            <w:vAlign w:val="bottom"/>
            <w:tcBorders>
              <w:bottom w:val="single" w:sz="8" w:color="auto"/>
            </w:tcBorders>
            <w:gridSpan w:val="14"/>
          </w:tcPr>
          <w:p>
            <w:pPr>
              <w:ind w:left="1120"/>
              <w:spacing w:after="0"/>
              <w:rPr>
                <w:sz w:val="20"/>
                <w:szCs w:val="20"/>
                <w:color w:val="auto"/>
              </w:rPr>
            </w:pPr>
            <w:r>
              <w:rPr>
                <w:rFonts w:ascii="Arial" w:cs="Arial" w:eastAsia="Arial" w:hAnsi="Arial"/>
                <w:sz w:val="18"/>
                <w:szCs w:val="18"/>
                <w:b w:val="1"/>
                <w:bCs w:val="1"/>
                <w:color w:val="auto"/>
              </w:rPr>
              <w:t>Three Months Ended March 31, 2022</w:t>
            </w:r>
          </w:p>
        </w:tc>
        <w:tc>
          <w:tcPr>
            <w:tcW w:w="17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7"/>
          </w:tcPr>
          <w:p>
            <w:pPr>
              <w:ind w:left="180"/>
              <w:spacing w:after="0"/>
              <w:rPr>
                <w:sz w:val="20"/>
                <w:szCs w:val="20"/>
                <w:color w:val="auto"/>
              </w:rPr>
            </w:pPr>
            <w:r>
              <w:rPr>
                <w:rFonts w:ascii="Arial" w:cs="Arial" w:eastAsia="Arial" w:hAnsi="Arial"/>
                <w:sz w:val="18"/>
                <w:szCs w:val="18"/>
                <w:b w:val="1"/>
                <w:bCs w:val="1"/>
                <w:color w:val="auto"/>
              </w:rPr>
              <w:t>Home Health and Hospice Services</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180"/>
              <w:spacing w:after="0" w:line="169" w:lineRule="exact"/>
              <w:rPr>
                <w:sz w:val="20"/>
                <w:szCs w:val="20"/>
                <w:color w:val="auto"/>
              </w:rPr>
            </w:pPr>
            <w:r>
              <w:rPr>
                <w:rFonts w:ascii="Arial" w:cs="Arial" w:eastAsia="Arial" w:hAnsi="Arial"/>
                <w:sz w:val="18"/>
                <w:szCs w:val="18"/>
                <w:b w:val="1"/>
                <w:bCs w:val="1"/>
                <w:color w:val="auto"/>
                <w:w w:val="92"/>
              </w:rPr>
              <w:t>Home Health</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w w:val="96"/>
              </w:rPr>
              <w:t>Hospice Services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180"/>
              <w:spacing w:after="0" w:line="169" w:lineRule="exact"/>
              <w:rPr>
                <w:sz w:val="20"/>
                <w:szCs w:val="20"/>
                <w:color w:val="auto"/>
              </w:rPr>
            </w:pPr>
            <w:r>
              <w:rPr>
                <w:rFonts w:ascii="Arial" w:cs="Arial" w:eastAsia="Arial" w:hAnsi="Arial"/>
                <w:sz w:val="18"/>
                <w:szCs w:val="18"/>
                <w:b w:val="1"/>
                <w:bCs w:val="1"/>
                <w:color w:val="auto"/>
                <w:w w:val="92"/>
              </w:rPr>
              <w:t>Senior Living</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4"/>
            <w:vMerge w:val="restart"/>
          </w:tcPr>
          <w:p>
            <w:pPr>
              <w:ind w:left="120"/>
              <w:spacing w:after="0"/>
              <w:rPr>
                <w:sz w:val="20"/>
                <w:szCs w:val="20"/>
                <w:color w:val="auto"/>
              </w:rPr>
            </w:pPr>
            <w:r>
              <w:rPr>
                <w:rFonts w:ascii="Arial" w:cs="Arial" w:eastAsia="Arial" w:hAnsi="Arial"/>
                <w:sz w:val="18"/>
                <w:szCs w:val="18"/>
                <w:b w:val="1"/>
                <w:bCs w:val="1"/>
                <w:color w:val="auto"/>
              </w:rPr>
              <w:t>Total Revenue</w:t>
            </w:r>
          </w:p>
        </w:tc>
        <w:tc>
          <w:tcPr>
            <w:tcW w:w="1820" w:type="dxa"/>
            <w:vAlign w:val="bottom"/>
            <w:gridSpan w:val="2"/>
            <w:vMerge w:val="restart"/>
          </w:tcPr>
          <w:p>
            <w:pPr>
              <w:jc w:val="right"/>
              <w:ind w:right="460"/>
              <w:spacing w:after="0"/>
              <w:rPr>
                <w:sz w:val="20"/>
                <w:szCs w:val="20"/>
                <w:color w:val="auto"/>
              </w:rPr>
            </w:pPr>
            <w:r>
              <w:rPr>
                <w:rFonts w:ascii="Arial" w:cs="Arial" w:eastAsia="Arial" w:hAnsi="Arial"/>
                <w:sz w:val="18"/>
                <w:szCs w:val="18"/>
                <w:b w:val="1"/>
                <w:bCs w:val="1"/>
                <w:color w:val="auto"/>
              </w:rPr>
              <w:t>Revenue %</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3"/>
              </w:rPr>
              <w:t>Services</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3"/>
              </w:rPr>
              <w:t>Services</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4"/>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80" w:type="dxa"/>
            <w:vAlign w:val="bottom"/>
          </w:tcPr>
          <w:p>
            <w:pPr>
              <w:ind w:left="20"/>
              <w:spacing w:after="0"/>
              <w:rPr>
                <w:sz w:val="20"/>
                <w:szCs w:val="20"/>
                <w:color w:val="auto"/>
              </w:rPr>
            </w:pPr>
            <w:r>
              <w:rPr>
                <w:rFonts w:ascii="Arial" w:cs="Arial" w:eastAsia="Arial" w:hAnsi="Arial"/>
                <w:sz w:val="18"/>
                <w:szCs w:val="18"/>
                <w:color w:val="auto"/>
              </w:rPr>
              <w:t>Medicare</w:t>
            </w:r>
          </w:p>
        </w:tc>
        <w:tc>
          <w:tcPr>
            <w:tcW w:w="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21,357</w:t>
            </w:r>
          </w:p>
        </w:tc>
        <w:tc>
          <w:tcPr>
            <w:tcW w:w="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33,721</w:t>
            </w:r>
          </w:p>
        </w:tc>
        <w:tc>
          <w:tcPr>
            <w:tcW w:w="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55,078</w:t>
            </w:r>
          </w:p>
        </w:tc>
        <w:tc>
          <w:tcPr>
            <w:tcW w:w="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48.4 %</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Medicaid</w:t>
            </w: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2,506</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3,265</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9,623</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15,394</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13.5</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80" w:type="dxa"/>
            <w:vAlign w:val="bottom"/>
          </w:tcPr>
          <w:p>
            <w:pPr>
              <w:ind w:left="220"/>
              <w:spacing w:after="0"/>
              <w:rPr>
                <w:sz w:val="20"/>
                <w:szCs w:val="20"/>
                <w:color w:val="auto"/>
              </w:rPr>
            </w:pPr>
            <w:r>
              <w:rPr>
                <w:rFonts w:ascii="Arial" w:cs="Arial" w:eastAsia="Arial" w:hAnsi="Arial"/>
                <w:sz w:val="18"/>
                <w:szCs w:val="18"/>
                <w:color w:val="auto"/>
              </w:rPr>
              <w:t>Subtotal</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23,863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36,986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9,623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70,472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61.9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Managed care</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Private and other</w:t>
            </w:r>
            <w:r>
              <w:rPr>
                <w:rFonts w:ascii="Arial" w:cs="Arial" w:eastAsia="Arial" w:hAnsi="Arial"/>
                <w:sz w:val="23"/>
                <w:szCs w:val="23"/>
                <w:color w:val="auto"/>
                <w:vertAlign w:val="superscript"/>
              </w:rPr>
              <w:t>(a)</w:t>
            </w: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5,537</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23,812</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29,402</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25.8</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42,652</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37,823</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33,435</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113,910</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22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gridSpan w:val="14"/>
          </w:tcPr>
          <w:p>
            <w:pPr>
              <w:ind w:left="1080"/>
              <w:spacing w:after="0"/>
              <w:rPr>
                <w:sz w:val="20"/>
                <w:szCs w:val="20"/>
                <w:color w:val="auto"/>
              </w:rPr>
            </w:pPr>
            <w:r>
              <w:rPr>
                <w:rFonts w:ascii="Arial" w:cs="Arial" w:eastAsia="Arial" w:hAnsi="Arial"/>
                <w:sz w:val="18"/>
                <w:szCs w:val="18"/>
                <w:b w:val="1"/>
                <w:bCs w:val="1"/>
                <w:color w:val="auto"/>
              </w:rPr>
              <w:t>Three Months Ended March 31, 2021</w:t>
            </w:r>
          </w:p>
        </w:tc>
        <w:tc>
          <w:tcPr>
            <w:tcW w:w="17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2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6"/>
          </w:tcPr>
          <w:p>
            <w:pPr>
              <w:jc w:val="right"/>
              <w:ind w:right="270"/>
              <w:spacing w:after="0"/>
              <w:rPr>
                <w:sz w:val="20"/>
                <w:szCs w:val="20"/>
                <w:color w:val="auto"/>
              </w:rPr>
            </w:pPr>
            <w:r>
              <w:rPr>
                <w:rFonts w:ascii="Arial" w:cs="Arial" w:eastAsia="Arial" w:hAnsi="Arial"/>
                <w:sz w:val="18"/>
                <w:szCs w:val="18"/>
                <w:b w:val="1"/>
                <w:bCs w:val="1"/>
                <w:color w:val="auto"/>
                <w:w w:val="93"/>
              </w:rPr>
              <w:t>Home Health and Hospice Services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2"/>
              </w:rPr>
              <w:t>Home Health</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9"/>
              </w:rPr>
              <w:t>Hospice Services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1"/>
              </w:rPr>
              <w:t>Senior Living</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4"/>
            <w:vMerge w:val="restart"/>
          </w:tcPr>
          <w:p>
            <w:pPr>
              <w:ind w:left="60"/>
              <w:spacing w:after="0"/>
              <w:rPr>
                <w:sz w:val="20"/>
                <w:szCs w:val="20"/>
                <w:color w:val="auto"/>
              </w:rPr>
            </w:pPr>
            <w:r>
              <w:rPr>
                <w:rFonts w:ascii="Arial" w:cs="Arial" w:eastAsia="Arial" w:hAnsi="Arial"/>
                <w:sz w:val="18"/>
                <w:szCs w:val="18"/>
                <w:b w:val="1"/>
                <w:bCs w:val="1"/>
                <w:color w:val="auto"/>
              </w:rPr>
              <w:t>Total Revenue</w:t>
            </w:r>
          </w:p>
        </w:tc>
        <w:tc>
          <w:tcPr>
            <w:tcW w:w="1820" w:type="dxa"/>
            <w:vAlign w:val="bottom"/>
            <w:gridSpan w:val="2"/>
            <w:vMerge w:val="restart"/>
          </w:tcPr>
          <w:p>
            <w:pPr>
              <w:jc w:val="right"/>
              <w:ind w:right="520"/>
              <w:spacing w:after="0"/>
              <w:rPr>
                <w:sz w:val="20"/>
                <w:szCs w:val="20"/>
                <w:color w:val="auto"/>
              </w:rPr>
            </w:pPr>
            <w:r>
              <w:rPr>
                <w:rFonts w:ascii="Arial" w:cs="Arial" w:eastAsia="Arial" w:hAnsi="Arial"/>
                <w:sz w:val="18"/>
                <w:szCs w:val="18"/>
                <w:b w:val="1"/>
                <w:bCs w:val="1"/>
                <w:color w:val="auto"/>
              </w:rPr>
              <w:t>Revenue %</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Services</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Services</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4"/>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80" w:type="dxa"/>
            <w:vAlign w:val="bottom"/>
          </w:tcPr>
          <w:p>
            <w:pPr>
              <w:ind w:left="20"/>
              <w:spacing w:after="0"/>
              <w:rPr>
                <w:sz w:val="20"/>
                <w:szCs w:val="20"/>
                <w:color w:val="auto"/>
              </w:rPr>
            </w:pPr>
            <w:r>
              <w:rPr>
                <w:rFonts w:ascii="Arial" w:cs="Arial" w:eastAsia="Arial" w:hAnsi="Arial"/>
                <w:sz w:val="18"/>
                <w:szCs w:val="18"/>
                <w:color w:val="auto"/>
              </w:rPr>
              <w:t>Medicare</w:t>
            </w:r>
          </w:p>
        </w:tc>
        <w:tc>
          <w:tcPr>
            <w:tcW w:w="22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20,330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33,409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53,739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Medicaid</w:t>
            </w: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80" w:type="dxa"/>
            <w:vAlign w:val="bottom"/>
          </w:tcPr>
          <w:p>
            <w:pPr>
              <w:ind w:left="220"/>
              <w:spacing w:after="0"/>
              <w:rPr>
                <w:sz w:val="20"/>
                <w:szCs w:val="20"/>
                <w:color w:val="auto"/>
              </w:rPr>
            </w:pPr>
            <w:r>
              <w:rPr>
                <w:rFonts w:ascii="Arial" w:cs="Arial" w:eastAsia="Arial" w:hAnsi="Arial"/>
                <w:sz w:val="18"/>
                <w:szCs w:val="18"/>
                <w:color w:val="auto"/>
              </w:rPr>
              <w:t>Subtotal</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22,526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36,134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8,932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67,592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60" w:type="dxa"/>
            <w:vAlign w:val="bottom"/>
          </w:tcPr>
          <w:p>
            <w:pPr>
              <w:jc w:val="right"/>
              <w:ind w:right="130"/>
              <w:spacing w:after="0"/>
              <w:rPr>
                <w:sz w:val="20"/>
                <w:szCs w:val="20"/>
                <w:color w:val="auto"/>
              </w:rPr>
            </w:pPr>
            <w:r>
              <w:rPr>
                <w:rFonts w:ascii="Arial" w:cs="Arial" w:eastAsia="Arial" w:hAnsi="Arial"/>
                <w:sz w:val="18"/>
                <w:szCs w:val="18"/>
                <w:color w:val="auto"/>
              </w:rPr>
              <w:t>64.0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Managed care</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Private and other</w:t>
            </w:r>
            <w:r>
              <w:rPr>
                <w:rFonts w:ascii="Arial" w:cs="Arial" w:eastAsia="Arial" w:hAnsi="Arial"/>
                <w:sz w:val="23"/>
                <w:szCs w:val="23"/>
                <w:color w:val="auto"/>
                <w:vertAlign w:val="superscript"/>
              </w:rPr>
              <w:t>(a)</w:t>
            </w: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4,715</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22,124</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26,982</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37,693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36,914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31,056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105,663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480" w:hanging="454"/>
        <w:spacing w:after="0"/>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Private and other payors in our home health and hospice services segment includes revenue from all payors generated in our home care operations.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Impact</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Included in the Company’s Condensed Consolidated Balance Sheets are contract assets, comprised of billed accounts receivable and unbilled receivables, which are the result of the timing of revenue recognition, billings and cash collections, as well as, contract liabilities, which primarily represent payments the Company receives in advance of services provided. As of March 31, 2022, the Company had contract liabilities in the amount of $1,489 related to Advance Payments received in connection with the CARES Act reported in other current liabilities.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receivable, net as of March 31, 2022 and December 31, 2021 is summarized in the following table: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Borders>
              <w:bottom w:val="single" w:sz="8" w:color="CCEEFF"/>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 31, 2022</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December 31, 2021</w:t>
            </w:r>
          </w:p>
        </w:tc>
      </w:tr>
      <w:tr>
        <w:trPr>
          <w:trHeight w:val="223"/>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Medicare</w:t>
            </w:r>
          </w:p>
        </w:tc>
        <w:tc>
          <w:tcPr>
            <w:tcW w:w="1820" w:type="dxa"/>
            <w:vAlign w:val="bottom"/>
            <w:shd w:val="clear" w:color="auto" w:fill="CCEEFF"/>
          </w:tcPr>
          <w:p>
            <w:pPr>
              <w:jc w:val="right"/>
              <w:ind w:right="163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31,933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31,327</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Medicaid</w:t>
            </w:r>
          </w:p>
        </w:tc>
        <w:tc>
          <w:tcPr>
            <w:tcW w:w="18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13,136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11,793</w:t>
            </w: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Managed care</w:t>
            </w:r>
          </w:p>
        </w:tc>
        <w:tc>
          <w:tcPr>
            <w:tcW w:w="18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7,901</w:t>
            </w:r>
          </w:p>
        </w:tc>
      </w:tr>
      <w:tr>
        <w:trPr>
          <w:trHeight w:val="229"/>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Private and other</w:t>
            </w:r>
          </w:p>
        </w:tc>
        <w:tc>
          <w:tcPr>
            <w:tcW w:w="18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3,821</w:t>
            </w:r>
          </w:p>
        </w:tc>
      </w:tr>
      <w:tr>
        <w:trPr>
          <w:trHeight w:val="223"/>
        </w:trPr>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gross</w:t>
            </w:r>
          </w:p>
        </w:tc>
        <w:tc>
          <w:tcPr>
            <w:tcW w:w="18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57,786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54,842</w:t>
            </w:r>
          </w:p>
        </w:tc>
      </w:tr>
      <w:tr>
        <w:trPr>
          <w:trHeight w:val="230"/>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allowance for doubtful accounts</w:t>
            </w:r>
          </w:p>
        </w:tc>
        <w:tc>
          <w:tcPr>
            <w:tcW w:w="18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w:t>
            </w:r>
          </w:p>
        </w:tc>
      </w:tr>
      <w:tr>
        <w:trPr>
          <w:trHeight w:val="248"/>
        </w:trPr>
        <w:tc>
          <w:tcPr>
            <w:tcW w:w="6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1820" w:type="dxa"/>
            <w:vAlign w:val="bottom"/>
            <w:tcBorders>
              <w:bottom w:val="single" w:sz="8" w:color="auto"/>
            </w:tcBorders>
            <w:shd w:val="clear" w:color="auto" w:fill="CCEEFF"/>
          </w:tcPr>
          <w:p>
            <w:pPr>
              <w:jc w:val="right"/>
              <w:ind w:right="163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56,918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53,940</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Credit Risk</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has significant accounts receivable balances, the collectability of which is dependent on the availability of funds from certain governmental programs, primarily Medicare and Medicaid. These receivables represent the only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significant concentration of credit risk for the Company. The Company does not believe there are significant credit risks associated with these governmental programs. The Company believes that an appropriate allowance has been recorded for the possibility of these receivables proving uncollectible, and continually monitors and adjusts these allowances as necessary. The Company’s gross receivables from the Medicare and Medicaid programs accounted for approximately 78.0% and 78.6% of its total gross accounts receivable as of March 31, 2022 and December 31, 2021, respectively. Revenue from reimbursement under the Medicare and Medicaid programs accounted for 61.9% for the three months ended March 31, 2022, and 64.0% of the Company’s revenue for the three months ended March 31, 2021.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Practical Expedients and Exemptions</w:t>
      </w:r>
    </w:p>
    <w:p>
      <w:pPr>
        <w:spacing w:after="0" w:line="25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As the Company’s contracts have an original duration of one year or less, the Company uses the practical expedient applicable to its contracts and does not consider the time value of money. Further, because of the short duration of these contracts, the Company has not disclosed the transaction price for the remaining performance obligations as of the end of each reporting period or when the Company expects to recognize this revenue. In addition, the Company has applied the practical expedient provided by ASC 340, </w:t>
      </w:r>
      <w:r>
        <w:rPr>
          <w:rFonts w:ascii="Arial" w:cs="Arial" w:eastAsia="Arial" w:hAnsi="Arial"/>
          <w:sz w:val="16"/>
          <w:szCs w:val="16"/>
          <w:i w:val="1"/>
          <w:iCs w:val="1"/>
          <w:color w:val="auto"/>
        </w:rPr>
        <w:t>Other Assets and Deferred Costs</w:t>
      </w:r>
      <w:r>
        <w:rPr>
          <w:rFonts w:ascii="Arial" w:cs="Arial" w:eastAsia="Arial" w:hAnsi="Arial"/>
          <w:sz w:val="16"/>
          <w:szCs w:val="16"/>
          <w:color w:val="auto"/>
        </w:rPr>
        <w:t xml:space="preserve"> (“ASC 340”), and all incremental customer contract acquisition costs are expensed as they are incurred because the amortization period would have been one year or less.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BUSINESS SEGMENTS</w:t>
      </w:r>
    </w:p>
    <w:p>
      <w:pPr>
        <w:spacing w:after="0" w:line="5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 classifies its operations into the following reportable operating segments: (1) home health and hospice services, which includes the Company’s home health, hospice and home care businesses; and (2) senior living services, which includes the operation of assisted living, independent living and memory care communities. The reporting segments are business units that offer different services and are managed separately to provide greater visibility into those operations. Our Chief Executive Officer, who is our Chief Operating Decision Maker (“CODM”), reviews financial information at the operating segment level. We also report an “all other” category that includes general and administrative expense from our Service Center.</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March 31, 2022, the Company provided services through 88 affiliated home health, hospice and home care agencies, and 52 affiliated senior living operations. The Company evaluates performance and allocates capital resources to each segment based on an operating model that is designed to maximize the quality of care provided and profitability. The Company’s Service Center provides various services to all lines of business. The Company does not review assets by segment and therefore assets by segment are not disclosed below.</w:t>
      </w:r>
    </w:p>
    <w:p>
      <w:pPr>
        <w:spacing w:after="0" w:line="21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CODM uses Segment Adjusted EBITDAR from Operations as the primary measure of profit and loss for the Company's reportable segments and to compare the performance of its operations with those of its competitors. Segment Adjusted EBITDAR from Operations is net income attributable to the Company's reportable segments excluding interest expense, provision for income taxes, depreciation and amortization expense, rent, and, in order to view the operations performance on a comparable basis from period to period, certain adjustments including: (1) costs at start-up operations, (2) share-based compensation, (3) acquisition related costs, (4) redundant and nonrecurring costs associated with the Transition Services Agreement, (5) the operating results of senior living facilities transferred to Ensign, and (6) net income (loss) attributable to noncontrolling interest. General and administrative expenses are not allocated to the reportable segments, and are included as “All Other”, accordingly the segment earnings measure reported is before allocation of corporate general and administrative expenses. The Company's segment measures may be different from the calculation methods used by other companies and, therefore, comparability may be limited.</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2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tables present certain financial information regarding our reportable segments, general and administrative expenses are not allocated to the reportable segments and are included in “All Other” for the three months ended March 31, 2022 and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16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6"/>
              </w:rPr>
              <w:t>Home Health and</w:t>
            </w:r>
          </w:p>
        </w:tc>
        <w:tc>
          <w:tcPr>
            <w:tcW w:w="180" w:type="dxa"/>
            <w:vAlign w:val="bottom"/>
          </w:tcPr>
          <w:p>
            <w:pPr>
              <w:spacing w:after="0"/>
              <w:rPr>
                <w:sz w:val="17"/>
                <w:szCs w:val="17"/>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Senior Living</w:t>
            </w:r>
          </w:p>
        </w:tc>
        <w:tc>
          <w:tcPr>
            <w:tcW w:w="240" w:type="dxa"/>
            <w:vAlign w:val="bottom"/>
          </w:tcPr>
          <w:p>
            <w:pPr>
              <w:spacing w:after="0"/>
              <w:rPr>
                <w:sz w:val="17"/>
                <w:szCs w:val="17"/>
                <w:color w:val="auto"/>
              </w:rPr>
            </w:pPr>
          </w:p>
        </w:tc>
        <w:tc>
          <w:tcPr>
            <w:tcW w:w="138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All Other</w:t>
            </w:r>
          </w:p>
        </w:tc>
        <w:tc>
          <w:tcPr>
            <w:tcW w:w="340" w:type="dxa"/>
            <w:vAlign w:val="bottom"/>
          </w:tcPr>
          <w:p>
            <w:pPr>
              <w:spacing w:after="0"/>
              <w:rPr>
                <w:sz w:val="17"/>
                <w:szCs w:val="17"/>
                <w:color w:val="auto"/>
              </w:rPr>
            </w:pPr>
          </w:p>
        </w:tc>
        <w:tc>
          <w:tcPr>
            <w:tcW w:w="120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w w:val="99"/>
              </w:rPr>
              <w:t>Hospice Services</w:t>
            </w:r>
          </w:p>
        </w:tc>
        <w:tc>
          <w:tcPr>
            <w:tcW w:w="180" w:type="dxa"/>
            <w:vAlign w:val="bottom"/>
          </w:tcPr>
          <w:p>
            <w:pPr>
              <w:spacing w:after="0"/>
              <w:rPr>
                <w:sz w:val="19"/>
                <w:szCs w:val="19"/>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Services</w:t>
            </w:r>
          </w:p>
        </w:tc>
        <w:tc>
          <w:tcPr>
            <w:tcW w:w="24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March 31, 2022</w:t>
            </w: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80,475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33,435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113,910</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15,234</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Three Months Ended March 31, 2021</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105,663</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13,791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8,834</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(6,398)</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16,227</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following table provides a reconciliation of Segment Adjusted EBITDAR from Operations to income from operations: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spacing w:after="0"/>
              <w:rPr>
                <w:sz w:val="20"/>
                <w:szCs w:val="20"/>
                <w:color w:val="auto"/>
              </w:rPr>
            </w:pPr>
          </w:p>
        </w:tc>
        <w:tc>
          <w:tcPr>
            <w:tcW w:w="3380" w:type="dxa"/>
            <w:vAlign w:val="bottom"/>
            <w:tcBorders>
              <w:bottom w:val="single" w:sz="8" w:color="auto"/>
            </w:tcBorders>
            <w:gridSpan w:val="5"/>
          </w:tcPr>
          <w:p>
            <w:pPr>
              <w:jc w:val="right"/>
              <w:ind w:right="37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84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15,234</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16,227</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Depreciation and amortization</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r>
      <w:tr>
        <w:trPr>
          <w:trHeight w:val="230"/>
        </w:trPr>
        <w:tc>
          <w:tcPr>
            <w:tcW w:w="7840" w:type="dxa"/>
            <w:vAlign w:val="bottom"/>
          </w:tcPr>
          <w:p>
            <w:pPr>
              <w:ind w:left="480"/>
              <w:spacing w:after="0"/>
              <w:rPr>
                <w:sz w:val="20"/>
                <w:szCs w:val="20"/>
                <w:color w:val="auto"/>
              </w:rPr>
            </w:pPr>
            <w:r>
              <w:rPr>
                <w:rFonts w:ascii="Arial" w:cs="Arial" w:eastAsia="Arial" w:hAnsi="Arial"/>
                <w:sz w:val="18"/>
                <w:szCs w:val="18"/>
                <w:color w:val="auto"/>
              </w:rPr>
              <w:t>Rent—cost of services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10,051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9,965</w:t>
            </w:r>
          </w:p>
        </w:tc>
      </w:tr>
      <w:tr>
        <w:trPr>
          <w:trHeight w:val="229"/>
        </w:trPr>
        <w:tc>
          <w:tcPr>
            <w:tcW w:w="7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income</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Adjustments to Segment EBITDAR from Operations:</w:t>
            </w: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78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Less: Costs at start-up operations</w:t>
            </w:r>
            <w:r>
              <w:rPr>
                <w:rFonts w:ascii="Arial" w:cs="Arial" w:eastAsia="Arial" w:hAnsi="Arial"/>
                <w:sz w:val="23"/>
                <w:szCs w:val="23"/>
                <w:color w:val="auto"/>
                <w:vertAlign w:val="superscript"/>
              </w:rPr>
              <w:t>(a)</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30"/>
        </w:trPr>
        <w:tc>
          <w:tcPr>
            <w:tcW w:w="7840" w:type="dxa"/>
            <w:vAlign w:val="bottom"/>
          </w:tcPr>
          <w:p>
            <w:pPr>
              <w:ind w:left="480"/>
              <w:spacing w:after="0" w:line="230" w:lineRule="exact"/>
              <w:rPr>
                <w:sz w:val="20"/>
                <w:szCs w:val="20"/>
                <w:color w:val="auto"/>
              </w:rPr>
            </w:pPr>
            <w:r>
              <w:rPr>
                <w:rFonts w:ascii="Arial" w:cs="Arial" w:eastAsia="Arial" w:hAnsi="Arial"/>
                <w:sz w:val="18"/>
                <w:szCs w:val="18"/>
                <w:color w:val="auto"/>
              </w:rPr>
              <w:t>Share-based compensation expense</w:t>
            </w:r>
            <w:r>
              <w:rPr>
                <w:rFonts w:ascii="Arial" w:cs="Arial" w:eastAsia="Arial" w:hAnsi="Arial"/>
                <w:sz w:val="23"/>
                <w:szCs w:val="23"/>
                <w:color w:val="auto"/>
                <w:vertAlign w:val="superscript"/>
              </w:rPr>
              <w:t>(b)</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2,416</w:t>
            </w:r>
          </w:p>
        </w:tc>
      </w:tr>
      <w:tr>
        <w:trPr>
          <w:trHeight w:val="229"/>
        </w:trPr>
        <w:tc>
          <w:tcPr>
            <w:tcW w:w="784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Acquisition related costs</w:t>
            </w:r>
            <w:r>
              <w:rPr>
                <w:rFonts w:ascii="Arial" w:cs="Arial" w:eastAsia="Arial" w:hAnsi="Arial"/>
                <w:sz w:val="23"/>
                <w:szCs w:val="23"/>
                <w:color w:val="auto"/>
                <w:vertAlign w:val="superscript"/>
              </w:rPr>
              <w:t>(c)</w:t>
            </w:r>
          </w:p>
        </w:tc>
        <w:tc>
          <w:tcPr>
            <w:tcW w:w="10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7840" w:type="dxa"/>
            <w:vAlign w:val="bottom"/>
          </w:tcPr>
          <w:p>
            <w:pPr>
              <w:ind w:left="460"/>
              <w:spacing w:after="0" w:line="230" w:lineRule="exact"/>
              <w:rPr>
                <w:sz w:val="20"/>
                <w:szCs w:val="20"/>
                <w:color w:val="auto"/>
              </w:rPr>
            </w:pPr>
            <w:r>
              <w:rPr>
                <w:rFonts w:ascii="Arial" w:cs="Arial" w:eastAsia="Arial" w:hAnsi="Arial"/>
                <w:sz w:val="18"/>
                <w:szCs w:val="18"/>
                <w:color w:val="auto"/>
              </w:rPr>
              <w:t>Transition services costs</w:t>
            </w:r>
            <w:r>
              <w:rPr>
                <w:rFonts w:ascii="Arial" w:cs="Arial" w:eastAsia="Arial" w:hAnsi="Arial"/>
                <w:sz w:val="23"/>
                <w:szCs w:val="23"/>
                <w:color w:val="auto"/>
                <w:vertAlign w:val="superscript"/>
              </w:rPr>
              <w:t>(d)</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902</w:t>
            </w:r>
          </w:p>
        </w:tc>
      </w:tr>
      <w:tr>
        <w:trPr>
          <w:trHeight w:val="230"/>
        </w:trPr>
        <w:tc>
          <w:tcPr>
            <w:tcW w:w="784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Operating results of transferred senior living facilities</w:t>
            </w:r>
            <w:r>
              <w:rPr>
                <w:rFonts w:ascii="Arial" w:cs="Arial" w:eastAsia="Arial" w:hAnsi="Arial"/>
                <w:sz w:val="23"/>
                <w:szCs w:val="23"/>
                <w:color w:val="auto"/>
                <w:vertAlign w:val="superscript"/>
              </w:rPr>
              <w:t>(e)</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 Net income/(loss) attributable to noncontrolling interest</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Condensed Consolidated Income from Operations</w:t>
            </w: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Represents results related to start-up operations. This amount excludes rent and depreciation and amortization expense related to such operations.</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Share-based compensation expense incurred which is included in cost of services and general and administrative expense.</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Acquisition related costs related to business combinations during the periods.</w:t>
      </w:r>
    </w:p>
    <w:p>
      <w:pPr>
        <w:spacing w:after="0" w:line="28" w:lineRule="exact"/>
        <w:rPr>
          <w:sz w:val="20"/>
          <w:szCs w:val="20"/>
          <w:color w:val="auto"/>
        </w:rPr>
      </w:pPr>
    </w:p>
    <w:p>
      <w:pPr>
        <w:jc w:val="both"/>
        <w:ind w:left="480" w:right="340" w:hanging="323"/>
        <w:spacing w:after="0" w:line="224" w:lineRule="auto"/>
        <w:rPr>
          <w:sz w:val="20"/>
          <w:szCs w:val="20"/>
          <w:color w:val="auto"/>
        </w:rPr>
      </w:pPr>
      <w:r>
        <w:rPr>
          <w:rFonts w:ascii="Arial" w:cs="Arial" w:eastAsia="Arial" w:hAnsi="Arial"/>
          <w:sz w:val="14"/>
          <w:szCs w:val="14"/>
          <w:color w:val="auto"/>
        </w:rPr>
        <w:t>Costs identified as redundant or nonrecurring incurred by the Company as a result of the Spin-off. The 2021 amounts represents part of the costs incurred under the Transition Services Agreement. All amounts are included in general and administrative expense. Fees incurred under the Transition Services Agreement were $988 for the three months ended March 31, 2021.</w:t>
      </w:r>
    </w:p>
    <w:p>
      <w:pPr>
        <w:spacing w:after="0" w:line="22" w:lineRule="exact"/>
        <w:rPr>
          <w:sz w:val="20"/>
          <w:szCs w:val="20"/>
          <w:color w:val="auto"/>
        </w:rPr>
      </w:pPr>
    </w:p>
    <w:p>
      <w:pPr>
        <w:jc w:val="both"/>
        <w:ind w:left="480" w:right="340" w:hanging="323"/>
        <w:spacing w:after="0" w:line="277" w:lineRule="auto"/>
        <w:rPr>
          <w:sz w:val="20"/>
          <w:szCs w:val="20"/>
          <w:color w:val="auto"/>
        </w:rPr>
      </w:pPr>
      <w:r>
        <w:rPr>
          <w:rFonts w:ascii="Arial" w:cs="Arial" w:eastAsia="Arial" w:hAnsi="Arial"/>
          <w:sz w:val="13"/>
          <w:szCs w:val="13"/>
          <w:color w:val="auto"/>
        </w:rPr>
        <w:t>On January 27, 2022, affiliates of the Company, entered into certain operations transfer agreements (collectively, the “Transfer Agreements”) with affiliates of Ensign, providing for the transfer of the operations of certain senior living communities (the “Transaction”) from affiliates of the Company to affiliates of Ensign. The closing of the Transaction was completed in two phases with the transfer of two operations on March 1, 2022 and the remainder transferred on April 1, 2022. The amount above represents the net impact on revenue and cost of service attributable to the all of the transferred entities. This amount excludes rent and depreciation and amortization expense related to such operations.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ACQUISITIONS</w:t>
      </w:r>
    </w:p>
    <w:p>
      <w:pPr>
        <w:spacing w:after="0" w:line="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acquisition focus is to purchase or lease operations that are complementary to the Company’s current businesses, accretive to the Company’s business or otherwise advance the Company’s strategy. The results of all the Company’s independent operating subsidiaries are included in the Interim Financial Statements subsequent to the date of acquisition. Acquisitions are accounted for using the acquisition method of accounting. During the three months ended March 31, 2022 the Company did not acquire any new operations.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Acquisitions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three months ended March 31, 2021, the Company expanded its operations with the addition of two home health and two hospice agencies. The aggregate purchase price for these acquisitions was $3,685. A subsidiary of the Company entered into a separate operations transfer agreement with the prior operator of each acquired operation as part of each transaction.</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The fair value of assets for home health acquisitions was mostly concentrated in goodwill and as such, these transactions were classified as business combinations in accordance with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The purchase price for the business combinations was $3,100, which consisted of equipment and other assets of $39, goodwill of $1,735, and indefinite-lived intangible assets of $1,326 related to Medicare and Medicaid licenses. The Company anticipates that the total goodwill recognized will be fully deductible for tax purposes. There were no material acquisition costs that were expensed related to the business combinations during the three months ended March 31, 2021.</w:t>
      </w:r>
    </w:p>
    <w:p>
      <w:pPr>
        <w:spacing w:after="0" w:line="20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hospice agencies were acquired Medicare licenses and are considered asset acquisitions. The fair value of assets for the hospice licenses acquired totaled $585 and was allocated to indefinite-lived intangible assets.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Subsequent to March 31, 2022, the Company announced it closed on the acquisition of a home health provider that will provide services in Bozeman, Montana. The purchase price for the home health agency was $775. As of the date of this report, the preliminary allocation of the purchase price for the acquisition was not completed as necessary valuation information was not yet available. As such, the determination regarding whether the acquisition should be classified as a business combination or an asset acquisitions under ASC 805 will be determined upon completion of the allocation of the purchase price.</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r>
              <w:rPr>
                <w:rFonts w:ascii="Arial" w:cs="Arial" w:eastAsia="Arial" w:hAnsi="Arial"/>
                <w:sz w:val="18"/>
                <w:szCs w:val="18"/>
                <w:b w:val="1"/>
                <w:bCs w:val="1"/>
                <w:color w:val="auto"/>
              </w:rPr>
              <w:t>8. PROPERTY AND EQUIPMENT—NET</w:t>
            </w: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56"/>
        </w:trPr>
        <w:tc>
          <w:tcPr>
            <w:tcW w:w="7180" w:type="dxa"/>
            <w:vAlign w:val="bottom"/>
          </w:tcPr>
          <w:p>
            <w:pPr>
              <w:ind w:left="660"/>
              <w:spacing w:after="0"/>
              <w:rPr>
                <w:sz w:val="20"/>
                <w:szCs w:val="20"/>
                <w:color w:val="auto"/>
              </w:rPr>
            </w:pPr>
            <w:r>
              <w:rPr>
                <w:rFonts w:ascii="Arial" w:cs="Arial" w:eastAsia="Arial" w:hAnsi="Arial"/>
                <w:sz w:val="18"/>
                <w:szCs w:val="18"/>
                <w:color w:val="auto"/>
              </w:rPr>
              <w:t>Property and equipment, net consist of the following:</w:t>
            </w:r>
          </w:p>
        </w:tc>
        <w:tc>
          <w:tcPr>
            <w:tcW w:w="2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256"/>
        </w:trPr>
        <w:tc>
          <w:tcPr>
            <w:tcW w:w="7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2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2022</w:t>
            </w:r>
          </w:p>
        </w:tc>
        <w:tc>
          <w:tcPr>
            <w:tcW w:w="200" w:type="dxa"/>
            <w:vAlign w:val="bottom"/>
          </w:tcPr>
          <w:p>
            <w:pPr>
              <w:spacing w:after="0"/>
              <w:rPr>
                <w:sz w:val="22"/>
                <w:szCs w:val="22"/>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2021</w:t>
            </w: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12,507</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11,660</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22,415</w:t>
            </w:r>
          </w:p>
        </w:tc>
      </w:tr>
      <w:tr>
        <w:trPr>
          <w:trHeight w:val="230"/>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Furniture and fixtures</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w:t>
            </w:r>
          </w:p>
        </w:tc>
      </w:tr>
      <w:tr>
        <w:trPr>
          <w:trHeight w:val="223"/>
        </w:trPr>
        <w:tc>
          <w:tcPr>
            <w:tcW w:w="7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35,274</w:t>
            </w:r>
          </w:p>
        </w:tc>
      </w:tr>
      <w:tr>
        <w:trPr>
          <w:trHeight w:val="230"/>
        </w:trPr>
        <w:tc>
          <w:tcPr>
            <w:tcW w:w="7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accumulated depreciation</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(19,601)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(18,486)</w:t>
            </w:r>
          </w:p>
        </w:tc>
      </w:tr>
      <w:tr>
        <w:trPr>
          <w:trHeight w:val="248"/>
        </w:trPr>
        <w:tc>
          <w:tcPr>
            <w:tcW w:w="7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16,788</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was $1,114 and $1,171 for the three months ended March 31, 2022 and 2021, respectively.</w:t>
      </w:r>
    </w:p>
    <w:p>
      <w:pPr>
        <w:spacing w:after="0" w:line="25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7"/>
          <w:szCs w:val="17"/>
          <w:color w:val="auto"/>
        </w:rPr>
        <w:t>The Company measures certain assets at fair value on a non-recurring basis, including long-lived assets, which are evaluated for impairment. Long-lived assets include assets such as property and equipment, operating lease assets and certain intangible assets. The inputs used to determine the fair value of long-lived assets and a reporting unit are considered Level 3 measurements due to their subjective nature. Management has evaluated its long-lived assets and determined there was no impairment during the three months ended March 31, 2022 and 2021.</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 AND OTHER INDEFINITE-LIVED INTANGIBLE ASSETS</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represents activity in goodwill by segment for the three months ended March 31, 2022:</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Home Health and</w:t>
            </w:r>
          </w:p>
        </w:tc>
        <w:tc>
          <w:tcPr>
            <w:tcW w:w="202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w w:val="98"/>
              </w:rPr>
              <w:t>Senior Living Services</w:t>
            </w:r>
          </w:p>
        </w:tc>
        <w:tc>
          <w:tcPr>
            <w:tcW w:w="440" w:type="dxa"/>
            <w:vAlign w:val="bottom"/>
          </w:tcPr>
          <w:p>
            <w:pPr>
              <w:spacing w:after="0"/>
              <w:rPr>
                <w:sz w:val="18"/>
                <w:szCs w:val="18"/>
                <w:color w:val="auto"/>
              </w:rPr>
            </w:pPr>
          </w:p>
        </w:tc>
        <w:tc>
          <w:tcPr>
            <w:tcW w:w="1500" w:type="dxa"/>
            <w:vAlign w:val="bottom"/>
            <w:vMerge w:val="restart"/>
          </w:tcPr>
          <w:p>
            <w:pPr>
              <w:jc w:val="right"/>
              <w:ind w:right="6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5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Hospice Services</w:t>
            </w:r>
          </w:p>
        </w:tc>
        <w:tc>
          <w:tcPr>
            <w:tcW w:w="2020" w:type="dxa"/>
            <w:vAlign w:val="bottom"/>
            <w:gridSpan w:val="3"/>
            <w:vMerge w:val="continue"/>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Arial" w:cs="Arial" w:eastAsia="Arial" w:hAnsi="Arial"/>
                <w:sz w:val="18"/>
                <w:szCs w:val="18"/>
                <w:color w:val="auto"/>
              </w:rPr>
              <w:t>December 31, 2021</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70,623</w:t>
            </w:r>
          </w:p>
        </w:tc>
        <w:tc>
          <w:tcPr>
            <w:tcW w:w="100" w:type="dxa"/>
            <w:vAlign w:val="bottom"/>
          </w:tcPr>
          <w:p>
            <w:pPr>
              <w:spacing w:after="0"/>
              <w:rPr>
                <w:sz w:val="19"/>
                <w:szCs w:val="19"/>
                <w:color w:val="auto"/>
              </w:rPr>
            </w:pPr>
          </w:p>
        </w:tc>
        <w:tc>
          <w:tcPr>
            <w:tcW w:w="78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3,642</w:t>
            </w:r>
          </w:p>
        </w:tc>
        <w:tc>
          <w:tcPr>
            <w:tcW w:w="100" w:type="dxa"/>
            <w:vAlign w:val="bottom"/>
          </w:tcPr>
          <w:p>
            <w:pPr>
              <w:spacing w:after="0"/>
              <w:rPr>
                <w:sz w:val="19"/>
                <w:szCs w:val="19"/>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74,265</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w:t>
            </w:r>
          </w:p>
        </w:tc>
        <w:tc>
          <w:tcPr>
            <w:tcW w:w="2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Arial" w:cs="Arial" w:eastAsia="Arial" w:hAnsi="Arial"/>
                <w:sz w:val="18"/>
                <w:szCs w:val="18"/>
                <w:color w:val="auto"/>
              </w:rPr>
              <w:t>March 31, 2022</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70,623</w:t>
            </w:r>
          </w:p>
        </w:tc>
        <w:tc>
          <w:tcPr>
            <w:tcW w:w="1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3,642</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74,265</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80" w:type="dxa"/>
            <w:vAlign w:val="bottom"/>
          </w:tcPr>
          <w:p>
            <w:pPr>
              <w:ind w:left="660"/>
              <w:spacing w:after="0"/>
              <w:rPr>
                <w:sz w:val="20"/>
                <w:szCs w:val="20"/>
                <w:color w:val="auto"/>
              </w:rPr>
            </w:pPr>
            <w:r>
              <w:rPr>
                <w:rFonts w:ascii="Arial" w:cs="Arial" w:eastAsia="Arial" w:hAnsi="Arial"/>
                <w:sz w:val="18"/>
                <w:szCs w:val="18"/>
                <w:color w:val="auto"/>
              </w:rPr>
              <w:t>Other indefinite-lived intangible assets consist of the following:</w:t>
            </w: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99"/>
        </w:trPr>
        <w:tc>
          <w:tcPr>
            <w:tcW w:w="7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2022</w:t>
            </w:r>
          </w:p>
        </w:tc>
        <w:tc>
          <w:tcPr>
            <w:tcW w:w="180" w:type="dxa"/>
            <w:vAlign w:val="bottom"/>
          </w:tcPr>
          <w:p>
            <w:pPr>
              <w:spacing w:after="0"/>
              <w:rPr>
                <w:sz w:val="24"/>
                <w:szCs w:val="24"/>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 2021</w:t>
            </w: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color w:val="auto"/>
              </w:rPr>
              <w:t>Trade name</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1,355</w:t>
            </w: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Medicare and Medicaid licenses</w:t>
            </w: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52,375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52,375</w:t>
            </w:r>
          </w:p>
        </w:tc>
      </w:tr>
      <w:tr>
        <w:trPr>
          <w:trHeight w:val="223"/>
        </w:trPr>
        <w:tc>
          <w:tcPr>
            <w:tcW w:w="7280" w:type="dxa"/>
            <w:vAlign w:val="bottom"/>
          </w:tcPr>
          <w:p>
            <w:pPr>
              <w:ind w:left="2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53,730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53,730</w:t>
            </w:r>
          </w:p>
        </w:tc>
      </w:tr>
      <w:tr>
        <w:trPr>
          <w:trHeight w:val="20"/>
        </w:trPr>
        <w:tc>
          <w:tcPr>
            <w:tcW w:w="7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goodwill or intangible asset impairments were recorded during the three months ended March 31, 2022 and 2021.</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OTHER ACCRUED LIABILITIES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ind w:left="660"/>
              <w:spacing w:after="0"/>
              <w:rPr>
                <w:sz w:val="20"/>
                <w:szCs w:val="20"/>
                <w:color w:val="auto"/>
              </w:rPr>
            </w:pPr>
            <w:r>
              <w:rPr>
                <w:rFonts w:ascii="Arial" w:cs="Arial" w:eastAsia="Arial" w:hAnsi="Arial"/>
                <w:sz w:val="18"/>
                <w:szCs w:val="18"/>
                <w:color w:val="auto"/>
              </w:rPr>
              <w:t>Other accrued liabilities consist of the following:</w:t>
            </w:r>
          </w:p>
        </w:tc>
        <w:tc>
          <w:tcPr>
            <w:tcW w:w="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500"/>
        </w:trPr>
        <w:tc>
          <w:tcPr>
            <w:tcW w:w="6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0" w:type="dxa"/>
            <w:vAlign w:val="bottom"/>
            <w:gridSpan w:val="2"/>
          </w:tcPr>
          <w:p>
            <w:pPr>
              <w:ind w:left="200"/>
              <w:spacing w:after="0"/>
              <w:rPr>
                <w:sz w:val="20"/>
                <w:szCs w:val="20"/>
                <w:color w:val="auto"/>
              </w:rPr>
            </w:pPr>
            <w:r>
              <w:rPr>
                <w:rFonts w:ascii="Arial" w:cs="Arial" w:eastAsia="Arial" w:hAnsi="Arial"/>
                <w:sz w:val="18"/>
                <w:szCs w:val="18"/>
                <w:b w:val="1"/>
                <w:bCs w:val="1"/>
                <w:color w:val="auto"/>
              </w:rPr>
              <w:t>March 31, 2022</w:t>
            </w:r>
          </w:p>
        </w:tc>
        <w:tc>
          <w:tcPr>
            <w:tcW w:w="240" w:type="dxa"/>
            <w:vAlign w:val="bottom"/>
          </w:tcPr>
          <w:p>
            <w:pPr>
              <w:spacing w:after="0"/>
              <w:rPr>
                <w:sz w:val="24"/>
                <w:szCs w:val="24"/>
                <w:color w:val="auto"/>
              </w:rPr>
            </w:pPr>
          </w:p>
        </w:tc>
        <w:tc>
          <w:tcPr>
            <w:tcW w:w="194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December 31, 2021</w:t>
            </w: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Refunds payable</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3,515</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3,095</w:t>
            </w: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w:t>
            </w: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Contract Liabilities (CARES Act advance payments)</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1,489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6,211</w:t>
            </w: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 deposits</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5,111</w:t>
            </w: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Property taxes</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1,102</w:t>
            </w: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self-insurance liabilities - current portion</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r>
      <w:tr>
        <w:trPr>
          <w:trHeight w:val="229"/>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2,896</w:t>
            </w:r>
          </w:p>
        </w:tc>
      </w:tr>
      <w:tr>
        <w:trPr>
          <w:trHeight w:val="248"/>
        </w:trPr>
        <w:tc>
          <w:tcPr>
            <w:tcW w:w="6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accrued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21,484</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Refunds payable includes payables related to overpayments, duplicate payments and credit balances from various payor sources. Deferred revenue occurs when the Company receives payments in advance of services provided. Resident deposits include refundable deposits to residents and a small portion consists of non-refundable deposits recognized into revenue over a period of time.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r>
              <w:rPr>
                <w:rFonts w:ascii="Arial" w:cs="Arial" w:eastAsia="Arial" w:hAnsi="Arial"/>
                <w:sz w:val="18"/>
                <w:szCs w:val="18"/>
                <w:b w:val="1"/>
                <w:bCs w:val="1"/>
                <w:color w:val="auto"/>
              </w:rPr>
              <w:t>11. DEBT</w:t>
            </w: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56"/>
        </w:trPr>
        <w:tc>
          <w:tcPr>
            <w:tcW w:w="6640" w:type="dxa"/>
            <w:vAlign w:val="bottom"/>
          </w:tcPr>
          <w:p>
            <w:pPr>
              <w:ind w:left="660"/>
              <w:spacing w:after="0"/>
              <w:rPr>
                <w:sz w:val="20"/>
                <w:szCs w:val="20"/>
                <w:color w:val="auto"/>
              </w:rPr>
            </w:pPr>
            <w:r>
              <w:rPr>
                <w:rFonts w:ascii="Arial" w:cs="Arial" w:eastAsia="Arial" w:hAnsi="Arial"/>
                <w:sz w:val="18"/>
                <w:szCs w:val="18"/>
                <w:color w:val="auto"/>
              </w:rPr>
              <w:t>Long-term debt, net consists of the following:</w:t>
            </w:r>
          </w:p>
        </w:tc>
        <w:tc>
          <w:tcPr>
            <w:tcW w:w="3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0" w:type="dxa"/>
            <w:vAlign w:val="bottom"/>
          </w:tcPr>
          <w:p>
            <w:pPr>
              <w:spacing w:after="0"/>
              <w:rPr>
                <w:sz w:val="22"/>
                <w:szCs w:val="22"/>
                <w:color w:val="auto"/>
              </w:rPr>
            </w:pPr>
          </w:p>
        </w:tc>
      </w:tr>
      <w:tr>
        <w:trPr>
          <w:trHeight w:val="256"/>
        </w:trPr>
        <w:tc>
          <w:tcPr>
            <w:tcW w:w="6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40" w:type="dxa"/>
            <w:vAlign w:val="bottom"/>
            <w:gridSpan w:val="2"/>
          </w:tcPr>
          <w:p>
            <w:pPr>
              <w:ind w:left="220"/>
              <w:spacing w:after="0"/>
              <w:rPr>
                <w:sz w:val="20"/>
                <w:szCs w:val="20"/>
                <w:color w:val="auto"/>
              </w:rPr>
            </w:pPr>
            <w:r>
              <w:rPr>
                <w:rFonts w:ascii="Arial" w:cs="Arial" w:eastAsia="Arial" w:hAnsi="Arial"/>
                <w:sz w:val="18"/>
                <w:szCs w:val="18"/>
                <w:b w:val="1"/>
                <w:bCs w:val="1"/>
                <w:color w:val="auto"/>
              </w:rPr>
              <w:t>March 31, 2022</w:t>
            </w:r>
          </w:p>
        </w:tc>
        <w:tc>
          <w:tcPr>
            <w:tcW w:w="240" w:type="dxa"/>
            <w:vAlign w:val="bottom"/>
          </w:tcPr>
          <w:p>
            <w:pPr>
              <w:spacing w:after="0"/>
              <w:rPr>
                <w:sz w:val="22"/>
                <w:szCs w:val="22"/>
                <w:color w:val="auto"/>
              </w:rPr>
            </w:pPr>
          </w:p>
        </w:tc>
        <w:tc>
          <w:tcPr>
            <w:tcW w:w="2000" w:type="dxa"/>
            <w:vAlign w:val="bottom"/>
          </w:tcPr>
          <w:p>
            <w:pPr>
              <w:ind w:left="160"/>
              <w:spacing w:after="0"/>
              <w:rPr>
                <w:sz w:val="20"/>
                <w:szCs w:val="20"/>
                <w:color w:val="auto"/>
              </w:rPr>
            </w:pPr>
            <w:r>
              <w:rPr>
                <w:rFonts w:ascii="Arial" w:cs="Arial" w:eastAsia="Arial" w:hAnsi="Arial"/>
                <w:sz w:val="18"/>
                <w:szCs w:val="18"/>
                <w:b w:val="1"/>
                <w:bCs w:val="1"/>
                <w:color w:val="auto"/>
              </w:rPr>
              <w:t>December 31, 2021</w:t>
            </w:r>
          </w:p>
        </w:tc>
      </w:tr>
      <w:tr>
        <w:trPr>
          <w:trHeight w:val="223"/>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shd w:val="clear" w:color="auto" w:fill="CCEEFF"/>
          </w:tcPr>
          <w:p>
            <w:pPr>
              <w:ind w:left="1360"/>
              <w:spacing w:after="0"/>
              <w:rPr>
                <w:sz w:val="20"/>
                <w:szCs w:val="20"/>
                <w:color w:val="auto"/>
              </w:rPr>
            </w:pPr>
            <w:r>
              <w:rPr>
                <w:rFonts w:ascii="Arial" w:cs="Arial" w:eastAsia="Arial" w:hAnsi="Arial"/>
                <w:sz w:val="18"/>
                <w:szCs w:val="18"/>
                <w:color w:val="auto"/>
              </w:rPr>
              <w:t>58,500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tcBorders>
            <w:shd w:val="clear" w:color="auto" w:fill="CCEEFF"/>
          </w:tcPr>
          <w:p>
            <w:pPr>
              <w:ind w:left="1440"/>
              <w:spacing w:after="0"/>
              <w:rPr>
                <w:sz w:val="20"/>
                <w:szCs w:val="20"/>
                <w:color w:val="auto"/>
              </w:rPr>
            </w:pPr>
            <w:r>
              <w:rPr>
                <w:rFonts w:ascii="Arial" w:cs="Arial" w:eastAsia="Arial" w:hAnsi="Arial"/>
                <w:sz w:val="18"/>
                <w:szCs w:val="18"/>
                <w:color w:val="auto"/>
                <w:w w:val="98"/>
              </w:rPr>
              <w:t>53,500</w:t>
            </w:r>
          </w:p>
        </w:tc>
      </w:tr>
      <w:tr>
        <w:trPr>
          <w:trHeight w:val="230"/>
        </w:trPr>
        <w:tc>
          <w:tcPr>
            <w:tcW w:w="664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Less: unamortized debt issuance costs</w:t>
            </w:r>
            <w:r>
              <w:rPr>
                <w:rFonts w:ascii="Arial" w:cs="Arial" w:eastAsia="Arial" w:hAnsi="Arial"/>
                <w:sz w:val="23"/>
                <w:szCs w:val="23"/>
                <w:color w:val="auto"/>
                <w:vertAlign w:val="superscript"/>
              </w:rPr>
              <w:t>(a)</w:t>
            </w: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w w:val="94"/>
              </w:rPr>
              <w:t>(1,999)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w w:val="94"/>
              </w:rPr>
              <w:t>(2,128)</w:t>
            </w: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ind w:left="1360"/>
              <w:spacing w:after="0"/>
              <w:rPr>
                <w:sz w:val="20"/>
                <w:szCs w:val="20"/>
                <w:color w:val="auto"/>
              </w:rPr>
            </w:pPr>
            <w:r>
              <w:rPr>
                <w:rFonts w:ascii="Arial" w:cs="Arial" w:eastAsia="Arial" w:hAnsi="Arial"/>
                <w:sz w:val="18"/>
                <w:szCs w:val="18"/>
                <w:color w:val="auto"/>
              </w:rPr>
              <w:t>56,501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ind w:left="1440"/>
              <w:spacing w:after="0"/>
              <w:rPr>
                <w:sz w:val="20"/>
                <w:szCs w:val="20"/>
                <w:color w:val="auto"/>
              </w:rPr>
            </w:pPr>
            <w:r>
              <w:rPr>
                <w:rFonts w:ascii="Arial" w:cs="Arial" w:eastAsia="Arial" w:hAnsi="Arial"/>
                <w:sz w:val="18"/>
                <w:szCs w:val="18"/>
                <w:color w:val="auto"/>
                <w:w w:val="98"/>
              </w:rPr>
              <w:t>51,372</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480" w:right="20" w:hanging="454"/>
        <w:spacing w:after="0" w:line="273" w:lineRule="auto"/>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Amortization expense for debt issuance costs was $129 and $87 for the three months ended March 31, 2022 and 2021, respectively, and is recorded in interest expense, net on the Condensed Consolidated Statements of Income.</w:t>
      </w:r>
    </w:p>
    <w:p>
      <w:pPr>
        <w:spacing w:after="0" w:line="32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February 23, 2021, Pennant entered into an amendment to its existing credit agreement (as amended, the “Credit Agreement”), which provides for an increased revolving credit facility with a syndicate of banks with a borrowing capacity of $150,000 (the “Revolving Credit Facility”). The interest rates applicable to loans under the Revolving Credit Facility are, at the Company’s election, either (i) Adjusted LIBOR (as defined in the Credit Agreement) plus a margin ranging from 2.3% to 3.3% per annum or (ii) Base Rate plus a margin ranging from 1.3% to 2.3% per annum, in each case, based on the ratio of Consolidated Total Net Debt to Consolidated EBITDA (each, as defined in the Credit Agreement). In addition, Pennant pays a commitment fee on the undrawn portion of the commitments under the Revolving Credit Facility which ranges from 0.35% to 0.50% per annum, depending on the Consolidated Total Net Debt to Consolidated EBITDA ratio of the Company and its subsidiaries. The Company is not required to repay any loans under the Credit Agreement prior to maturity in 2026, other than to the extent the outstanding borrowings exceed the aggregate commitments under the Credit Agreement. As of March 31, 2022, the Company’s weighted average interest rate on its outstanding debt was 3.04%. As of March 31, 2022, the Company had available borrowing on the Revolving Credit Facility of $87,314, which is net of outstanding letters of credit of $4,186.</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of the Revolving Credit Facility approximates carrying value, due to the short-term nature and variable interest rates. The fair value of this debt is categorized within Level 2 of the fair value hierarchy based on the observable market borrowing rates.</w:t>
      </w:r>
    </w:p>
    <w:p>
      <w:pPr>
        <w:spacing w:after="0" w:line="1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Credit Agreement is guaranteed, jointly and severally, by certain of the Company’s independent operating subsidiaries, and is secured by a pledge of stock of the Company's material independent operating subsidiaries as well as a first lien on substantially all of each material operating subsidiary's personal property. The Credit Agreement contains customary covenants that, among other things, restrict, subject to certain exceptions, the ability of the Company and its independent operating subsidiaries to grant liens on their assets, incur indebtedness, sell assets, make investments, engage in acquisitions, mergers or consolidations, amend certain material agreements and pay certain dividends and other restricted payments. Financial covenants require compliance with certain levels of leverage ratios that impact the amount of interest. As of March 31, 2022, the Company was compliant with all such financial covenants.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OPTIONS AND AWARDS</w:t>
      </w:r>
    </w:p>
    <w:p>
      <w:pPr>
        <w:spacing w:after="0" w:line="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212529"/>
        </w:rPr>
        <w:t xml:space="preserve">Outstanding options held by employees of the Company under the </w:t>
      </w:r>
      <w:r>
        <w:rPr>
          <w:rFonts w:ascii="Arial" w:cs="Arial" w:eastAsia="Arial" w:hAnsi="Arial"/>
          <w:sz w:val="18"/>
          <w:szCs w:val="18"/>
          <w:color w:val="000000"/>
        </w:rPr>
        <w:t>Ensign stock plans (collectively the “Ensign Plans”) and outstanding options</w:t>
      </w:r>
      <w:r>
        <w:rPr>
          <w:rFonts w:ascii="Arial" w:cs="Arial" w:eastAsia="Arial" w:hAnsi="Arial"/>
          <w:sz w:val="18"/>
          <w:szCs w:val="18"/>
          <w:color w:val="212529"/>
        </w:rPr>
        <w:t xml:space="preserve"> </w:t>
      </w:r>
      <w:r>
        <w:rPr>
          <w:rFonts w:ascii="Arial" w:cs="Arial" w:eastAsia="Arial" w:hAnsi="Arial"/>
          <w:sz w:val="18"/>
          <w:szCs w:val="18"/>
          <w:color w:val="000000"/>
        </w:rPr>
        <w:t xml:space="preserve">and restricted stock awards under the Company Subsidiary Equity Plan (together with the Ensign Plans the “Pre-Spin Plans”) </w:t>
      </w:r>
      <w:r>
        <w:rPr>
          <w:rFonts w:ascii="Arial" w:cs="Arial" w:eastAsia="Arial" w:hAnsi="Arial"/>
          <w:sz w:val="18"/>
          <w:szCs w:val="18"/>
          <w:color w:val="212529"/>
        </w:rPr>
        <w:t>were modified and replaced</w:t>
      </w:r>
      <w:r>
        <w:rPr>
          <w:rFonts w:ascii="Arial" w:cs="Arial" w:eastAsia="Arial" w:hAnsi="Arial"/>
          <w:sz w:val="18"/>
          <w:szCs w:val="18"/>
          <w:color w:val="000000"/>
        </w:rPr>
        <w:t xml:space="preserve"> </w:t>
      </w:r>
      <w:r>
        <w:rPr>
          <w:rFonts w:ascii="Arial" w:cs="Arial" w:eastAsia="Arial" w:hAnsi="Arial"/>
          <w:sz w:val="18"/>
          <w:szCs w:val="18"/>
          <w:color w:val="212529"/>
        </w:rPr>
        <w:t xml:space="preserve">with Pennant awards under the Pennant Plans at the Spin-Off date. Additionally, in connection with the Spin-Off, the Company issued new options and restricted stock awards to Pennant and Ensign employees under the 2019 Omnibus Incentive Plan (the </w:t>
      </w:r>
      <w:r>
        <w:rPr>
          <w:rFonts w:ascii="Arial" w:cs="Arial" w:eastAsia="Arial" w:hAnsi="Arial"/>
          <w:sz w:val="18"/>
          <w:szCs w:val="18"/>
          <w:color w:val="000000"/>
        </w:rPr>
        <w:t>“</w:t>
      </w:r>
      <w:r>
        <w:rPr>
          <w:rFonts w:ascii="Arial" w:cs="Arial" w:eastAsia="Arial" w:hAnsi="Arial"/>
          <w:sz w:val="18"/>
          <w:szCs w:val="18"/>
          <w:color w:val="212529"/>
        </w:rPr>
        <w:t>OIP</w:t>
      </w:r>
      <w:r>
        <w:rPr>
          <w:rFonts w:ascii="Arial" w:cs="Arial" w:eastAsia="Arial" w:hAnsi="Arial"/>
          <w:sz w:val="18"/>
          <w:szCs w:val="18"/>
          <w:color w:val="000000"/>
        </w:rPr>
        <w:t>”</w:t>
      </w:r>
      <w:r>
        <w:rPr>
          <w:rFonts w:ascii="Arial" w:cs="Arial" w:eastAsia="Arial" w:hAnsi="Arial"/>
          <w:sz w:val="18"/>
          <w:szCs w:val="18"/>
          <w:color w:val="212529"/>
        </w:rPr>
        <w:t xml:space="preserve">) and Long-Term Incentive Plan (the </w:t>
      </w:r>
      <w:r>
        <w:rPr>
          <w:rFonts w:ascii="Arial" w:cs="Arial" w:eastAsia="Arial" w:hAnsi="Arial"/>
          <w:sz w:val="18"/>
          <w:szCs w:val="18"/>
          <w:color w:val="000000"/>
        </w:rPr>
        <w:t>“</w:t>
      </w:r>
      <w:r>
        <w:rPr>
          <w:rFonts w:ascii="Arial" w:cs="Arial" w:eastAsia="Arial" w:hAnsi="Arial"/>
          <w:sz w:val="18"/>
          <w:szCs w:val="18"/>
          <w:color w:val="212529"/>
        </w:rPr>
        <w:t>LTIP</w:t>
      </w:r>
      <w:r>
        <w:rPr>
          <w:rFonts w:ascii="Arial" w:cs="Arial" w:eastAsia="Arial" w:hAnsi="Arial"/>
          <w:sz w:val="18"/>
          <w:szCs w:val="18"/>
          <w:color w:val="000000"/>
        </w:rPr>
        <w:t>”,</w:t>
      </w:r>
      <w:r>
        <w:rPr>
          <w:rFonts w:ascii="Arial" w:cs="Arial" w:eastAsia="Arial" w:hAnsi="Arial"/>
          <w:sz w:val="18"/>
          <w:szCs w:val="18"/>
          <w:color w:val="212529"/>
        </w:rPr>
        <w:t xml:space="preserve"> </w:t>
      </w:r>
      <w:r>
        <w:rPr>
          <w:rFonts w:ascii="Arial" w:cs="Arial" w:eastAsia="Arial" w:hAnsi="Arial"/>
          <w:sz w:val="18"/>
          <w:szCs w:val="18"/>
          <w:color w:val="000000"/>
        </w:rPr>
        <w:t>together referred to as the “Pennant Plans”</w:t>
      </w:r>
      <w:r>
        <w:rPr>
          <w:rFonts w:ascii="Arial" w:cs="Arial" w:eastAsia="Arial" w:hAnsi="Arial"/>
          <w:sz w:val="18"/>
          <w:szCs w:val="18"/>
          <w:color w:val="212529"/>
        </w:rPr>
        <w:t>).</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Ensign Plans and the Pennant Plans, stock-based payment awards, including employee stock options, restricted stock awards (“RSA”), and restricted stock units (“RSU” and together with RSA, “Restricted Stock”) are issued based on estimated fair value. The following disclosures represent share-based compensation expense relating to employees of the Company’s subsidiaries and non-employee directors who have awards under the Ensign and Pennant Plans.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share-based compensation expense for all Plans for the three months ended March 31, 2022 and 2021 was:</w:t>
      </w:r>
    </w:p>
    <w:p>
      <w:pPr>
        <w:spacing w:after="0" w:line="277" w:lineRule="exact"/>
        <w:rPr>
          <w:sz w:val="20"/>
          <w:szCs w:val="20"/>
          <w:color w:val="auto"/>
        </w:rPr>
      </w:pPr>
    </w:p>
    <w:p>
      <w:pPr>
        <w:jc w:val="center"/>
        <w:ind w:left="8740"/>
        <w:spacing w:after="0"/>
        <w:rPr>
          <w:sz w:val="20"/>
          <w:szCs w:val="20"/>
          <w:color w:val="auto"/>
        </w:rPr>
      </w:pPr>
      <w:r>
        <w:rPr>
          <w:rFonts w:ascii="Arial" w:cs="Arial" w:eastAsia="Arial" w:hAnsi="Arial"/>
          <w:sz w:val="18"/>
          <w:szCs w:val="18"/>
          <w:b w:val="1"/>
          <w:bCs w:val="1"/>
          <w:color w:val="auto"/>
        </w:rPr>
        <w:t>Three Months Ended March</w:t>
      </w:r>
    </w:p>
    <w:p>
      <w:pPr>
        <w:jc w:val="center"/>
        <w:ind w:left="8740"/>
        <w:spacing w:after="0"/>
        <w:rPr>
          <w:sz w:val="20"/>
          <w:szCs w:val="20"/>
          <w:color w:val="auto"/>
        </w:rPr>
      </w:pPr>
      <w:r>
        <w:rPr>
          <w:rFonts w:ascii="Arial" w:cs="Arial" w:eastAsia="Arial" w:hAnsi="Arial"/>
          <w:sz w:val="18"/>
          <w:szCs w:val="18"/>
          <w:b w:val="1"/>
          <w:bCs w:val="1"/>
          <w:color w:val="auto"/>
        </w:rPr>
        <w:t>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r>
      <w:tr>
        <w:trPr>
          <w:trHeight w:val="223"/>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 related to stock options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r>
      <w:tr>
        <w:trPr>
          <w:trHeight w:val="229"/>
        </w:trPr>
        <w:tc>
          <w:tcPr>
            <w:tcW w:w="8760" w:type="dxa"/>
            <w:vAlign w:val="bottom"/>
          </w:tcPr>
          <w:p>
            <w:pPr>
              <w:ind w:left="20"/>
              <w:spacing w:after="0"/>
              <w:rPr>
                <w:sz w:val="20"/>
                <w:szCs w:val="20"/>
                <w:color w:val="auto"/>
              </w:rPr>
            </w:pPr>
            <w:r>
              <w:rPr>
                <w:rFonts w:ascii="Arial" w:cs="Arial" w:eastAsia="Arial" w:hAnsi="Arial"/>
                <w:sz w:val="18"/>
                <w:szCs w:val="18"/>
                <w:color w:val="auto"/>
              </w:rPr>
              <w:t>Share-based compensation expense related to Restricted Stock</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1,520</w:t>
            </w:r>
          </w:p>
        </w:tc>
      </w:tr>
      <w:tr>
        <w:trPr>
          <w:trHeight w:val="230"/>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 related to Restricted Stock to non-employee directors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23"/>
        </w:trPr>
        <w:tc>
          <w:tcPr>
            <w:tcW w:w="8760" w:type="dxa"/>
            <w:vAlign w:val="bottom"/>
          </w:tcPr>
          <w:p>
            <w:pPr>
              <w:ind w:left="240"/>
              <w:spacing w:after="0"/>
              <w:rPr>
                <w:sz w:val="20"/>
                <w:szCs w:val="20"/>
                <w:color w:val="auto"/>
              </w:rPr>
            </w:pPr>
            <w:r>
              <w:rPr>
                <w:rFonts w:ascii="Arial" w:cs="Arial" w:eastAsia="Arial" w:hAnsi="Arial"/>
                <w:sz w:val="18"/>
                <w:szCs w:val="18"/>
                <w:color w:val="auto"/>
              </w:rPr>
              <w:t>Total share-based compensation</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2,416</w:t>
            </w:r>
          </w:p>
        </w:tc>
      </w:tr>
      <w:tr>
        <w:trPr>
          <w:trHeight w:val="21"/>
        </w:trPr>
        <w:tc>
          <w:tcPr>
            <w:tcW w:w="8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future periods, the Company estimates it will recognize the following share-based compensation expense for unvested stock options and unvested Restricted Stock as of March 31,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Unrecognized</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175"/>
        </w:trPr>
        <w:tc>
          <w:tcPr>
            <w:tcW w:w="6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Recognition Period (in</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9"/>
              </w:rPr>
              <w:t>Compensation Expense</w:t>
            </w:r>
          </w:p>
        </w:tc>
        <w:tc>
          <w:tcPr>
            <w:tcW w:w="100" w:type="dxa"/>
            <w:vAlign w:val="bottom"/>
            <w:tcBorders>
              <w:bottom w:val="single" w:sz="8" w:color="CCEEFF"/>
            </w:tcBorders>
          </w:tcPr>
          <w:p>
            <w:pPr>
              <w:spacing w:after="0"/>
              <w:rPr>
                <w:sz w:val="19"/>
                <w:szCs w:val="19"/>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years)</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Stock Options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12,753</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Unvested Restricted Stock</w:t>
            </w:r>
          </w:p>
        </w:tc>
        <w:tc>
          <w:tcPr>
            <w:tcW w:w="1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3,019</w:t>
            </w:r>
          </w:p>
        </w:tc>
        <w:tc>
          <w:tcPr>
            <w:tcW w:w="2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unrecognized share-based compensation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15,772</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the Pennant Plans, options granted to employees of the subsidiaries of Pennant generally vest over five years at 20% per year on the anniversary of the grant date. Options expire ten years after the date of grant.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uses the Black-Scholes option-pricing model to recognize the value of stock-based compensation expense for share-based payment awards under the Plans. Determining the appropriate fair-value model and calculating the fair value of stock-based awards at the grant date requires considerable judgment, including estimating stock price volatility and expected option life. The Company develops estimates based on historical data and market information, which can change significantly over time.</w:t>
      </w:r>
    </w:p>
    <w:p>
      <w:pPr>
        <w:spacing w:after="0" w:line="21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fair value of each option is estimated on the grant date using a Black-Scholes option-pricing model with the following weighted average assumptions for stock options granted: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76"/>
        </w:trPr>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Options</w:t>
            </w: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2"/>
              </w:rPr>
              <w:t>Risk-Free</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9"/>
              </w:rPr>
              <w:t>Expected</w:t>
            </w: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1"/>
              </w:rPr>
              <w:t>Average Fair</w:t>
            </w:r>
          </w:p>
        </w:tc>
        <w:tc>
          <w:tcPr>
            <w:tcW w:w="0" w:type="dxa"/>
            <w:vAlign w:val="bottom"/>
          </w:tcPr>
          <w:p>
            <w:pPr>
              <w:spacing w:after="0"/>
              <w:rPr>
                <w:sz w:val="1"/>
                <w:szCs w:val="1"/>
                <w:color w:val="auto"/>
              </w:rPr>
            </w:pPr>
          </w:p>
        </w:tc>
      </w:tr>
      <w:tr>
        <w:trPr>
          <w:trHeight w:val="175"/>
        </w:trPr>
        <w:tc>
          <w:tcPr>
            <w:tcW w:w="26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Grant Year</w:t>
            </w:r>
          </w:p>
        </w:tc>
        <w:tc>
          <w:tcPr>
            <w:tcW w:w="1360" w:type="dxa"/>
            <w:vAlign w:val="bottom"/>
            <w:gridSpan w:val="2"/>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3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97"/>
              </w:rPr>
              <w:t>Expected Life</w:t>
            </w:r>
            <w:r>
              <w:rPr>
                <w:rFonts w:ascii="Arial" w:cs="Arial" w:eastAsia="Arial" w:hAnsi="Arial"/>
                <w:sz w:val="23"/>
                <w:szCs w:val="23"/>
                <w:b w:val="1"/>
                <w:bCs w:val="1"/>
                <w:color w:val="auto"/>
                <w:w w:val="97"/>
                <w:vertAlign w:val="superscript"/>
              </w:rPr>
              <w:t>(a)</w:t>
            </w:r>
          </w:p>
        </w:tc>
        <w:tc>
          <w:tcPr>
            <w:tcW w:w="1540" w:type="dxa"/>
            <w:vAlign w:val="bottom"/>
            <w:gridSpan w:val="2"/>
            <w:vMerge w:val="continue"/>
          </w:tcPr>
          <w:p>
            <w:pPr>
              <w:spacing w:after="0"/>
              <w:rPr>
                <w:sz w:val="15"/>
                <w:szCs w:val="15"/>
                <w:color w:val="auto"/>
              </w:rPr>
            </w:pPr>
          </w:p>
        </w:tc>
        <w:tc>
          <w:tcPr>
            <w:tcW w:w="154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Dividend Yield</w:t>
            </w:r>
          </w:p>
        </w:tc>
        <w:tc>
          <w:tcPr>
            <w:tcW w:w="120" w:type="dxa"/>
            <w:vAlign w:val="bottom"/>
          </w:tcPr>
          <w:p>
            <w:pPr>
              <w:spacing w:after="0"/>
              <w:rPr>
                <w:sz w:val="15"/>
                <w:szCs w:val="15"/>
                <w:color w:val="auto"/>
              </w:rPr>
            </w:pPr>
          </w:p>
        </w:tc>
        <w:tc>
          <w:tcPr>
            <w:tcW w:w="114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88"/>
              </w:rPr>
              <w:t>Value of</w:t>
            </w:r>
          </w:p>
        </w:tc>
        <w:tc>
          <w:tcPr>
            <w:tcW w:w="0" w:type="dxa"/>
            <w:vAlign w:val="bottom"/>
          </w:tcPr>
          <w:p>
            <w:pPr>
              <w:spacing w:after="0"/>
              <w:rPr>
                <w:sz w:val="1"/>
                <w:szCs w:val="1"/>
                <w:color w:val="auto"/>
              </w:rPr>
            </w:pPr>
          </w:p>
        </w:tc>
      </w:tr>
      <w:tr>
        <w:trPr>
          <w:trHeight w:val="230"/>
        </w:trPr>
        <w:tc>
          <w:tcPr>
            <w:tcW w:w="2660" w:type="dxa"/>
            <w:vAlign w:val="bottom"/>
            <w:gridSpan w:val="2"/>
            <w:vMerge w:val="continue"/>
          </w:tcPr>
          <w:p>
            <w:pPr>
              <w:spacing w:after="0"/>
              <w:rPr>
                <w:sz w:val="19"/>
                <w:szCs w:val="19"/>
                <w:color w:val="auto"/>
              </w:rPr>
            </w:pPr>
          </w:p>
        </w:tc>
        <w:tc>
          <w:tcPr>
            <w:tcW w:w="1360" w:type="dxa"/>
            <w:vAlign w:val="bottom"/>
            <w:gridSpan w:val="2"/>
          </w:tcPr>
          <w:p>
            <w:pPr>
              <w:ind w:left="300"/>
              <w:spacing w:after="0"/>
              <w:rPr>
                <w:sz w:val="20"/>
                <w:szCs w:val="20"/>
                <w:color w:val="auto"/>
              </w:rPr>
            </w:pPr>
            <w:r>
              <w:rPr>
                <w:rFonts w:ascii="Arial" w:cs="Arial" w:eastAsia="Arial" w:hAnsi="Arial"/>
                <w:sz w:val="18"/>
                <w:szCs w:val="18"/>
                <w:b w:val="1"/>
                <w:bCs w:val="1"/>
                <w:color w:val="auto"/>
              </w:rPr>
              <w:t>Granted</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Interest Rate</w:t>
            </w:r>
          </w:p>
        </w:tc>
        <w:tc>
          <w:tcPr>
            <w:tcW w:w="1380" w:type="dxa"/>
            <w:vAlign w:val="bottom"/>
            <w:gridSpan w:val="2"/>
            <w:vMerge w:val="continue"/>
          </w:tcPr>
          <w:p>
            <w:pPr>
              <w:spacing w:after="0"/>
              <w:rPr>
                <w:sz w:val="19"/>
                <w:szCs w:val="19"/>
                <w:color w:val="auto"/>
              </w:rPr>
            </w:pPr>
          </w:p>
        </w:tc>
        <w:tc>
          <w:tcPr>
            <w:tcW w:w="1540" w:type="dxa"/>
            <w:vAlign w:val="bottom"/>
            <w:gridSpan w:val="2"/>
          </w:tcPr>
          <w:p>
            <w:pPr>
              <w:jc w:val="center"/>
              <w:ind w:right="100"/>
              <w:spacing w:after="0" w:line="230" w:lineRule="exact"/>
              <w:rPr>
                <w:sz w:val="20"/>
                <w:szCs w:val="20"/>
                <w:color w:val="auto"/>
              </w:rPr>
            </w:pPr>
            <w:r>
              <w:rPr>
                <w:rFonts w:ascii="Arial" w:cs="Arial" w:eastAsia="Arial" w:hAnsi="Arial"/>
                <w:sz w:val="18"/>
                <w:szCs w:val="18"/>
                <w:b w:val="1"/>
                <w:bCs w:val="1"/>
                <w:color w:val="auto"/>
                <w:w w:val="88"/>
              </w:rPr>
              <w:t>Volatility</w:t>
            </w:r>
            <w:r>
              <w:rPr>
                <w:rFonts w:ascii="Arial" w:cs="Arial" w:eastAsia="Arial" w:hAnsi="Arial"/>
                <w:sz w:val="23"/>
                <w:szCs w:val="23"/>
                <w:b w:val="1"/>
                <w:bCs w:val="1"/>
                <w:color w:val="auto"/>
                <w:w w:val="88"/>
                <w:vertAlign w:val="superscript"/>
              </w:rPr>
              <w:t>(b)</w:t>
            </w:r>
          </w:p>
        </w:tc>
        <w:tc>
          <w:tcPr>
            <w:tcW w:w="15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Options</w:t>
            </w:r>
          </w:p>
        </w:tc>
        <w:tc>
          <w:tcPr>
            <w:tcW w:w="0" w:type="dxa"/>
            <w:vAlign w:val="bottom"/>
          </w:tcPr>
          <w:p>
            <w:pPr>
              <w:spacing w:after="0"/>
              <w:rPr>
                <w:sz w:val="1"/>
                <w:szCs w:val="1"/>
                <w:color w:val="auto"/>
              </w:rPr>
            </w:pPr>
          </w:p>
        </w:tc>
      </w:tr>
      <w:tr>
        <w:trPr>
          <w:trHeight w:val="223"/>
        </w:trPr>
        <w:tc>
          <w:tcPr>
            <w:tcW w:w="2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w w:val="97"/>
              </w:rPr>
              <w:t>—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37.8 %</w:t>
            </w:r>
          </w:p>
        </w:tc>
        <w:tc>
          <w:tcPr>
            <w:tcW w:w="100" w:type="dxa"/>
            <w:vAlign w:val="bottom"/>
          </w:tcPr>
          <w:p>
            <w:pPr>
              <w:spacing w:after="0"/>
              <w:rPr>
                <w:sz w:val="20"/>
                <w:szCs w:val="20"/>
                <w:color w:val="auto"/>
              </w:rPr>
            </w:pPr>
          </w:p>
        </w:tc>
        <w:tc>
          <w:tcPr>
            <w:tcW w:w="1540" w:type="dxa"/>
            <w:vAlign w:val="bottom"/>
            <w:gridSpan w:val="2"/>
          </w:tcPr>
          <w:p>
            <w:pPr>
              <w:ind w:left="1020"/>
              <w:spacing w:after="0"/>
              <w:rPr>
                <w:sz w:val="20"/>
                <w:szCs w:val="20"/>
                <w:color w:val="auto"/>
              </w:rPr>
            </w:pPr>
            <w:r>
              <w:rPr>
                <w:rFonts w:ascii="Arial" w:cs="Arial" w:eastAsia="Arial" w:hAnsi="Arial"/>
                <w:sz w:val="18"/>
                <w:szCs w:val="18"/>
                <w:color w:val="auto"/>
              </w:rPr>
              <w:t>—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18.99</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480" w:right="20" w:hanging="454"/>
        <w:spacing w:after="0" w:line="236" w:lineRule="auto"/>
        <w:tabs>
          <w:tab w:leader="none" w:pos="480" w:val="left"/>
        </w:tabs>
        <w:numPr>
          <w:ilvl w:val="0"/>
          <w:numId w:val="8"/>
        </w:numPr>
        <w:rPr>
          <w:rFonts w:ascii="Arial" w:cs="Arial" w:eastAsia="Arial" w:hAnsi="Arial"/>
          <w:sz w:val="14"/>
          <w:szCs w:val="14"/>
          <w:color w:val="auto"/>
        </w:rPr>
      </w:pPr>
      <w:r>
        <w:rPr>
          <w:rFonts w:ascii="Arial" w:cs="Arial" w:eastAsia="Arial" w:hAnsi="Arial"/>
          <w:sz w:val="14"/>
          <w:szCs w:val="14"/>
          <w:color w:val="auto"/>
        </w:rPr>
        <w:t>Under the midpoint method, the expected option life is the midpoint between the contractual option life and the average vesting period for the options being granted. This resulted in an expected option life of 6.5 years for the options granted.</w:t>
      </w:r>
    </w:p>
    <w:p>
      <w:pPr>
        <w:spacing w:after="0" w:line="7" w:lineRule="exact"/>
        <w:rPr>
          <w:rFonts w:ascii="Arial" w:cs="Arial" w:eastAsia="Arial" w:hAnsi="Arial"/>
          <w:sz w:val="14"/>
          <w:szCs w:val="14"/>
          <w:color w:val="auto"/>
        </w:rPr>
      </w:pPr>
    </w:p>
    <w:p>
      <w:pPr>
        <w:ind w:left="480" w:hanging="454"/>
        <w:spacing w:after="0"/>
        <w:tabs>
          <w:tab w:leader="none" w:pos="480" w:val="left"/>
        </w:tabs>
        <w:numPr>
          <w:ilvl w:val="0"/>
          <w:numId w:val="8"/>
        </w:numPr>
        <w:rPr>
          <w:rFonts w:ascii="Arial" w:cs="Arial" w:eastAsia="Arial" w:hAnsi="Arial"/>
          <w:sz w:val="13"/>
          <w:szCs w:val="13"/>
          <w:color w:val="auto"/>
        </w:rPr>
      </w:pPr>
      <w:r>
        <w:rPr>
          <w:rFonts w:ascii="Arial" w:cs="Arial" w:eastAsia="Arial" w:hAnsi="Arial"/>
          <w:sz w:val="13"/>
          <w:szCs w:val="13"/>
          <w:color w:val="auto"/>
        </w:rPr>
        <w:t>Because the Company’s equity shares have been traded for a relatively short period of time, expected volatility assumption was based on the volatility of related industry stocks.</w:t>
      </w:r>
    </w:p>
    <w:p>
      <w:pPr>
        <w:spacing w:after="0" w:line="3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represents the employee stock option activity during the three months ended March 31, 2022:</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56"/>
              <w:spacing w:after="0"/>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8"/>
              </w:rPr>
              <w:t>Weighted</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76"/>
              <w:spacing w:after="0" w:line="162" w:lineRule="exact"/>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2"/>
              </w:rPr>
              <w:t>Number of</w:t>
            </w:r>
          </w:p>
        </w:tc>
        <w:tc>
          <w:tcPr>
            <w:tcW w:w="160" w:type="dxa"/>
            <w:vAlign w:val="bottom"/>
          </w:tcPr>
          <w:p>
            <w:pPr>
              <w:spacing w:after="0"/>
              <w:rPr>
                <w:sz w:val="14"/>
                <w:szCs w:val="14"/>
                <w:color w:val="auto"/>
              </w:rPr>
            </w:pPr>
          </w:p>
        </w:tc>
        <w:tc>
          <w:tcPr>
            <w:tcW w:w="1200" w:type="dxa"/>
            <w:vAlign w:val="bottom"/>
          </w:tcPr>
          <w:p>
            <w:pPr>
              <w:jc w:val="center"/>
              <w:ind w:right="56"/>
              <w:spacing w:after="0" w:line="162" w:lineRule="exact"/>
              <w:rPr>
                <w:sz w:val="20"/>
                <w:szCs w:val="20"/>
                <w:color w:val="auto"/>
              </w:rPr>
            </w:pPr>
            <w:r>
              <w:rPr>
                <w:rFonts w:ascii="Arial" w:cs="Arial" w:eastAsia="Arial" w:hAnsi="Arial"/>
                <w:sz w:val="16"/>
                <w:szCs w:val="16"/>
                <w:b w:val="1"/>
                <w:bCs w:val="1"/>
                <w:color w:val="auto"/>
                <w:w w:val="89"/>
              </w:rPr>
              <w:t>Exercise Price</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3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Options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88"/>
              </w:rPr>
              <w:t>Average</w:t>
            </w:r>
          </w:p>
        </w:tc>
        <w:tc>
          <w:tcPr>
            <w:tcW w:w="14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76"/>
              <w:spacing w:after="0" w:line="162" w:lineRule="exact"/>
              <w:rPr>
                <w:sz w:val="20"/>
                <w:szCs w:val="20"/>
                <w:color w:val="auto"/>
              </w:rPr>
            </w:pPr>
            <w:r>
              <w:rPr>
                <w:rFonts w:ascii="Arial" w:cs="Arial" w:eastAsia="Arial" w:hAnsi="Arial"/>
                <w:sz w:val="16"/>
                <w:szCs w:val="16"/>
                <w:b w:val="1"/>
                <w:bCs w:val="1"/>
                <w:color w:val="auto"/>
                <w:w w:val="89"/>
              </w:rPr>
              <w:t>of Options</w:t>
            </w:r>
          </w:p>
        </w:tc>
        <w:tc>
          <w:tcPr>
            <w:tcW w:w="0" w:type="dxa"/>
            <w:vAlign w:val="bottom"/>
          </w:tcPr>
          <w:p>
            <w:pPr>
              <w:spacing w:after="0"/>
              <w:rPr>
                <w:sz w:val="1"/>
                <w:szCs w:val="1"/>
                <w:color w:val="auto"/>
              </w:rPr>
            </w:pPr>
          </w:p>
        </w:tc>
      </w:tr>
      <w:tr>
        <w:trPr>
          <w:trHeight w:val="213"/>
        </w:trPr>
        <w:tc>
          <w:tcPr>
            <w:tcW w:w="53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1"/>
              </w:rPr>
              <w:t>Outstanding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Exercise Price</w:t>
            </w:r>
          </w:p>
        </w:tc>
        <w:tc>
          <w:tcPr>
            <w:tcW w:w="14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Options Vested</w:t>
            </w:r>
          </w:p>
        </w:tc>
        <w:tc>
          <w:tcPr>
            <w:tcW w:w="160" w:type="dxa"/>
            <w:vAlign w:val="bottom"/>
          </w:tcPr>
          <w:p>
            <w:pPr>
              <w:spacing w:after="0"/>
              <w:rPr>
                <w:sz w:val="18"/>
                <w:szCs w:val="18"/>
                <w:color w:val="auto"/>
              </w:rPr>
            </w:pPr>
          </w:p>
        </w:tc>
        <w:tc>
          <w:tcPr>
            <w:tcW w:w="1200" w:type="dxa"/>
            <w:vAlign w:val="bottom"/>
          </w:tcPr>
          <w:p>
            <w:pPr>
              <w:jc w:val="center"/>
              <w:ind w:right="76"/>
              <w:spacing w:after="0"/>
              <w:rPr>
                <w:sz w:val="20"/>
                <w:szCs w:val="20"/>
                <w:color w:val="auto"/>
              </w:rPr>
            </w:pPr>
            <w:r>
              <w:rPr>
                <w:rFonts w:ascii="Arial" w:cs="Arial" w:eastAsia="Arial" w:hAnsi="Arial"/>
                <w:sz w:val="16"/>
                <w:szCs w:val="16"/>
                <w:b w:val="1"/>
                <w:bCs w:val="1"/>
                <w:color w:val="auto"/>
                <w:w w:val="83"/>
              </w:rPr>
              <w:t>Vested</w:t>
            </w:r>
          </w:p>
        </w:tc>
        <w:tc>
          <w:tcPr>
            <w:tcW w:w="0" w:type="dxa"/>
            <w:vAlign w:val="bottom"/>
          </w:tcPr>
          <w:p>
            <w:pPr>
              <w:spacing w:after="0"/>
              <w:rPr>
                <w:sz w:val="1"/>
                <w:szCs w:val="1"/>
                <w:color w:val="auto"/>
              </w:rPr>
            </w:pPr>
          </w:p>
        </w:tc>
      </w:tr>
      <w:tr>
        <w:trPr>
          <w:trHeight w:val="226"/>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2021</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14.13</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3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26.43</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March 31, 2022</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20.96</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summary of the status of Pennant’s non-vested Restricted Stock, and changes during the three months ended March 31, 2022, is presented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4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w w:val="92"/>
              </w:rPr>
              <w:t>Non-Vested Restricted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right"/>
              <w:ind w:right="112"/>
              <w:spacing w:after="0"/>
              <w:rPr>
                <w:sz w:val="20"/>
                <w:szCs w:val="20"/>
                <w:color w:val="auto"/>
              </w:rPr>
            </w:pPr>
            <w:r>
              <w:rPr>
                <w:rFonts w:ascii="Arial" w:cs="Arial" w:eastAsia="Arial" w:hAnsi="Arial"/>
                <w:sz w:val="16"/>
                <w:szCs w:val="16"/>
                <w:b w:val="1"/>
                <w:bCs w:val="1"/>
                <w:color w:val="auto"/>
                <w:w w:val="91"/>
              </w:rPr>
              <w:t>Weighted Average</w:t>
            </w:r>
          </w:p>
        </w:tc>
      </w:tr>
      <w:tr>
        <w:trPr>
          <w:trHeight w:val="213"/>
        </w:trPr>
        <w:tc>
          <w:tcPr>
            <w:tcW w:w="784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Stock</w:t>
            </w:r>
          </w:p>
        </w:tc>
        <w:tc>
          <w:tcPr>
            <w:tcW w:w="12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7"/>
              </w:rPr>
              <w:t>Grant Date Fair Value</w:t>
            </w:r>
          </w:p>
        </w:tc>
      </w:tr>
      <w:tr>
        <w:trPr>
          <w:trHeight w:val="226"/>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2021</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Granted</w:t>
            </w:r>
          </w:p>
        </w:tc>
        <w:tc>
          <w:tcPr>
            <w:tcW w:w="16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17.45</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13.40</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March 31, 2022</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15.03</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LEASES</w:t>
      </w:r>
    </w:p>
    <w:p>
      <w:pPr>
        <w:spacing w:after="0" w:line="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independent operating subsidiaries lease 52 senior living communities and its administrative offices under non-cancelable operating leases, most of which have initial lease terms ranging from five to 21 years. Most of these leases contain renewal options, most involve rent increases and none contain purchase options. The lease term excludes lease renewals because the renewal rents are not at a bargain, there are no economic penalties for the Company to renew the lease,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2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and it is not reasonably certain that the Company will exercise the extension options. The Company’s independent operating subsidiaries leased 32 and 31 communities from subsidiaries of Ensign (the “Ensign Leases”) under a master lease arrangement as of March 31, 2022 and March 31, 2021, respectively. Each of the leases have a initial term of between 14 and 20 years from the lease commencement date. The total amount of rent expense included in rent - cost of services paid to subsidiaries of Ensign was $3,484 and $3,073 and for the three months ended March 31, 2022 and 2021, respectively. In addition to rent, each of the operating companies are required to pay the following: (1) all impositions and taxes levied on or with respect to the leased properties (other than taxes on the income of the lessor); (2) all utilities and other services necessary or appropriate for the leased properties and the business conducted on the leased properties; (3) all insurance required in connection with the leased properties and the business conducted on the leased properties;</w:t>
      </w:r>
    </w:p>
    <w:p>
      <w:pPr>
        <w:spacing w:after="0" w:line="2" w:lineRule="exact"/>
        <w:rPr>
          <w:sz w:val="20"/>
          <w:szCs w:val="20"/>
          <w:color w:val="auto"/>
        </w:rPr>
      </w:pPr>
    </w:p>
    <w:p>
      <w:pPr>
        <w:ind w:right="20" w:firstLine="8"/>
        <w:spacing w:after="0" w:line="260" w:lineRule="auto"/>
        <w:tabs>
          <w:tab w:leader="none" w:pos="265"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community maintenance and repair costs; and (5) all fees in connection with any licenses or authorizations necessary or appropriate for the leased properties and the business conducted on the leased properties.</w:t>
      </w:r>
    </w:p>
    <w:p>
      <w:pPr>
        <w:spacing w:after="0" w:line="21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Fourteen of the Company’s affiliated senior living communities, excluding the communities that are operated under the Ensign Leases (as defined herein), are operated under two separate master lease arrangements. Under these master leases, a breach at a single community could subject one or more of the other communities covered by the same master lease to the same default risk. Failure to comply with Medicare and Medicaid provider requirements is a default under several of the Company’s leases and master leases. With an indivisible lease, it is difficult to restructure the composition of the portfolio or economic terms of the master lease without the consent of the landlord.</w:t>
      </w:r>
    </w:p>
    <w:p>
      <w:pPr>
        <w:spacing w:after="0" w:line="21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January 27, 2022, affiliates of the Company, entered into Transfer Agreements with affiliates of Ensign, providing for the transfer of the operations of certain senior living communities. The closing of the Transaction was completed in two phases with the transfer of two operations on March 1, 2022 and the remainder transferred on April 1, 2022. As a result of the transaction, the Company terminated the leases of two senior living facilities transferred to Ensign on March 1, 2022. As a result of the lease terminations, the Company reduced both the right of use assets and the lease liabilities by $33,804. One of the terminated leases was part of a master lease agreement. As a result of one of the transferred leases being removed from a master lease arrangement, the remaining lease components under the master lease arrangement were modified which resulted in a increase to the lease liability and ROU asset balance of $9,349 as of March 1, 2022.</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40" w:type="dxa"/>
            <w:vAlign w:val="bottom"/>
          </w:tcPr>
          <w:p>
            <w:pPr>
              <w:ind w:left="660"/>
              <w:spacing w:after="0"/>
              <w:rPr>
                <w:sz w:val="20"/>
                <w:szCs w:val="20"/>
                <w:color w:val="auto"/>
              </w:rPr>
            </w:pPr>
            <w:r>
              <w:rPr>
                <w:rFonts w:ascii="Arial" w:cs="Arial" w:eastAsia="Arial" w:hAnsi="Arial"/>
                <w:sz w:val="18"/>
                <w:szCs w:val="18"/>
                <w:color w:val="auto"/>
              </w:rPr>
              <w:t>The components of operating lease cost, are as follows: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99"/>
        </w:trPr>
        <w:tc>
          <w:tcPr>
            <w:tcW w:w="8640" w:type="dxa"/>
            <w:vAlign w:val="bottom"/>
          </w:tcPr>
          <w:p>
            <w:pPr>
              <w:spacing w:after="0"/>
              <w:rPr>
                <w:sz w:val="24"/>
                <w:szCs w:val="24"/>
                <w:color w:val="auto"/>
              </w:rPr>
            </w:pPr>
          </w:p>
        </w:tc>
        <w:tc>
          <w:tcPr>
            <w:tcW w:w="26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4"/>
              </w:rPr>
              <w:t>Three Months Ended March 31,</w:t>
            </w:r>
          </w:p>
        </w:tc>
      </w:tr>
      <w:tr>
        <w:trPr>
          <w:trHeight w:val="223"/>
        </w:trPr>
        <w:tc>
          <w:tcPr>
            <w:tcW w:w="86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r>
      <w:tr>
        <w:trPr>
          <w:trHeight w:val="21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 Costs: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color w:val="auto"/>
              </w:rPr>
              <w:t>Facility Rent—cost of services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8,789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8,835</w:t>
            </w:r>
          </w:p>
        </w:tc>
      </w:tr>
      <w:tr>
        <w:trPr>
          <w:trHeight w:val="22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Rent—cost of services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w:t>
            </w:r>
          </w:p>
        </w:tc>
      </w:tr>
      <w:tr>
        <w:trPr>
          <w:trHeight w:val="223"/>
        </w:trPr>
        <w:tc>
          <w:tcPr>
            <w:tcW w:w="8640" w:type="dxa"/>
            <w:vAlign w:val="bottom"/>
          </w:tcPr>
          <w:p>
            <w:pPr>
              <w:ind w:left="220"/>
              <w:spacing w:after="0"/>
              <w:rPr>
                <w:sz w:val="20"/>
                <w:szCs w:val="20"/>
                <w:color w:val="auto"/>
              </w:rPr>
            </w:pPr>
            <w:r>
              <w:rPr>
                <w:rFonts w:ascii="Arial" w:cs="Arial" w:eastAsia="Arial" w:hAnsi="Arial"/>
                <w:sz w:val="18"/>
                <w:szCs w:val="18"/>
                <w:color w:val="auto"/>
              </w:rPr>
              <w:t>Rent—cost of services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9,965</w:t>
            </w:r>
          </w:p>
        </w:tc>
      </w:tr>
      <w:tr>
        <w:trPr>
          <w:trHeight w:val="20"/>
        </w:trPr>
        <w:tc>
          <w:tcPr>
            <w:tcW w:w="8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86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color w:val="auto"/>
              </w:rPr>
              <w:t>General and administrative expense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86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Variable lease cost </w:t>
            </w:r>
            <w:r>
              <w:rPr>
                <w:rFonts w:ascii="Arial" w:cs="Arial" w:eastAsia="Arial" w:hAnsi="Arial"/>
                <w:sz w:val="23"/>
                <w:szCs w:val="23"/>
                <w:color w:val="auto"/>
                <w:vertAlign w:val="superscript"/>
              </w:rPr>
              <w:t>(a)</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w:t>
            </w:r>
          </w:p>
        </w:tc>
      </w:tr>
    </w:tbl>
    <w:p>
      <w:pPr>
        <w:spacing w:after="0" w:line="116" w:lineRule="exact"/>
        <w:rPr>
          <w:sz w:val="20"/>
          <w:szCs w:val="20"/>
          <w:color w:val="auto"/>
        </w:rPr>
      </w:pPr>
    </w:p>
    <w:p>
      <w:pPr>
        <w:ind w:left="480" w:right="40" w:hanging="454"/>
        <w:spacing w:after="0" w:line="236" w:lineRule="auto"/>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variable lease cost for operating leases, which costs include property taxes and insurance, common area maintenance, and consumer price index increases, incurred as part of our triple net lease, and which is included in cost of services for the three months ended March 31, 2022 and 2021.</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lease maturity analysis for all leases as of March 31, 2022, for the years ended December 31:</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Amount</w:t>
            </w:r>
          </w:p>
        </w:tc>
      </w:tr>
      <w:tr>
        <w:trPr>
          <w:trHeight w:val="22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(Remainder)</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26,621</w:t>
            </w:r>
          </w:p>
        </w:tc>
      </w:tr>
      <w:tr>
        <w:trPr>
          <w:trHeight w:val="229"/>
        </w:trPr>
        <w:tc>
          <w:tcPr>
            <w:tcW w:w="9600" w:type="dxa"/>
            <w:vAlign w:val="bottom"/>
          </w:tcPr>
          <w:p>
            <w:pPr>
              <w:ind w:left="20"/>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34,648</w:t>
            </w: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33,571</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2025</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32,389</w:t>
            </w: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31,674</w:t>
            </w:r>
          </w:p>
        </w:tc>
      </w:tr>
      <w:tr>
        <w:trPr>
          <w:trHeight w:val="230"/>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274,321</w:t>
            </w:r>
          </w:p>
        </w:tc>
      </w:tr>
      <w:tr>
        <w:trPr>
          <w:trHeight w:val="22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433,224</w:t>
            </w:r>
          </w:p>
        </w:tc>
      </w:tr>
      <w:tr>
        <w:trPr>
          <w:trHeight w:val="229"/>
        </w:trPr>
        <w:tc>
          <w:tcPr>
            <w:tcW w:w="9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present value adjustments</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(157,753)</w:t>
            </w:r>
          </w:p>
        </w:tc>
      </w:tr>
      <w:tr>
        <w:trPr>
          <w:trHeight w:val="22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total lease liabilities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275,471</w:t>
            </w:r>
          </w:p>
        </w:tc>
      </w:tr>
      <w:tr>
        <w:trPr>
          <w:trHeight w:val="229"/>
        </w:trPr>
        <w:tc>
          <w:tcPr>
            <w:tcW w:w="9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current lease liabilities</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(16,379)</w:t>
            </w:r>
          </w:p>
        </w:tc>
      </w:tr>
      <w:tr>
        <w:trPr>
          <w:trHeight w:val="248"/>
        </w:trPr>
        <w:tc>
          <w:tcPr>
            <w:tcW w:w="9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Long-term operating lease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259,092</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Operating lease liabilities are based on the net present value of the remaining lease payments over the remaining lease term. In determining the present value of lease payments, the Company used its incremental borrowing rate based on the information available at each lease’s commencement date to determine each lease's operating lease liability. As of March 31, 2022, the weighted average remaining lease term is 13.3 years and the weighted average discount rate is 7.3%.</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recorded income tax expense of $542 or 31.9% of earnings before income taxes for the three months ended March 31, 2022, and income tax expense of $340 or 27.1% of earnings before income taxes for the three months ended March 31, 2021, respectively. The effective tax rate for both three month periods includes excess tax benefits from share-based compensation which were offset by non-deductible expenses including non-deductible compensation.</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5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Regulatory Matters - </w:t>
      </w:r>
      <w:r>
        <w:rPr>
          <w:rFonts w:ascii="Arial" w:cs="Arial" w:eastAsia="Arial" w:hAnsi="Arial"/>
          <w:sz w:val="17"/>
          <w:szCs w:val="17"/>
          <w:color w:val="auto"/>
        </w:rPr>
        <w:t>The Company provides services in complex and highly regulated industries. The Company’s compliance with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U.S. federal, state and local laws and regulations governing these industries may be subject to governmental review and adverse findings may result in significant regulatory action, which could include sanctions, damages, fines, penalties (many of which may not be covered by insurance), and even exclusion from government programs. The Company is a party to various regulatory and other governmental audits and investigations in the ordinary course of business and cannot predict the ultimate outcome of any federal or state regulatory survey, audit or investigation. While governmental audits and investigations are the subject of administrative appeals, the appeals process, even if successful, may take several years to resolve. The Department of Justice, CMS, or other federal and state enforcement and regulatory agencies may conduct additional investigations related to the Company's businesses. The Company believes that it is presently in compliance in all material respects with all applicable laws and regulations.</w:t>
      </w:r>
    </w:p>
    <w:p>
      <w:pPr>
        <w:spacing w:after="0" w:line="2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Cost-Containment Measures - </w:t>
      </w:r>
      <w:r>
        <w:rPr>
          <w:rFonts w:ascii="Arial" w:cs="Arial" w:eastAsia="Arial" w:hAnsi="Arial"/>
          <w:sz w:val="18"/>
          <w:szCs w:val="18"/>
          <w:color w:val="auto"/>
        </w:rPr>
        <w:t>Government and third-party payors have instituted cost-containment measures designed to limit payments made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providers of healthcare services, and there can be no assurance that future measures designed to limit payments made to providers will not adversely affect the Company.</w:t>
      </w:r>
    </w:p>
    <w:p>
      <w:pPr>
        <w:spacing w:after="0" w:line="21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i w:val="1"/>
          <w:iCs w:val="1"/>
          <w:color w:val="auto"/>
        </w:rPr>
        <w:t xml:space="preserve">Indemnities - </w:t>
      </w:r>
      <w:r>
        <w:rPr>
          <w:rFonts w:ascii="Arial" w:cs="Arial" w:eastAsia="Arial" w:hAnsi="Arial"/>
          <w:sz w:val="16"/>
          <w:szCs w:val="16"/>
          <w:color w:val="auto"/>
        </w:rPr>
        <w:t>From time to time, the Company enters into certain types of contracts that contingently require the Company to indemnify parties</w:t>
      </w:r>
      <w:r>
        <w:rPr>
          <w:rFonts w:ascii="Arial" w:cs="Arial" w:eastAsia="Arial" w:hAnsi="Arial"/>
          <w:sz w:val="16"/>
          <w:szCs w:val="16"/>
          <w:i w:val="1"/>
          <w:iCs w:val="1"/>
          <w:color w:val="auto"/>
        </w:rPr>
        <w:t xml:space="preserve"> </w:t>
      </w:r>
      <w:r>
        <w:rPr>
          <w:rFonts w:ascii="Arial" w:cs="Arial" w:eastAsia="Arial" w:hAnsi="Arial"/>
          <w:sz w:val="16"/>
          <w:szCs w:val="16"/>
          <w:color w:val="auto"/>
        </w:rPr>
        <w:t>against third-party claims. These contracts primarily include (i) certain real estate leases, under which the Company may be required to indemnify property owners or prior operators for post-transfer environmental or other liabilities and other claims arising from the Company’s use of the applicable premises,</w:t>
      </w:r>
    </w:p>
    <w:p>
      <w:pPr>
        <w:spacing w:after="0" w:line="2" w:lineRule="exact"/>
        <w:rPr>
          <w:sz w:val="20"/>
          <w:szCs w:val="20"/>
          <w:color w:val="auto"/>
        </w:rPr>
      </w:pPr>
    </w:p>
    <w:p>
      <w:pPr>
        <w:jc w:val="both"/>
        <w:ind w:firstLine="8"/>
        <w:spacing w:after="0" w:line="281" w:lineRule="auto"/>
        <w:tabs>
          <w:tab w:leader="none" w:pos="273" w:val="left"/>
        </w:tabs>
        <w:numPr>
          <w:ilvl w:val="0"/>
          <w:numId w:val="11"/>
        </w:numPr>
        <w:rPr>
          <w:rFonts w:ascii="Arial" w:cs="Arial" w:eastAsia="Arial" w:hAnsi="Arial"/>
          <w:sz w:val="16"/>
          <w:szCs w:val="16"/>
          <w:color w:val="auto"/>
        </w:rPr>
      </w:pPr>
      <w:r>
        <w:rPr>
          <w:rFonts w:ascii="Arial" w:cs="Arial" w:eastAsia="Arial" w:hAnsi="Arial"/>
          <w:sz w:val="16"/>
          <w:szCs w:val="16"/>
          <w:color w:val="auto"/>
        </w:rPr>
        <w:t>operations transfer agreements, in which the Company agrees to indemnify past operators of agencies and communities the Company acquires against certain liabilities arising from the transfer of the operation and/or the operation thereof after the transfer, (iii) certain Ensign lending agreements, and</w:t>
      </w:r>
    </w:p>
    <w:p>
      <w:pPr>
        <w:spacing w:after="0" w:line="1" w:lineRule="exact"/>
        <w:rPr>
          <w:rFonts w:ascii="Arial" w:cs="Arial" w:eastAsia="Arial" w:hAnsi="Arial"/>
          <w:sz w:val="16"/>
          <w:szCs w:val="16"/>
          <w:color w:val="auto"/>
        </w:rPr>
      </w:pPr>
    </w:p>
    <w:p>
      <w:pPr>
        <w:ind w:firstLine="8"/>
        <w:spacing w:after="0" w:line="260" w:lineRule="auto"/>
        <w:tabs>
          <w:tab w:leader="none" w:pos="33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agreements with management, directors and employees, under which the subsidiaries of the Company may be required to indemnify such persons for liabilities arising out of their employment relationships. The terms of</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such obligations vary by contract and, in most instances, a specific or maximum dollar amount is not explicitly stated therein. Generally, amounts under these contracts cannot be reasonably estimated until a specific claim is asserted. Consequently, because no claims have been asserted, no liabilities have been recorded for these obligations on the Company’s Condensed Consolidated Balance Sheets for any of the periods presented.</w:t>
      </w:r>
    </w:p>
    <w:p>
      <w:pPr>
        <w:spacing w:after="0" w:line="1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Litigation - </w:t>
      </w:r>
      <w:r>
        <w:rPr>
          <w:rFonts w:ascii="Arial" w:cs="Arial" w:eastAsia="Arial" w:hAnsi="Arial"/>
          <w:sz w:val="17"/>
          <w:szCs w:val="17"/>
          <w:color w:val="auto"/>
        </w:rPr>
        <w:t>The Company’s businesses involve a significant risk of liability given the age and health of the patients and residents served by its</w:t>
      </w:r>
      <w:r>
        <w:rPr>
          <w:rFonts w:ascii="Arial" w:cs="Arial" w:eastAsia="Arial" w:hAnsi="Arial"/>
          <w:sz w:val="17"/>
          <w:szCs w:val="17"/>
          <w:i w:val="1"/>
          <w:iCs w:val="1"/>
          <w:color w:val="auto"/>
        </w:rPr>
        <w:t xml:space="preserve"> </w:t>
      </w:r>
      <w:r>
        <w:rPr>
          <w:rFonts w:ascii="Arial" w:cs="Arial" w:eastAsia="Arial" w:hAnsi="Arial"/>
          <w:sz w:val="17"/>
          <w:szCs w:val="17"/>
          <w:color w:val="auto"/>
        </w:rPr>
        <w:t>independent operating subsidiaries. The Company, its operating companies, and others in the industry may be subject to a number of claims and lawsuits, including professional liability claims, alleging that services provided have resulted in personal injury, elder abuse, wrongful death or other related claims. Healthcare litigation (including class action litigation) is common and is filed based upon a wide variety of claims and theories, and the Company is routinely subjected to these claims in the ordinary course of business, including potential claims related to patient care and treatment, and professional negligence, as well as employment related claims. If there were a significant increase in the number of these claims or an increase in amounts owing should plaintiffs be successful in their prosecution of these claims, this could materially adversely affect the Company’s business, financial condition, results of operations and cash flows. In addition, the defense of these lawsuits may result in significant legal costs, regardless of the outcome, and may result in large settlement amounts or damage awards.</w:t>
      </w:r>
    </w:p>
    <w:p>
      <w:pPr>
        <w:spacing w:after="0" w:line="20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to the potential lawsuits and claims described above, the Company is also subject to potential lawsuits under the False Claims Act (the “FCA”) and comparable state laws alleging submission of fraudulent claims for services to any healthcare program (such as Medicare) or payor. A violation may provide the basis for exclusion from federally funded healthcare programs. Such exclusions could have a correlative negative impact on the Company’s financial performance. Some states, including California, Arizona and Texas, have enacted similar whistleblower and false claims laws and regulations. In addition, the Deficit Reduction Act of 2005 created incentives for states to enact anti-fraud legislation modeled on the FCA. As such, the Company could face increased scrutiny, potential liability and legal expenses and costs based on claims under state false claims acts in markets in which it conducts business.</w:t>
      </w:r>
    </w:p>
    <w:p>
      <w:pPr>
        <w:spacing w:after="0" w:line="208"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Under the Fraud Enforcement and Recovery Act (“FERA”) and its associated rules, healthcare providers face significant penalties for the knowing retention of government overpayments, even if no false claim was involved. Providers have an obligation to proactively exercise “reasonable diligence” to identify overpayments and return those overpayments to CMS within 60 days of “identification” or the date any corresponding cost report is due, whichever is later. Retention of overpayments beyond this period may create liability under the FCA. In addition, FERA protects whistleblowers (including employees, contractors, and agents) from retaliation.</w:t>
      </w:r>
    </w:p>
    <w:p>
      <w:pPr>
        <w:spacing w:after="0" w:line="21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cannot predict or provide any assurance as to the possible outcome of any litigation. If any litigation were to proceed, and the Company and its operating companies are subjected to, alleged to be liable for, or agree to a settlement of, claims or obligations under federal Medicare statutes, the FCA, or similar state and federal statutes and related regulations, the Company’s business, financial condition and results of operations and cash flows could be materially and adversely affected. Among other things, any settlement or litigation could involve the payment of substantial sums to settle any alleged civil violations, and may also include the assumption of specific procedural and financial obligations by the Company or its independent operating subsidiaries going forward under a corporate integrity agreement and/or other arrangement with the government.</w:t>
      </w:r>
    </w:p>
    <w:p>
      <w:pPr>
        <w:spacing w:after="0" w:line="19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Medicare Revenue Recoupments - </w:t>
      </w:r>
      <w:r>
        <w:rPr>
          <w:rFonts w:ascii="Arial" w:cs="Arial" w:eastAsia="Arial" w:hAnsi="Arial"/>
          <w:sz w:val="18"/>
          <w:szCs w:val="18"/>
          <w:color w:val="auto"/>
        </w:rPr>
        <w:t>The Company is subject to probe reviews relating to Medicare services, billings and potential overpayments by</w:t>
      </w:r>
      <w:r>
        <w:rPr>
          <w:rFonts w:ascii="Arial" w:cs="Arial" w:eastAsia="Arial" w:hAnsi="Arial"/>
          <w:sz w:val="18"/>
          <w:szCs w:val="18"/>
          <w:i w:val="1"/>
          <w:iCs w:val="1"/>
          <w:color w:val="auto"/>
        </w:rPr>
        <w:t xml:space="preserve"> </w:t>
      </w:r>
      <w:r>
        <w:rPr>
          <w:rFonts w:ascii="Arial" w:cs="Arial" w:eastAsia="Arial" w:hAnsi="Arial"/>
          <w:sz w:val="18"/>
          <w:szCs w:val="18"/>
          <w:color w:val="auto"/>
        </w:rPr>
        <w:t>Unified Program Integrity Contractors (“UPIC”), Recovery Audit Contractors (“RAC”), Zone Program Integrity Contractors (“ZPIC”), Program Safeguard Contractors (“PSC”), Supplemental Medical Review Contractors (“SMRC”) and Medicaid Integrity Contributors (“MIC”) programs, each of the foregoing collectively referred to as “Reviews.”</w:t>
      </w:r>
    </w:p>
    <w:p>
      <w:pPr>
        <w:spacing w:after="0" w:line="21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of March 31, 2022, eight of the Company’s independent operating subsidiaries had Reviews scheduled, on appeal or in dispute resolution process, both pre- and post-payment. If an operation fails an initial or subsequent Review, the operation could then be subject to extended Review, suspension of payment, or extrapolation of the identified error rate to all billing in the same time period. The Company, from time to time, receives record requests in reviews which have resulted in claim denials on paid claims. The Company has appealed substantially all denials arising from these reviews using the applicable appeals process. As of March 31, 2022, and through the filing of this Quarterly Report on Form 10-Q, the Company’s independent operating subsidiaries have responded to the Reviews that are currently ongoing, on appeal or in dispute resolution process. The Company cannot predict the ultimate outcome of any regulatory and other governmental reviews. While such reviews are the subject of administrative appeals, the appeals process, even if successful, may take several years to resolve. The costs to respond to and defend such reviews may be significant and an adverse determination in such reviews may subject the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Company to sanctions, damages, extrapolation of damage findings, additional recoupments, fines, other penalties (some of which may not be covered by insurance), and termination from Medicare programs which may, either individually or in the aggregate, have a material adverse effect on the Company's business and financial condition.</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One hospice provider number is subject to a Medicare payment suspension imposed by a Uniform Program Integrity Contractor (UPIC). As of March 31, 2022, the total amount due from the government payor impacted by the suspension was $4,263 and was recorded in accounts receivable, net. The amounts suspended represent all Medicare payments due to the provider number since the start of the suspension and are not an overpayment finding. Any recoupment determined from the review will first be recovered from the suspended funds.</w:t>
      </w:r>
    </w:p>
    <w:p>
      <w:pPr>
        <w:spacing w:after="0" w:line="19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May 2022, the Company received communication that the Medicare payment suspension was terminated and the UPIC’s review was complete. The UPIC reviewed 107 patient records covering a 10-month period to determine whether, in its view, a Medicare overpayment was made. Based on the results of the review, the UPIC has alleged sampled and extrapolated overpayments which are consistent with the amounts impacted by the suspension. The Company has not yet received a demand from the Company’s Medicare Administrative Contractor regarding an alleged overpayment. Any demand amount will first be withheld from the suspended payments. The Company is in the process of evaluating the findings of the review.</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 The Company retains risk for a substantial portion of potential claims for general and professional liability, workers’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automobile liability. The Company recognizes obligations associated with these costs, up to specified deductible limits in the period in which a claim is incurred, including with respect to both reported claims and claims incurred but not reported. The general and professional liability insurance has a retention limit of $150 per claim with a $500 corridor as an additional out-of-pocket retention we must satisfy for claims within the policy year before the carrier will reimburse losses. The workers’ compensation insurance has a retention limit of $250 per claim, except for policies held in Texas and Washington which are subject to state insurance and possess their own limits.</w:t>
      </w:r>
    </w:p>
    <w:p>
      <w:pPr>
        <w:spacing w:after="0" w:line="2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Effective January 1, 2022 the Company was self-insured for claims related to employee health, dental, and vision care. To protect itself against loss exposure, the Company has purchased individual stop-loss insurance coverage that insures individual health claims that exceed $325 for each covered person for fiscal year 2022.</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5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January 27, 2022, affiliates of the Company, entered into Transfer Agreements with affiliates of Ensign, providing for the transfer of the operations of certain senior living communities. The closing of the Transaction was completed in two phases with the transfer of two operations on March 1, 2022 and the remainder transferred on April 1, 2022. The company terminated the leases of the remaining three properties as of April 1, 2022. As a result of the lease terminations, the Company reduced both the right of use assets and the lease liabilities by approximately $8,711. The terminated leases was part of two separate master lease agreements. As a result of the removal of the properties from the master lease agreements, the Company has modified the remaining leases in the pools and is reassessing the classification of the leases and revalued the right of use assets and lease liabilities.</w:t>
      </w:r>
    </w:p>
    <w:p>
      <w:pPr>
        <w:spacing w:after="0" w:line="1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April 29, 2022, the Company entered into an agreement with Ensign that resulted in the termination of a lease of two buildings. One of the properties was sold by Ensign to a third party. The Company acquired real estate and personal property of the other building for $2,007 and will continue to operate the facility.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You should read the following discussion and analysis in conjunction with the Interim Financial Statements and the related notes thereto contained in Part I, Item 1 of this Quarterly Report on Form 10-Q (this “Quarterly Report”). The information contained in this Quarterly Report is not a complete description of our business or the risks associated with an investment in our common stock. We urge you to carefully review and consider the various disclosures made by us in this Quarterly Report and in our other reports filed with the Securities and Exchange Commission (“SEC”), including our Annual Report on Form 10-K for the year ended December 31, 2021 (the “2021 Annual Report”), which discusses our business and related risks in greater detail, as well as subsequent reports we may file from time to time on Form 10-K, Form 10-Q and 8-K, for additional information. The section entitled “Risk Factors” filed within our 2021 Annual Report describes some of the important risk factors that may affect our business, financial condition, results of operations and/or liquidity. You should carefully consider those risks, in addition to the other information in this Quarterly Report and in our other filings with the SEC, before deciding to purchase, hold or sell our common stock.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About Forward-Looking Statements</w:t>
      </w:r>
    </w:p>
    <w:p>
      <w:pPr>
        <w:spacing w:after="0" w:line="229" w:lineRule="exact"/>
        <w:rPr>
          <w:sz w:val="20"/>
          <w:szCs w:val="20"/>
          <w:color w:val="auto"/>
        </w:rPr>
      </w:pPr>
    </w:p>
    <w:p>
      <w:pPr>
        <w:jc w:val="both"/>
        <w:ind w:firstLine="212"/>
        <w:spacing w:after="0" w:line="269" w:lineRule="auto"/>
        <w:rPr>
          <w:sz w:val="20"/>
          <w:szCs w:val="20"/>
          <w:color w:val="auto"/>
        </w:rPr>
      </w:pPr>
      <w:r>
        <w:rPr>
          <w:rFonts w:ascii="Arial" w:cs="Arial" w:eastAsia="Arial" w:hAnsi="Arial"/>
          <w:sz w:val="17"/>
          <w:szCs w:val="17"/>
          <w:color w:val="auto"/>
        </w:rPr>
        <w:t>This Quarterly Report contains “forward-looking statements” within the meaning of the safe harbor provisions of the U.S. Private Securities Litigation Reform Act of 1995, that are based on our management’s beliefs and assumptions and on information currently available to our management. Forward-looking statements include all statements that are not historical facts and can be identified by the use of forward-looking terminology such as the words “outlook,” “believes,” “expects,” “potential,” “continues,” “may,” “might,” “will,” “should,” “could,” “seeks,” “approximately,” “goals,” “future,” “projects,” “predicts,” “guidance,” “target,” “intends,” “plans,” “estimates,” “anticipates”, the negative version of these words or other comparable words. Forward-looking statements include, but are not limited to, statements related to our expectations regarding the performance of our business, our financial results, our liquidity and capital resources, the effects of competition and the effects of future legislation or regulations and other non-historical statements. Additionally, many of these risks and uncertainties are currently amplified by and will continue to be amplified by, or in the future may be amplified by, the COVID-19 outbreak. The developments with respect to the spread of COVID-19 and its impacts have occurred rapidly, and because of the unprecedented nature of the pandemic, we are unable to predict the extent and duration of the adverse financial impact of COVID-19 on our business, financial condition and results of operations.</w:t>
      </w:r>
    </w:p>
    <w:p>
      <w:pPr>
        <w:spacing w:after="0" w:line="209" w:lineRule="exact"/>
        <w:rPr>
          <w:sz w:val="20"/>
          <w:szCs w:val="20"/>
          <w:color w:val="auto"/>
        </w:rPr>
      </w:pPr>
    </w:p>
    <w:p>
      <w:pPr>
        <w:jc w:val="both"/>
        <w:ind w:firstLine="257"/>
        <w:spacing w:after="0" w:line="263" w:lineRule="auto"/>
        <w:rPr>
          <w:sz w:val="20"/>
          <w:szCs w:val="20"/>
          <w:color w:val="auto"/>
        </w:rPr>
      </w:pPr>
      <w:r>
        <w:rPr>
          <w:rFonts w:ascii="Arial" w:cs="Arial" w:eastAsia="Arial" w:hAnsi="Arial"/>
          <w:sz w:val="18"/>
          <w:szCs w:val="18"/>
          <w:color w:val="auto"/>
        </w:rPr>
        <w:t>The risk factors discussed in this Quarterly Report and the 2021 Annual Report under the heading “Risk Factors,” could cause our results to differ materially from those expressed in forward-looking statements. Factors that could cause actual results to differ materially from those in the forward-looking statements include, but are not limited to:</w:t>
      </w:r>
    </w:p>
    <w:p>
      <w:pPr>
        <w:spacing w:after="0" w:line="228"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uncertainties related to the ongoing COVID-19 pandemic;</w:t>
      </w:r>
    </w:p>
    <w:p>
      <w:pPr>
        <w:spacing w:after="0" w:line="26" w:lineRule="exact"/>
        <w:rPr>
          <w:rFonts w:ascii="Arial" w:cs="Arial" w:eastAsia="Arial" w:hAnsi="Arial"/>
          <w:sz w:val="22"/>
          <w:szCs w:val="22"/>
          <w:color w:val="auto"/>
        </w:rPr>
      </w:pPr>
    </w:p>
    <w:p>
      <w:pPr>
        <w:ind w:left="660" w:right="20" w:hanging="328"/>
        <w:spacing w:after="0" w:line="232" w:lineRule="auto"/>
        <w:tabs>
          <w:tab w:leader="none" w:pos="655" w:val="left"/>
        </w:tabs>
        <w:numPr>
          <w:ilvl w:val="0"/>
          <w:numId w:val="13"/>
        </w:numPr>
        <w:rPr>
          <w:rFonts w:ascii="Arial" w:cs="Arial" w:eastAsia="Arial" w:hAnsi="Arial"/>
          <w:sz w:val="22"/>
          <w:szCs w:val="22"/>
          <w:color w:val="auto"/>
        </w:rPr>
      </w:pPr>
      <w:r>
        <w:rPr>
          <w:rFonts w:ascii="Arial" w:cs="Arial" w:eastAsia="Arial" w:hAnsi="Arial"/>
          <w:sz w:val="18"/>
          <w:szCs w:val="18"/>
          <w:color w:val="auto"/>
        </w:rPr>
        <w:t>difficulty complying with state and federal vaccination mandates, which widely vary, and the potential effects of such vaccine mandates on our business, including our ability to retain and hire staff and maintain residents of our senior living facilities;</w:t>
      </w:r>
    </w:p>
    <w:p>
      <w:pPr>
        <w:spacing w:after="0" w:line="81"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13"/>
        </w:numPr>
        <w:rPr>
          <w:rFonts w:ascii="Arial" w:cs="Arial" w:eastAsia="Arial" w:hAnsi="Arial"/>
          <w:sz w:val="22"/>
          <w:szCs w:val="22"/>
          <w:color w:val="auto"/>
        </w:rPr>
      </w:pPr>
      <w:r>
        <w:rPr>
          <w:rFonts w:ascii="Arial" w:cs="Arial" w:eastAsia="Arial" w:hAnsi="Arial"/>
          <w:sz w:val="18"/>
          <w:szCs w:val="18"/>
          <w:color w:val="auto"/>
        </w:rPr>
        <w:t>uncertainties related to the end of the COVID-19 public health emergency declared by federal and state authorities, and the expiration of certain waivers granted during that emergency;</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federal and state changes to, or delays receiving, reimbursement and other aspects of Medicaid and Medicare;</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changes in the regulations affecting the healthcare industry;</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potential additional regulation affecting the ownership and staffing of businesses in our industry;</w:t>
      </w:r>
    </w:p>
    <w:p>
      <w:pPr>
        <w:spacing w:after="0" w:line="2"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increases in the federal income tax rate;</w:t>
      </w:r>
    </w:p>
    <w:p>
      <w:pPr>
        <w:spacing w:after="0" w:line="4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competition and increased cost of acquisition or retention for, or a shortage of, skilled personnel;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government reviews, audits and investigations of our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federal and state employment related laws;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compliance with state and federal employment, immigration, licensing and other laws;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competition from other healthcare providers;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actions of national labor unions;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leases of our affiliated senior living communities;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complete future community or business acquisitions and failure to successfully integrate acquired communities and businesses into our operations;</w:t>
      </w:r>
    </w:p>
    <w:p>
      <w:pPr>
        <w:spacing w:after="0" w:line="2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general economic conditions, including inflation, which raises the costs of goods;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security breaches and other cyber security incidents;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performance of the financial and credit markets;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uncertainties related to our ability to obtain financing or the terms of such financing.</w:t>
      </w:r>
    </w:p>
    <w:p>
      <w:pPr>
        <w:spacing w:after="0" w:line="306" w:lineRule="exact"/>
        <w:rPr>
          <w:sz w:val="20"/>
          <w:szCs w:val="20"/>
          <w:color w:val="auto"/>
        </w:rPr>
      </w:pPr>
    </w:p>
    <w:p>
      <w:pPr>
        <w:jc w:val="both"/>
        <w:ind w:firstLine="237"/>
        <w:spacing w:after="0" w:line="311" w:lineRule="auto"/>
        <w:rPr>
          <w:sz w:val="20"/>
          <w:szCs w:val="20"/>
          <w:color w:val="auto"/>
        </w:rPr>
      </w:pPr>
      <w:r>
        <w:rPr>
          <w:rFonts w:ascii="Arial" w:cs="Arial" w:eastAsia="Arial" w:hAnsi="Arial"/>
          <w:sz w:val="16"/>
          <w:szCs w:val="16"/>
          <w:color w:val="auto"/>
        </w:rPr>
        <w:t>Forward-looking statements involve risks, uncertainties and assumptions. Actual results may differ materially from those expressed in these forward-looking statements. You should not place undue reliance on any forward-looking statements in this Quarterly Report. Although we may from time to time voluntarily update our prior forward-looking statements, we disclaim any commitment to do so except as required by applicable securities laws.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are a leading provider of high-quality healthcare services to patients of all ages, including the growing senior population, in the United States. We strive to be the provider of choice in the communities we serve through our innovative operating model. We operate in multiple lines of businesses including home health, hospice and senior living services across Arizona, California, Colorado, Idaho, Iowa, Montana, Nevada, Oklahoma, Oregon, Texas, Utah, Washington, Wisconsin and Wyoming. As of March 31, 2022, our home health and hospice business provided home health, hospice and home care services from 88 agencies operating across these 14 states, and our senior living business operated 52 senior living communities throughout seven states.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affiliated home health and hospice agencies and senior living communities as of:</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ind w:left="260"/>
              <w:spacing w:after="0"/>
              <w:rPr>
                <w:sz w:val="20"/>
                <w:szCs w:val="20"/>
                <w:color w:val="auto"/>
              </w:rPr>
            </w:pPr>
            <w:r>
              <w:rPr>
                <w:rFonts w:ascii="Arial" w:cs="Arial" w:eastAsia="Arial" w:hAnsi="Arial"/>
                <w:sz w:val="18"/>
                <w:szCs w:val="18"/>
                <w:b w:val="1"/>
                <w:bCs w:val="1"/>
                <w:color w:val="auto"/>
              </w:rPr>
              <w:t>December 31,</w:t>
            </w: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23"/>
        </w:trPr>
        <w:tc>
          <w:tcPr>
            <w:tcW w:w="36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2015</w:t>
            </w:r>
          </w:p>
        </w:tc>
        <w:tc>
          <w:tcPr>
            <w:tcW w:w="8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health and hospice agencies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9"/>
        </w:trPr>
        <w:tc>
          <w:tcPr>
            <w:tcW w:w="3600" w:type="dxa"/>
            <w:vAlign w:val="bottom"/>
          </w:tcPr>
          <w:p>
            <w:pPr>
              <w:ind w:left="20"/>
              <w:spacing w:after="0"/>
              <w:rPr>
                <w:sz w:val="20"/>
                <w:szCs w:val="20"/>
                <w:color w:val="auto"/>
              </w:rPr>
            </w:pPr>
            <w:r>
              <w:rPr>
                <w:rFonts w:ascii="Arial" w:cs="Arial" w:eastAsia="Arial" w:hAnsi="Arial"/>
                <w:sz w:val="18"/>
                <w:szCs w:val="18"/>
                <w:color w:val="auto"/>
              </w:rPr>
              <w:t>Senior living communities</w:t>
            </w: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living units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3,719</w:t>
            </w:r>
          </w:p>
        </w:tc>
        <w:tc>
          <w:tcPr>
            <w:tcW w:w="0" w:type="dxa"/>
            <w:vAlign w:val="bottom"/>
          </w:tcPr>
          <w:p>
            <w:pPr>
              <w:spacing w:after="0"/>
              <w:rPr>
                <w:sz w:val="1"/>
                <w:szCs w:val="1"/>
                <w:color w:val="auto"/>
              </w:rPr>
            </w:pPr>
          </w:p>
        </w:tc>
      </w:tr>
      <w:tr>
        <w:trPr>
          <w:trHeight w:val="175"/>
        </w:trPr>
        <w:tc>
          <w:tcPr>
            <w:tcW w:w="3600" w:type="dxa"/>
            <w:vAlign w:val="bottom"/>
          </w:tcPr>
          <w:p>
            <w:pPr>
              <w:ind w:left="20"/>
              <w:spacing w:after="0" w:line="176" w:lineRule="exact"/>
              <w:rPr>
                <w:sz w:val="20"/>
                <w:szCs w:val="20"/>
                <w:color w:val="auto"/>
              </w:rPr>
            </w:pPr>
            <w:r>
              <w:rPr>
                <w:rFonts w:ascii="Arial" w:cs="Arial" w:eastAsia="Arial" w:hAnsi="Arial"/>
                <w:sz w:val="18"/>
                <w:szCs w:val="18"/>
                <w:color w:val="auto"/>
              </w:rPr>
              <w:t>Total number of home health, hospice, and</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Arial" w:cs="Arial" w:eastAsia="Arial" w:hAnsi="Arial"/>
                <w:sz w:val="18"/>
                <w:szCs w:val="18"/>
                <w:color w:val="auto"/>
              </w:rPr>
              <w:t>senior living operations</w:t>
            </w:r>
          </w:p>
        </w:tc>
        <w:tc>
          <w:tcPr>
            <w:tcW w:w="7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COVID-19</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been, and we expect to continue to be, impacted by several factors related to the viral disease known as COVID-19 (“COVID-19”) that may cause actual results to differ from our historical results or current expectations. Due to the COVID-19 pandemic, the results presented in this report are not necessarily indicative of future operating results. The situation surrounding COVID-19 remains fluid. We are actively managing our response in collaboration with government officials, team members and business partners, and we are assessing potential impacts to our financial position and operating results, as well as adverse developments in our business.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Home Health and Hospice</w:t>
      </w:r>
    </w:p>
    <w:p>
      <w:pPr>
        <w:spacing w:after="0" w:line="23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During the first quarter of 2022, the labor challenges experienced throughout the past year continued with some moderation. For the first quarter of 2022, hospice average discharged length of stay was impacted slightly as a result of a shift of patient referrals from more acute settings, resulting in a modest decline in hospice average length of stay despite an incremental improvement in hospice admissions.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Senior Living</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COVID-19 continues to impact all aspects of our senior living business and geographies, including impacts on our residents, team members, vendors and business partners. While our overall senior living occupancy has decreased since the onset of the COVID-19 pandemic due to a greater number of move outs net of move ins, during the first quarter of 2022 we experienced modest improvement in occupancy. We cannot be sure if or when the occupancy levels in our senior living communities will improve over multiple measurement periods or return to pre-pandemic levels.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Labor</w:t>
      </w:r>
    </w:p>
    <w:p>
      <w:pPr>
        <w:spacing w:after="0" w:line="23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We have experienced and expect to continue to see increased wages rates in response to staffing shortages as is occurring throughout the nation and the healthcare industry, in particular. We are monitoring the ongoing impact of COVID-19 on labor costs due to increased overtime, premium pay, and temporary labor to supplement existing staffing and our response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rPr>
          <w:sz w:val="20"/>
          <w:szCs w:val="20"/>
          <w:color w:val="auto"/>
        </w:rPr>
      </w:pPr>
      <w:r>
        <w:rPr>
          <w:rFonts w:ascii="Arial" w:cs="Arial" w:eastAsia="Arial" w:hAnsi="Arial"/>
          <w:sz w:val="17"/>
          <w:szCs w:val="17"/>
          <w:color w:val="auto"/>
        </w:rPr>
        <w:t>actions towards our revenue and expenses, including labor acquisition, retention, and turnover costs that may be imposed by existing and anticipated state and federal vaccination mandates imposed for skilled workers in home health agencies, senior living communities and other health care service providers. However, the extent to which COVID-19 will continue to impact our operations will depend on future developments, which remain uncertain and cannot be predicted with confidence, including the pace of spread and impact of the B.1.617.2 variant of COVID-19 (the “Delta variant”), the subsequent spread of the more infectious Omicron BA.1 variant and, most recently, Omicron BA.2 variant, and other potential existing or future variant strains, and the actions taken to contain COVID-19 or treat its impact, among others.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Activities</w:t>
      </w:r>
    </w:p>
    <w:p>
      <w:pPr>
        <w:spacing w:after="0" w:line="24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 xml:space="preserve">Acquisitions. </w:t>
      </w:r>
      <w:r>
        <w:rPr>
          <w:rFonts w:ascii="Arial" w:cs="Arial" w:eastAsia="Arial" w:hAnsi="Arial"/>
          <w:sz w:val="16"/>
          <w:szCs w:val="16"/>
          <w:color w:val="auto"/>
        </w:rPr>
        <w:t>No operations were acquired during the three months ended March 31, 2022. Subsequent to March 31, 2022,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announced it closed on the acquisition of a home health provider that will provide services in Bozeman, Montana. The combined purchase price for the home health agency was $0.8 million. We established one start-up hospice agency in Washington during the three months ended March 31, 2022.</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Since the pandemic began and throughout the 2021 fiscal year, we experienced a steady decline in senior living occupancy as move-ins declined relative to move-outs due to the pandemic. We experienced modest senior living occupancy improvement in the first quarter, partly as a result of improving COVID-19 case trends. We cannot be sure when the occupancy levels in our senior living communities will return to pre-pandemic levels. As uncertainty regarding the COVID-19 pandemic persists, if there is a resurgence in cases, or if variant strains aggressively emerge, we could see a more prolonged recovery.</w:t>
      </w:r>
    </w:p>
    <w:p>
      <w:pPr>
        <w:spacing w:after="0" w:line="21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When we acquire turnaround or start-up operations, we expect that our combined metrics may be impacted. We expect these metrics to vary from period to period based upon the maturity of the operations within our portfolio. We have generally experienced lower occupancy rates and higher costs at our senior living communities and lower census and higher costs at our home health and hospice agencies for recently acquired operations; as a result, we generally anticipate lower and/or fluctuating consolidated and segment margins during years of acquisition growth.</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disclosed under the heading “Government Regulation” in the 2021 Annual Report a summary of regulations that we believe materially affect our business, financial condition or results of operations. Since the time of the filing of the 2021 Annual Report, the following regulations have been updated.</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Coronavirus Aid, Relief, and Economic Security Act (the “CARES Act”) was enacted on March 27, 2020 in the United States and subsequent regulatory actions. The CARES Act contained provisions for accelerated or advance Medicare payments (“AAP”) to provide supporting cash flow to providers and suppliers combating the effects of the COVID-19 pandemic. We applied for and received $28.0 million in 2020. These funds are subject to automatic recoupment through offsets to new claims beginning one year after payment were issued. In April, 2021, CMS began to automatically recoup 25% of Medicare payments, which continued for 11 months. At the end of the 11 months, assuming full repayment has not occurred, recoupment will increase to 50% for another six months. Any balance outstanding after these two recoupment periods will be subject to repayment at a 4% interest rate. CMS had recouped $26.5 million of the AAP since repayment began in 2021 through March 31, 2022.</w:t>
      </w:r>
    </w:p>
    <w:p>
      <w:pPr>
        <w:spacing w:after="0" w:line="20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CARES Act payroll tax deferral program allowed employers to defer the deposit and payment of the employer’s portion of social security taxes that otherwise would be due between March 27, 2020, and December 31, 2020. The CARES Act permits employers to deposit half of these deferred payments by the end of 2021 and the other half by the end of 2022. The Company deferred approximately $7.8 million of the employer-paid portion of social security taxes, of which $4.1 million remains as of March 31, 2022 and is included in current liabilities in accrued wages and related liabilities.</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described in our most recent Annual Report on Form 10-K, Item 1A, Risks Related to COVID-19, CMS issued, and the United States Supreme Court upheld, an interim final rule requiring workers of Medicare- or Medicaid-reimbursed operations to be fully vaccinated or subject to an appropriate exemption. The application of this interim final rule has been extended to all 50 states after litigation before various courts, including the United States Supreme Court. The deadline for compliance with this mandate ranged from February 28, 2022 to March 21, 2022, based on the state of operation. In addition, several states in which our independent operating subsidiaries are located issued their own vaccine requirements, most notably California, Colorado, Oregon, and Washington. In some of the states where our independent operating subsidiaries are located, state requirements for vaccination of healthcare workers have been updated to address the availability and necessity of vaccine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boosters after receiving an initial one- or two-injection course of vaccination. Still other states, such as Texas, have prohibited COVID-19 vaccines from being required as a matter of state law. Compliance with the relevant federal and state vaccine mandates or laws is challenging, due to both legal challenges and differing requirements</w:t>
      </w:r>
    </w:p>
    <w:p>
      <w:pPr>
        <w:spacing w:after="0" w:line="197"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As of March 31, 2022, our independent operating subsidiaries are substantially in compliance with these mandates. While the mandates have contributed to industry-wide staffing shortages and increased competition for qualified employees, those impacts have been felt across the health care industry and are not unique to our operations. The various federal and state mandates have also created ongoing testing, tracking and other administrative obligations and expenses, which may persist as long as the mandates are in place.</w:t>
      </w:r>
    </w:p>
    <w:p>
      <w:pPr>
        <w:spacing w:after="0" w:line="21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March 30, 2022, CMS issued the 2023 hospice payment rate update proposed rule. The proposed rule provides that a hospice’s wage index (one component of its payment rate), which is tied to the hospital wage index in the same geographic area, will not be reduced more than 5% year-over-year, regardless of the reason for the decrease. In other words, a hospice’s wage index each fiscal year will be no less than 95% of its prior fiscal year wage index. This will help protect hospices against large annual wage-based reimbursement decreases. This proposed change is permanent if adopted in the final rule for hospice payments in fiscal year 2023 and would not automatically expire or require renewal.</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two reportable segments: (1) home health and hospice services, which includes our home health, home care and hospice businesses; and</w:t>
      </w:r>
    </w:p>
    <w:p>
      <w:pPr>
        <w:spacing w:after="0" w:line="46" w:lineRule="exact"/>
        <w:rPr>
          <w:sz w:val="20"/>
          <w:szCs w:val="20"/>
          <w:color w:val="auto"/>
        </w:rPr>
      </w:pPr>
    </w:p>
    <w:p>
      <w:pPr>
        <w:jc w:val="both"/>
        <w:ind w:firstLine="8"/>
        <w:spacing w:after="0" w:line="255" w:lineRule="auto"/>
        <w:tabs>
          <w:tab w:leader="none" w:pos="262"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senior living services, which includes the operation of assisted living, independent living and memory care communities. Our Chief Executive Officer, who is our Chief Operating Decision Maker (“CODM”), reviews financial information at the operating segment level. We also report an “all other” category that includes general and administrative expense from our Service Center.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manage the fiscal aspects of our business by monitoring key performance indicators that affect our financial performance. These indicators and their definitions include the following: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Health and Hospice Services</w:t>
      </w:r>
    </w:p>
    <w:p>
      <w:pPr>
        <w:spacing w:after="0" w:line="25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6"/>
          <w:szCs w:val="16"/>
          <w:i w:val="1"/>
          <w:iCs w:val="1"/>
          <w:color w:val="auto"/>
        </w:rPr>
      </w:pPr>
      <w:r>
        <w:rPr>
          <w:rFonts w:ascii="Arial" w:cs="Arial" w:eastAsia="Arial" w:hAnsi="Arial"/>
          <w:sz w:val="16"/>
          <w:szCs w:val="16"/>
          <w:b w:val="1"/>
          <w:bCs w:val="1"/>
          <w:i w:val="1"/>
          <w:iCs w:val="1"/>
          <w:color w:val="auto"/>
        </w:rPr>
        <w:t>Total home health admissions</w:t>
      </w:r>
      <w:r>
        <w:rPr>
          <w:rFonts w:ascii="Arial" w:cs="Arial" w:eastAsia="Arial" w:hAnsi="Arial"/>
          <w:sz w:val="16"/>
          <w:szCs w:val="16"/>
          <w:color w:val="auto"/>
        </w:rPr>
        <w:t>. The total admissions of home health patients, including new acquisitions, new admissions and readmissions.</w:t>
      </w:r>
    </w:p>
    <w:p>
      <w:pPr>
        <w:spacing w:after="0" w:line="140" w:lineRule="exact"/>
        <w:rPr>
          <w:rFonts w:ascii="Arial" w:cs="Arial" w:eastAsia="Arial" w:hAnsi="Arial"/>
          <w:sz w:val="16"/>
          <w:szCs w:val="16"/>
          <w:i w:val="1"/>
          <w:iCs w:val="1"/>
          <w:color w:val="auto"/>
        </w:rPr>
      </w:pPr>
    </w:p>
    <w:p>
      <w:pPr>
        <w:ind w:left="660" w:right="20" w:hanging="328"/>
        <w:spacing w:after="0" w:line="277" w:lineRule="auto"/>
        <w:tabs>
          <w:tab w:leader="none" w:pos="655" w:val="left"/>
        </w:tabs>
        <w:numPr>
          <w:ilvl w:val="0"/>
          <w:numId w:val="16"/>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Total Medicare home health admissions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Total admissions of home health patients, who are receiving care under Medicare reimbursement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programs, including new acquisitions, new admissions and readmissions.</w:t>
      </w:r>
    </w:p>
    <w:p>
      <w:pPr>
        <w:spacing w:after="0" w:line="62" w:lineRule="exact"/>
        <w:rPr>
          <w:rFonts w:ascii="Arial" w:cs="Arial" w:eastAsia="Arial" w:hAnsi="Arial"/>
          <w:sz w:val="18"/>
          <w:szCs w:val="18"/>
          <w:i w:val="1"/>
          <w:iCs w:val="1"/>
          <w:color w:val="auto"/>
        </w:rPr>
      </w:pPr>
    </w:p>
    <w:p>
      <w:pPr>
        <w:ind w:left="660" w:right="20" w:hanging="328"/>
        <w:spacing w:after="0" w:line="277" w:lineRule="auto"/>
        <w:tabs>
          <w:tab w:leader="none" w:pos="655" w:val="left"/>
        </w:tabs>
        <w:numPr>
          <w:ilvl w:val="0"/>
          <w:numId w:val="16"/>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Average Medicare revenue per completed 60-day home health episode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average amount of revenue for each completed 60-day home health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episode generated from patients who are receiving care under Medicare reimbursement programs.</w:t>
      </w:r>
    </w:p>
    <w:p>
      <w:pPr>
        <w:spacing w:after="0" w:line="62" w:lineRule="exact"/>
        <w:rPr>
          <w:rFonts w:ascii="Arial" w:cs="Arial" w:eastAsia="Arial" w:hAnsi="Arial"/>
          <w:sz w:val="18"/>
          <w:szCs w:val="18"/>
          <w:i w:val="1"/>
          <w:iCs w:val="1"/>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Total hospice admissions</w:t>
      </w:r>
      <w:r>
        <w:rPr>
          <w:rFonts w:ascii="Arial" w:cs="Arial" w:eastAsia="Arial" w:hAnsi="Arial"/>
          <w:sz w:val="18"/>
          <w:szCs w:val="18"/>
          <w:color w:val="auto"/>
        </w:rPr>
        <w:t>. Total admissions of hospice patients, including new acquisitions, new admissions and recertifications.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Average hospice daily census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average number of patients who are receiving hospice care during any measurement period divided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days during such measurement period.</w:t>
      </w:r>
    </w:p>
    <w:p>
      <w:pPr>
        <w:spacing w:after="0" w:line="62" w:lineRule="exact"/>
        <w:rPr>
          <w:rFonts w:ascii="Arial" w:cs="Arial" w:eastAsia="Arial" w:hAnsi="Arial"/>
          <w:sz w:val="18"/>
          <w:szCs w:val="18"/>
          <w:b w:val="1"/>
          <w:bCs w:val="1"/>
          <w:i w:val="1"/>
          <w:iCs w:val="1"/>
          <w:color w:val="auto"/>
        </w:rPr>
      </w:pPr>
    </w:p>
    <w:p>
      <w:pPr>
        <w:ind w:left="660" w:right="2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Hospice Medicare revenue per day</w:t>
      </w:r>
      <w:r>
        <w:rPr>
          <w:rFonts w:ascii="Arial" w:cs="Arial" w:eastAsia="Arial" w:hAnsi="Arial"/>
          <w:sz w:val="18"/>
          <w:szCs w:val="18"/>
          <w:color w:val="auto"/>
        </w:rPr>
        <w:t>. The average daily Medicare revenue recorded during any measurement period for services provided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hospice patients.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872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790"/>
        </w:trPr>
        <w:tc>
          <w:tcPr>
            <w:tcW w:w="8720" w:type="dxa"/>
            <w:vAlign w:val="bottom"/>
            <w:gridSpan w:val="2"/>
          </w:tcPr>
          <w:p>
            <w:pPr>
              <w:ind w:left="660"/>
              <w:spacing w:after="0"/>
              <w:rPr>
                <w:sz w:val="20"/>
                <w:szCs w:val="20"/>
                <w:color w:val="auto"/>
              </w:rPr>
            </w:pPr>
            <w:r>
              <w:rPr>
                <w:rFonts w:ascii="Arial" w:cs="Arial" w:eastAsia="Arial" w:hAnsi="Arial"/>
                <w:sz w:val="18"/>
                <w:szCs w:val="18"/>
                <w:color w:val="auto"/>
                <w:w w:val="97"/>
              </w:rPr>
              <w:t>The following table summarizes our overall home health and hospice statistics for the periods indicated:</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99"/>
        </w:trPr>
        <w:tc>
          <w:tcPr>
            <w:tcW w:w="128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252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23"/>
        </w:trPr>
        <w:tc>
          <w:tcPr>
            <w:tcW w:w="1280" w:type="dxa"/>
            <w:vAlign w:val="bottom"/>
            <w:tcBorders>
              <w:bottom w:val="single" w:sz="8" w:color="CCEEFF"/>
            </w:tcBorders>
          </w:tcPr>
          <w:p>
            <w:pPr>
              <w:spacing w:after="0"/>
              <w:rPr>
                <w:sz w:val="19"/>
                <w:szCs w:val="19"/>
                <w:color w:val="auto"/>
              </w:rPr>
            </w:pPr>
          </w:p>
        </w:tc>
        <w:tc>
          <w:tcPr>
            <w:tcW w:w="74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r>
      <w:tr>
        <w:trPr>
          <w:trHeight w:val="210"/>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Home health services: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8720" w:type="dxa"/>
            <w:vAlign w:val="bottom"/>
            <w:gridSpan w:val="2"/>
          </w:tcPr>
          <w:p>
            <w:pPr>
              <w:ind w:left="220"/>
              <w:spacing w:after="0"/>
              <w:rPr>
                <w:sz w:val="20"/>
                <w:szCs w:val="20"/>
                <w:color w:val="auto"/>
              </w:rPr>
            </w:pPr>
            <w:r>
              <w:rPr>
                <w:rFonts w:ascii="Arial" w:cs="Arial" w:eastAsia="Arial" w:hAnsi="Arial"/>
                <w:sz w:val="18"/>
                <w:szCs w:val="18"/>
                <w:color w:val="auto"/>
              </w:rPr>
              <w:t>Total home health admissions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9,097</w:t>
            </w:r>
          </w:p>
        </w:tc>
      </w:tr>
      <w:tr>
        <w:trPr>
          <w:trHeight w:val="229"/>
        </w:trPr>
        <w:tc>
          <w:tcPr>
            <w:tcW w:w="8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Medicare home health admissions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w:t>
            </w:r>
          </w:p>
        </w:tc>
      </w:tr>
      <w:tr>
        <w:trPr>
          <w:trHeight w:val="230"/>
        </w:trPr>
        <w:tc>
          <w:tcPr>
            <w:tcW w:w="8720" w:type="dxa"/>
            <w:vAlign w:val="bottom"/>
            <w:gridSpan w:val="2"/>
          </w:tcPr>
          <w:p>
            <w:pPr>
              <w:ind w:left="220"/>
              <w:spacing w:after="0" w:line="230" w:lineRule="exact"/>
              <w:rPr>
                <w:sz w:val="20"/>
                <w:szCs w:val="20"/>
                <w:color w:val="auto"/>
              </w:rPr>
            </w:pPr>
            <w:r>
              <w:rPr>
                <w:rFonts w:ascii="Arial" w:cs="Arial" w:eastAsia="Arial" w:hAnsi="Arial"/>
                <w:sz w:val="18"/>
                <w:szCs w:val="18"/>
                <w:color w:val="auto"/>
              </w:rPr>
              <w:t>Average Medicare revenue per 60-day completed episode</w:t>
            </w:r>
            <w:r>
              <w:rPr>
                <w:rFonts w:ascii="Arial" w:cs="Arial" w:eastAsia="Arial" w:hAnsi="Arial"/>
                <w:sz w:val="23"/>
                <w:szCs w:val="23"/>
                <w:color w:val="auto"/>
                <w:vertAlign w:val="superscript"/>
              </w:rPr>
              <w:t>(a)</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3,539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3,395</w:t>
            </w:r>
          </w:p>
        </w:tc>
      </w:tr>
      <w:tr>
        <w:trPr>
          <w:trHeight w:val="229"/>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Hospice services: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720" w:type="dxa"/>
            <w:vAlign w:val="bottom"/>
            <w:gridSpan w:val="2"/>
          </w:tcPr>
          <w:p>
            <w:pPr>
              <w:ind w:left="220"/>
              <w:spacing w:after="0"/>
              <w:rPr>
                <w:sz w:val="20"/>
                <w:szCs w:val="20"/>
                <w:color w:val="auto"/>
              </w:rPr>
            </w:pPr>
            <w:r>
              <w:rPr>
                <w:rFonts w:ascii="Arial" w:cs="Arial" w:eastAsia="Arial" w:hAnsi="Arial"/>
                <w:sz w:val="18"/>
                <w:szCs w:val="18"/>
                <w:color w:val="auto"/>
              </w:rPr>
              <w:t>Total hospice admissions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2,154</w:t>
            </w:r>
          </w:p>
        </w:tc>
      </w:tr>
      <w:tr>
        <w:trPr>
          <w:trHeight w:val="229"/>
        </w:trPr>
        <w:tc>
          <w:tcPr>
            <w:tcW w:w="8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Average hospice daily census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w:t>
            </w:r>
          </w:p>
        </w:tc>
      </w:tr>
      <w:tr>
        <w:trPr>
          <w:trHeight w:val="230"/>
        </w:trPr>
        <w:tc>
          <w:tcPr>
            <w:tcW w:w="8720" w:type="dxa"/>
            <w:vAlign w:val="bottom"/>
            <w:gridSpan w:val="2"/>
          </w:tcPr>
          <w:p>
            <w:pPr>
              <w:ind w:left="220"/>
              <w:spacing w:after="0"/>
              <w:rPr>
                <w:sz w:val="20"/>
                <w:szCs w:val="20"/>
                <w:color w:val="auto"/>
              </w:rPr>
            </w:pPr>
            <w:r>
              <w:rPr>
                <w:rFonts w:ascii="Arial" w:cs="Arial" w:eastAsia="Arial" w:hAnsi="Arial"/>
                <w:sz w:val="18"/>
                <w:szCs w:val="18"/>
                <w:color w:val="auto"/>
              </w:rPr>
              <w:t>Hospice Medicare revenue per day</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172</w:t>
            </w:r>
          </w:p>
        </w:tc>
      </w:tr>
    </w:tbl>
    <w:p>
      <w:pPr>
        <w:spacing w:after="0" w:line="115" w:lineRule="exact"/>
        <w:rPr>
          <w:sz w:val="20"/>
          <w:szCs w:val="20"/>
          <w:color w:val="auto"/>
        </w:rPr>
      </w:pPr>
    </w:p>
    <w:p>
      <w:pPr>
        <w:ind w:left="480" w:hanging="454"/>
        <w:spacing w:after="0"/>
        <w:tabs>
          <w:tab w:leader="none" w:pos="4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year to date average Medicare revenue per 60-day completed episode includes post period claim adjustments for prior quarters.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Living Services</w:t>
      </w:r>
    </w:p>
    <w:p>
      <w:pPr>
        <w:spacing w:after="0" w:line="252" w:lineRule="exact"/>
        <w:rPr>
          <w:sz w:val="20"/>
          <w:szCs w:val="20"/>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Occupancy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ratio of actual number of days our units are occupied during any measurement period to the number of units available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occupancy during such measurement period.</w:t>
      </w:r>
    </w:p>
    <w:p>
      <w:pPr>
        <w:spacing w:after="0" w:line="62"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b w:val="1"/>
          <w:bCs w:val="1"/>
          <w:i w:val="1"/>
          <w:iCs w:val="1"/>
          <w:color w:val="auto"/>
        </w:rPr>
        <w:t>Average monthly revenue per occupied unit</w:t>
      </w:r>
      <w:r>
        <w:rPr>
          <w:rFonts w:ascii="Arial" w:cs="Arial" w:eastAsia="Arial" w:hAnsi="Arial"/>
          <w:sz w:val="17"/>
          <w:szCs w:val="17"/>
          <w:color w:val="auto"/>
        </w:rPr>
        <w:t>. The room and board revenue for senior living services during any measurement period divided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actual occupied senior living units for such measurement period divided by the number of months for such measurement period..</w:t>
      </w:r>
    </w:p>
    <w:p>
      <w:pPr>
        <w:spacing w:after="0" w:line="38"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The following table summarizes our senior living statistics for the periods indicated: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23"/>
        </w:trPr>
        <w:tc>
          <w:tcPr>
            <w:tcW w:w="84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r>
      <w:tr>
        <w:trPr>
          <w:trHeight w:val="223"/>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Occupancy</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72.1 %</w:t>
            </w: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Average monthly revenue per occupied unit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3,371</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3,186</w:t>
            </w: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Health and Hospice Services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Home Health. </w:t>
      </w:r>
      <w:r>
        <w:rPr>
          <w:rFonts w:ascii="Arial" w:cs="Arial" w:eastAsia="Arial" w:hAnsi="Arial"/>
          <w:sz w:val="16"/>
          <w:szCs w:val="16"/>
          <w:color w:val="auto"/>
        </w:rPr>
        <w:t>We derive the majority of our home health revenue from Medicare and managed care. The Medicare payment is adjusted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differences between estimated and actual payment amounts, an inability to obtain appropriate billing documentation or authorizations acceptable to the payor and other reasons unrelated to credit risk. Net service revenue is recognized in accordance with the under the Patient-Driven Groupings Model (“PDGM”) methodology. Under PDGM, Medicare provides agencies with payments for each 30-day period of care provided to beneficiaries. If a beneficiary is still eligible for care after the end of the first 30-day payment period, a second 30-day payment period can begin. There are no limits to the number of periods of care a beneficiary who remains eligible for the home health benefit can receive. While payment for each 30-day period of care is adjusted to reflect the beneficiary’s health condition and needs, a special outlier provision exists to ensure appropriate payment for those beneficiaries that have the most expensive care needs. The payment under the Medicare program is also adjusted for certain variables including, but not limited to: (a) a low utilization payment adjustment if the number of visits is below an established threshold that varies based on the diagnosis of a beneficiary; (b) a partial payment if the patient transferred to another provider or the Company received a patient from another provider before completing the period of care; (c) adjustment to the admission source of claim if it is determined that the patient had a qualifying stay in a post-acute care setting within 14 days prior to the start of a 30-day payment period; (d) the timing of the 30-day payment period provided to a patient in relation to the admission date, regardless of whether the same home health provider provided care for the entire series of episodes; (e) changes to the acuity of the patient during the previous 30-day period of care; (f) changes in the base payments established by the Medicare program; (g) adjustments to the base payments for case mix and geographic wages;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and (h) recoveries of overpayments. For further detail regarding PDGM see the </w:t>
      </w:r>
      <w:r>
        <w:rPr>
          <w:rFonts w:ascii="Arial" w:cs="Arial" w:eastAsia="Arial" w:hAnsi="Arial"/>
          <w:sz w:val="18"/>
          <w:szCs w:val="18"/>
          <w:i w:val="1"/>
          <w:iCs w:val="1"/>
          <w:color w:val="auto"/>
        </w:rPr>
        <w:t>Government Regulation</w:t>
      </w:r>
      <w:r>
        <w:rPr>
          <w:rFonts w:ascii="Arial" w:cs="Arial" w:eastAsia="Arial" w:hAnsi="Arial"/>
          <w:sz w:val="18"/>
          <w:szCs w:val="18"/>
          <w:color w:val="auto"/>
        </w:rPr>
        <w:t xml:space="preserve"> section of our 2021 Annual Report.</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Hospice. </w:t>
      </w:r>
      <w:r>
        <w:rPr>
          <w:rFonts w:ascii="Arial" w:cs="Arial" w:eastAsia="Arial" w:hAnsi="Arial"/>
          <w:sz w:val="18"/>
          <w:szCs w:val="18"/>
          <w:color w:val="auto"/>
        </w:rPr>
        <w:t>We derive the majority of our hospice business revenue from Medicare reimbursement. The estimated payment rates are calculated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daily rates for each of the levels of care we deliver. Rates are set based on specific levels of care, are adjusted by a wage index to reflect healthcare labor costs across the country and are established annually through federal legislation. The following are the four levels of care provided under the hospice benefit:</w:t>
      </w:r>
    </w:p>
    <w:p>
      <w:pPr>
        <w:spacing w:after="0" w:line="214" w:lineRule="exact"/>
        <w:rPr>
          <w:sz w:val="20"/>
          <w:szCs w:val="20"/>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Routine Home Care (“RHC”). </w:t>
      </w:r>
      <w:r>
        <w:rPr>
          <w:rFonts w:ascii="Arial" w:cs="Arial" w:eastAsia="Arial" w:hAnsi="Arial"/>
          <w:sz w:val="18"/>
          <w:szCs w:val="18"/>
          <w:color w:val="auto"/>
        </w:rPr>
        <w:t>Care that is not classified under any of the other levels of care, such as the work of nurses, social workers or home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health aides.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General Inpatient Care. </w:t>
      </w:r>
      <w:r>
        <w:rPr>
          <w:rFonts w:ascii="Arial" w:cs="Arial" w:eastAsia="Arial" w:hAnsi="Arial"/>
          <w:sz w:val="18"/>
          <w:szCs w:val="18"/>
          <w:color w:val="auto"/>
        </w:rPr>
        <w:t>Pain control or acute or chronic symptom management that cannot be managed in a setting other than an inpatient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Medicare-certified facility, such as a hospital, skilled nursing facility or hospice inpatient facility.</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Continuous Home Care. </w:t>
      </w:r>
      <w:r>
        <w:rPr>
          <w:rFonts w:ascii="Arial" w:cs="Arial" w:eastAsia="Arial" w:hAnsi="Arial"/>
          <w:sz w:val="18"/>
          <w:szCs w:val="18"/>
          <w:color w:val="auto"/>
        </w:rPr>
        <w:t>Care for patients experiencing a medical crisis that requires nursing services to achieve palliation and symptom control,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the agency provides a minimum of eight hours of care within a 24-hour period.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Inpatient Respite Care. </w:t>
      </w:r>
      <w:r>
        <w:rPr>
          <w:rFonts w:ascii="Arial" w:cs="Arial" w:eastAsia="Arial" w:hAnsi="Arial"/>
          <w:sz w:val="17"/>
          <w:szCs w:val="17"/>
          <w:color w:val="auto"/>
        </w:rPr>
        <w:t>Short-term, inpatient care to give temporary relief to the caregiver who regularly provides care to the patient.</w:t>
      </w:r>
    </w:p>
    <w:p>
      <w:pPr>
        <w:spacing w:after="0" w:line="26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CMS has established a two-tiered payment system for RHC. Hospices are reimbursed at a higher rate for RHC services provided from days of service one through 60 and a lower rate for all subsequent days of service. CMS also provides for a Service Intensity Add-On, which increases payments for certain RHC services provided by registered nurses and social workers to hospice patients during the final seven days of life.</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Medicare reimbursement is adjusted for an inability to obtain appropriate billing documentation or authorizations acceptable to the payor and other reasons unrelated to credit risk. Additionally, as Medicare hospice revenue is subject to an inpatient cap limit and an overall payment cap, we monitor our provider numbers and estimate amounts due back to Medicare to the extent that the cap has been exceeded.</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Senior Living Services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of March 31, 2022, we provided assisted living, independent living and memory care services in 52 communities.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Within our senior living operations, we generate revenue primarily from private pay sources, with a portion earned from Medicaid or other state-specific programs.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Components of Expense</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Cost of Services (excluding rent, general and administrative expense and depreciation and amortization)</w:t>
      </w:r>
      <w:r>
        <w:rPr>
          <w:rFonts w:ascii="Arial" w:cs="Arial" w:eastAsia="Arial" w:hAnsi="Arial"/>
          <w:sz w:val="17"/>
          <w:szCs w:val="17"/>
          <w:color w:val="auto"/>
        </w:rPr>
        <w:t>. Our cost of services represents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costs of operating our independent operating subsidiaries, which primarily consists of payroll and related benefits, supplies, purchased services, and ancillary expenses such as the cost of pharmacy and therapy services provided to patients. Cost of services also includes the cost of general and professional liability insurance and other general cost of services specifically attributable to our operations.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Rent—Cost of Services</w:t>
      </w:r>
      <w:r>
        <w:rPr>
          <w:rFonts w:ascii="Arial" w:cs="Arial" w:eastAsia="Arial" w:hAnsi="Arial"/>
          <w:sz w:val="18"/>
          <w:szCs w:val="18"/>
          <w:color w:val="auto"/>
        </w:rPr>
        <w:t>. Rent—cost of services consists solely of base minimum rent amounts payable under lease agreements to our landlords.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subsidiaries lease and operate but do not own the underlying real estate at our operations, and these amounts do not include taxes, insurance, impounds, capital reserves or other charges payable under the applicable lease agreements.</w:t>
      </w:r>
    </w:p>
    <w:p>
      <w:pPr>
        <w:spacing w:after="0" w:line="2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b w:val="1"/>
          <w:bCs w:val="1"/>
          <w:i w:val="1"/>
          <w:iCs w:val="1"/>
          <w:color w:val="auto"/>
        </w:rPr>
        <w:t>General and Administrative Expense</w:t>
      </w:r>
      <w:r>
        <w:rPr>
          <w:rFonts w:ascii="Arial" w:cs="Arial" w:eastAsia="Arial" w:hAnsi="Arial"/>
          <w:sz w:val="16"/>
          <w:szCs w:val="16"/>
          <w:color w:val="auto"/>
        </w:rPr>
        <w:t>. General and administrative expense consists primarily of payroll and related benefits and travel expenses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our Service Center personnel, including training and other operational support. General and administrative expense also includes professional fees (including accounting and legal fees), costs relating to information systems, stock-based compensation and rent for our Service Center offices.</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color w:val="auto"/>
        </w:rPr>
        <w:t>. Property and equipment are recorded at their original historical cost. Depreciation is computed using the straight-line method over the estimated useful lives of the depreciable assets (ranging from three to 15 years). Leasehold improvements are amortized on a straight-line basis over the shorter of their estimated useful lives or the remaining lease term.</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Our discussion and analysis of our financial condition and results of operations are based on Interim Financial Statements, which have been prepared in accordance with U.S. generally accepted accounting principles (“GAAP”). The preparation of the Interim Financial Statements and related disclosures requires us to make judgments, estimates and assumptions that affect the reported amounts of assets and liabilities and disclosure of contingent assets and liabilities at the date of the financial statements and the reported amounts of revenue and expenses during the reporting period. On an ongoing basis we review our judgments and estimates, including but not limited to those related to revenue, cost allocations, leases, intangible assets, goodwill, and income taxes. We base our estimates and judgments upon our historical experience, knowledge of current conditions and our belief of what could occur in the future considering available information, including assumptions that we believe to be reasonable under the circumstances. By their nature, these estimates and judgments are subject to an inherent degree of uncertainty, and actual results could differ materially from the amounts reported. While we believe that our estimates, assumptions, and judgments are reasonable, they are based on information available when the estimate was made. Refer to Note 2, </w:t>
      </w:r>
      <w:r>
        <w:rPr>
          <w:rFonts w:ascii="Arial" w:cs="Arial" w:eastAsia="Arial" w:hAnsi="Arial"/>
          <w:sz w:val="17"/>
          <w:szCs w:val="17"/>
          <w:i w:val="1"/>
          <w:iCs w:val="1"/>
          <w:color w:val="auto"/>
        </w:rPr>
        <w:t>Basis of Presentation and Summary of Significant Accounting Policies</w:t>
      </w:r>
      <w:r>
        <w:rPr>
          <w:rFonts w:ascii="Arial" w:cs="Arial" w:eastAsia="Arial" w:hAnsi="Arial"/>
          <w:sz w:val="17"/>
          <w:szCs w:val="17"/>
          <w:color w:val="auto"/>
        </w:rPr>
        <w:t>, within the 2021 Annual Report for further information on our critical accounting estimates and policies, which are as follows:</w:t>
      </w:r>
    </w:p>
    <w:p>
      <w:pPr>
        <w:spacing w:after="0" w:line="209" w:lineRule="exact"/>
        <w:rPr>
          <w:sz w:val="20"/>
          <w:szCs w:val="20"/>
          <w:color w:val="auto"/>
        </w:rPr>
      </w:pPr>
    </w:p>
    <w:p>
      <w:pPr>
        <w:ind w:left="660" w:right="600" w:hanging="328"/>
        <w:spacing w:after="0" w:line="308"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Self-insurance reserves </w:t>
      </w:r>
      <w:r>
        <w:rPr>
          <w:rFonts w:ascii="Arial" w:cs="Arial" w:eastAsia="Arial" w:hAnsi="Arial"/>
          <w:sz w:val="17"/>
          <w:szCs w:val="17"/>
          <w:color w:val="auto"/>
        </w:rPr>
        <w:t>- The valuation methods and assumptions used in estimating costs up to retention amounts to settle open claims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insureds and an estimate of the cost of insured claims up to retention amounts that have been incurred but not reported;</w:t>
      </w:r>
    </w:p>
    <w:p>
      <w:pPr>
        <w:spacing w:after="0" w:line="38" w:lineRule="exact"/>
        <w:rPr>
          <w:rFonts w:ascii="Arial" w:cs="Arial" w:eastAsia="Arial" w:hAnsi="Arial"/>
          <w:sz w:val="17"/>
          <w:szCs w:val="17"/>
          <w:color w:val="auto"/>
        </w:rPr>
      </w:pPr>
    </w:p>
    <w:p>
      <w:pPr>
        <w:ind w:left="660" w:right="520" w:hanging="328"/>
        <w:spacing w:after="0" w:line="308" w:lineRule="auto"/>
        <w:tabs>
          <w:tab w:leader="none" w:pos="655" w:val="left"/>
        </w:tabs>
        <w:numPr>
          <w:ilvl w:val="0"/>
          <w:numId w:val="2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Revenue recognition </w:t>
      </w:r>
      <w:r>
        <w:rPr>
          <w:rFonts w:ascii="Arial" w:cs="Arial" w:eastAsia="Arial" w:hAnsi="Arial"/>
          <w:sz w:val="17"/>
          <w:szCs w:val="17"/>
          <w:color w:val="auto"/>
        </w:rPr>
        <w:t>- The estimate of variable considerations to arrive at the transaction price, including methods and assumptions used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determine settlements with Medicare and Medicaid payors or retroactive adjustments due to audits and reviews;</w:t>
      </w:r>
    </w:p>
    <w:p>
      <w:pPr>
        <w:spacing w:after="0" w:line="38" w:lineRule="exact"/>
        <w:rPr>
          <w:rFonts w:ascii="Arial" w:cs="Arial" w:eastAsia="Arial" w:hAnsi="Arial"/>
          <w:sz w:val="17"/>
          <w:szCs w:val="17"/>
          <w:b w:val="1"/>
          <w:bCs w:val="1"/>
          <w:i w:val="1"/>
          <w:iCs w:val="1"/>
          <w:color w:val="auto"/>
        </w:rPr>
      </w:pPr>
    </w:p>
    <w:p>
      <w:pPr>
        <w:ind w:left="660" w:right="40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Leases </w:t>
      </w:r>
      <w:r>
        <w:rPr>
          <w:rFonts w:ascii="Arial" w:cs="Arial" w:eastAsia="Arial" w:hAnsi="Arial"/>
          <w:sz w:val="18"/>
          <w:szCs w:val="18"/>
          <w:color w:val="auto"/>
        </w:rPr>
        <w:t>- We use our estimated incremental borrowing rate based on the information available at lease commencement date in determining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present value of future lease payments;</w:t>
      </w:r>
    </w:p>
    <w:p>
      <w:pPr>
        <w:spacing w:after="0" w:line="58" w:lineRule="exact"/>
        <w:rPr>
          <w:rFonts w:ascii="Arial" w:cs="Arial" w:eastAsia="Arial" w:hAnsi="Arial"/>
          <w:sz w:val="18"/>
          <w:szCs w:val="18"/>
          <w:color w:val="auto"/>
        </w:rPr>
      </w:pPr>
    </w:p>
    <w:p>
      <w:pPr>
        <w:ind w:left="660" w:right="180" w:hanging="328"/>
        <w:spacing w:after="0" w:line="282"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Acquisition accountin</w:t>
      </w:r>
      <w:r>
        <w:rPr>
          <w:rFonts w:ascii="Arial" w:cs="Arial" w:eastAsia="Arial" w:hAnsi="Arial"/>
          <w:sz w:val="18"/>
          <w:szCs w:val="18"/>
          <w:b w:val="1"/>
          <w:bCs w:val="1"/>
          <w:color w:val="auto"/>
        </w:rPr>
        <w:t>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The assumptions used to allocate the purchase price paid for assets acquired and liabilities assumed in connection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acquisitions; and</w:t>
      </w:r>
    </w:p>
    <w:p>
      <w:pPr>
        <w:spacing w:after="0" w:line="5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 The estimation of valuation allowance or the need for and magnitude of liabilities for uncertain tax position.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right="840" w:firstLine="180"/>
        <w:spacing w:after="0" w:line="277" w:lineRule="auto"/>
        <w:rPr>
          <w:sz w:val="20"/>
          <w:szCs w:val="20"/>
          <w:color w:val="auto"/>
        </w:rPr>
      </w:pPr>
      <w:r>
        <w:rPr>
          <w:rFonts w:ascii="Arial" w:cs="Arial" w:eastAsia="Arial" w:hAnsi="Arial"/>
          <w:sz w:val="18"/>
          <w:szCs w:val="18"/>
          <w:color w:val="auto"/>
        </w:rPr>
        <w:t xml:space="preserve">Information concerning recently issued accounting pronouncements are included in Note 2, </w:t>
      </w:r>
      <w:r>
        <w:rPr>
          <w:rFonts w:ascii="Arial" w:cs="Arial" w:eastAsia="Arial" w:hAnsi="Arial"/>
          <w:sz w:val="18"/>
          <w:szCs w:val="18"/>
          <w:i w:val="1"/>
          <w:iCs w:val="1"/>
          <w:color w:val="auto"/>
        </w:rPr>
        <w:t>Basis of Presentation and Summary of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Policies </w:t>
      </w:r>
      <w:r>
        <w:rPr>
          <w:rFonts w:ascii="Arial" w:cs="Arial" w:eastAsia="Arial" w:hAnsi="Arial"/>
          <w:sz w:val="18"/>
          <w:szCs w:val="18"/>
          <w:color w:val="auto"/>
        </w:rPr>
        <w:t>in the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details of our revenue, expenses and earnings as a percentage of total revenue for the periods indicated: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27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w w:val="97"/>
              </w:rPr>
              <w:t>Three Months Ended March 31,</w:t>
            </w:r>
          </w:p>
        </w:tc>
      </w:tr>
      <w:tr>
        <w:trPr>
          <w:trHeight w:val="223"/>
        </w:trPr>
        <w:tc>
          <w:tcPr>
            <w:tcW w:w="8460" w:type="dxa"/>
            <w:vAlign w:val="bottom"/>
          </w:tcPr>
          <w:p>
            <w:pPr>
              <w:spacing w:after="0"/>
              <w:rPr>
                <w:sz w:val="19"/>
                <w:szCs w:val="19"/>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r>
      <w:tr>
        <w:trPr>
          <w:trHeight w:val="223"/>
        </w:trPr>
        <w:tc>
          <w:tcPr>
            <w:tcW w:w="846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34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8460" w:type="dxa"/>
            <w:vAlign w:val="bottom"/>
          </w:tcPr>
          <w:p>
            <w:pPr>
              <w:ind w:left="220"/>
              <w:spacing w:after="0"/>
              <w:rPr>
                <w:sz w:val="20"/>
                <w:szCs w:val="20"/>
                <w:color w:val="auto"/>
              </w:rPr>
            </w:pPr>
            <w:r>
              <w:rPr>
                <w:rFonts w:ascii="Arial" w:cs="Arial" w:eastAsia="Arial" w:hAnsi="Arial"/>
                <w:sz w:val="18"/>
                <w:szCs w:val="18"/>
                <w:color w:val="auto"/>
              </w:rPr>
              <w:t>Cost of services</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79.1</w:t>
            </w:r>
          </w:p>
        </w:tc>
      </w:tr>
      <w:tr>
        <w:trPr>
          <w:trHeight w:val="229"/>
        </w:trPr>
        <w:tc>
          <w:tcPr>
            <w:tcW w:w="8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Rent—cost of services</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9.4</w:t>
            </w:r>
          </w:p>
        </w:tc>
      </w:tr>
      <w:tr>
        <w:trPr>
          <w:trHeight w:val="229"/>
        </w:trPr>
        <w:tc>
          <w:tcPr>
            <w:tcW w:w="8460" w:type="dxa"/>
            <w:vAlign w:val="bottom"/>
          </w:tcPr>
          <w:p>
            <w:pPr>
              <w:ind w:left="220"/>
              <w:spacing w:after="0"/>
              <w:rPr>
                <w:sz w:val="20"/>
                <w:szCs w:val="20"/>
                <w:color w:val="auto"/>
              </w:rPr>
            </w:pPr>
            <w:r>
              <w:rPr>
                <w:rFonts w:ascii="Arial" w:cs="Arial" w:eastAsia="Arial" w:hAnsi="Arial"/>
                <w:sz w:val="18"/>
                <w:szCs w:val="18"/>
                <w:color w:val="auto"/>
              </w:rPr>
              <w:t>General and administrative expense</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8.8</w:t>
            </w:r>
          </w:p>
        </w:tc>
      </w:tr>
      <w:tr>
        <w:trPr>
          <w:trHeight w:val="230"/>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r>
      <w:tr>
        <w:trPr>
          <w:trHeight w:val="223"/>
        </w:trPr>
        <w:tc>
          <w:tcPr>
            <w:tcW w:w="84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expenses</w:t>
            </w: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97.9</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98.5</w:t>
            </w:r>
          </w:p>
        </w:tc>
      </w:tr>
      <w:tr>
        <w:trPr>
          <w:trHeight w:val="223"/>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income</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84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Interest expense, net</w:t>
            </w: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(0.3)</w:t>
            </w:r>
          </w:p>
        </w:tc>
      </w:tr>
      <w:tr>
        <w:trPr>
          <w:trHeight w:val="223"/>
        </w:trPr>
        <w:tc>
          <w:tcPr>
            <w:tcW w:w="84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expense, net</w:t>
            </w: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r>
      <w:tr>
        <w:trPr>
          <w:trHeight w:val="223"/>
        </w:trPr>
        <w:tc>
          <w:tcPr>
            <w:tcW w:w="8460" w:type="dxa"/>
            <w:vAlign w:val="bottom"/>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1.2</w:t>
            </w: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r>
      <w:tr>
        <w:trPr>
          <w:trHeight w:val="223"/>
        </w:trPr>
        <w:tc>
          <w:tcPr>
            <w:tcW w:w="84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0.9</w:t>
            </w:r>
          </w:p>
        </w:tc>
      </w:tr>
      <w:tr>
        <w:trPr>
          <w:trHeight w:val="229"/>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net income/ (loss) attributable to noncontrolling interest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8460" w:type="dxa"/>
            <w:vAlign w:val="bottom"/>
          </w:tcPr>
          <w:p>
            <w:pPr>
              <w:ind w:left="220"/>
              <w:spacing w:after="0"/>
              <w:rPr>
                <w:sz w:val="20"/>
                <w:szCs w:val="20"/>
                <w:color w:val="auto"/>
              </w:rPr>
            </w:pPr>
            <w:r>
              <w:rPr>
                <w:rFonts w:ascii="Arial" w:cs="Arial" w:eastAsia="Arial" w:hAnsi="Arial"/>
                <w:sz w:val="18"/>
                <w:szCs w:val="18"/>
                <w:color w:val="auto"/>
              </w:rPr>
              <w:t>Net income attributable to Pennant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0.9 %</w:t>
            </w:r>
          </w:p>
        </w:tc>
      </w:tr>
      <w:tr>
        <w:trPr>
          <w:trHeight w:val="21"/>
        </w:trPr>
        <w:tc>
          <w:tcPr>
            <w:tcW w:w="84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consolidated GAAP Financial measures for the three months ended March 31, 2022 and 2021:</w:t>
      </w:r>
    </w:p>
    <w:p>
      <w:pPr>
        <w:spacing w:after="0" w:line="46" w:lineRule="exact"/>
        <w:rPr>
          <w:sz w:val="20"/>
          <w:szCs w:val="20"/>
          <w:color w:val="auto"/>
        </w:rPr>
      </w:pPr>
    </w:p>
    <w:p>
      <w:pPr>
        <w:jc w:val="center"/>
        <w:ind w:left="8700"/>
        <w:spacing w:after="0"/>
        <w:rPr>
          <w:sz w:val="20"/>
          <w:szCs w:val="20"/>
          <w:color w:val="auto"/>
        </w:rPr>
      </w:pPr>
      <w:r>
        <w:rPr>
          <w:rFonts w:ascii="Arial" w:cs="Arial" w:eastAsia="Arial" w:hAnsi="Arial"/>
          <w:sz w:val="17"/>
          <w:szCs w:val="17"/>
          <w:b w:val="1"/>
          <w:bCs w:val="1"/>
          <w:u w:val="single" w:color="auto"/>
          <w:color w:val="auto"/>
        </w:rPr>
        <w:t>Three Months Ended March 31,</w:t>
      </w:r>
    </w:p>
    <w:p>
      <w:pPr>
        <w:spacing w:after="0" w:line="48" w:lineRule="exact"/>
        <w:rPr>
          <w:sz w:val="20"/>
          <w:szCs w:val="20"/>
          <w:color w:val="auto"/>
        </w:rPr>
      </w:pPr>
    </w:p>
    <w:p>
      <w:pPr>
        <w:ind w:left="9140"/>
        <w:spacing w:after="0"/>
        <w:tabs>
          <w:tab w:leader="none" w:pos="1044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17145</wp:posOffset>
            </wp:positionV>
            <wp:extent cx="159448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16" w:lineRule="exact"/>
        <w:rPr>
          <w:sz w:val="20"/>
          <w:szCs w:val="20"/>
          <w:color w:val="auto"/>
        </w:rPr>
      </w:pPr>
    </w:p>
    <w:p>
      <w:pPr>
        <w:ind w:left="9420"/>
        <w:spacing w:after="0"/>
        <w:rPr>
          <w:sz w:val="20"/>
          <w:szCs w:val="20"/>
          <w:color w:val="auto"/>
        </w:rPr>
      </w:pPr>
      <w:r>
        <w:rPr>
          <w:rFonts w:ascii="Arial" w:cs="Arial" w:eastAsia="Arial" w:hAnsi="Arial"/>
          <w:sz w:val="18"/>
          <w:szCs w:val="18"/>
          <w:b w:val="1"/>
          <w:bCs w:val="1"/>
          <w:color w:val="auto"/>
        </w:rPr>
        <w:t>(In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GAAP Financial Measures:</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113,910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105,663</w:t>
            </w: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111,584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104,050</w:t>
            </w:r>
          </w:p>
        </w:tc>
      </w:tr>
      <w:tr>
        <w:trPr>
          <w:trHeight w:val="224"/>
        </w:trPr>
        <w:tc>
          <w:tcPr>
            <w:tcW w:w="872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2,326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ind w:left="1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100" w:right="20" w:firstLine="648"/>
        <w:spacing w:after="0" w:line="277" w:lineRule="auto"/>
        <w:rPr>
          <w:sz w:val="20"/>
          <w:szCs w:val="20"/>
          <w:color w:val="auto"/>
        </w:rPr>
      </w:pPr>
      <w:r>
        <w:rPr>
          <w:rFonts w:ascii="Arial" w:cs="Arial" w:eastAsia="Arial" w:hAnsi="Arial"/>
          <w:sz w:val="18"/>
          <w:szCs w:val="18"/>
          <w:color w:val="auto"/>
        </w:rPr>
        <w:t>The following tables present certain financial information regarding our reportable segments. General and administrative expenses are not allocated to the reportable segments and are included in “All Other”:</w:t>
      </w:r>
    </w:p>
    <w:p>
      <w:pPr>
        <w:spacing w:after="0" w:line="207"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4860" w:type="dxa"/>
            <w:vAlign w:val="bottom"/>
          </w:tcPr>
          <w:p>
            <w:pPr>
              <w:spacing w:after="0"/>
              <w:rPr>
                <w:sz w:val="17"/>
                <w:szCs w:val="17"/>
                <w:color w:val="auto"/>
              </w:rPr>
            </w:pPr>
          </w:p>
        </w:tc>
        <w:tc>
          <w:tcPr>
            <w:tcW w:w="15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5"/>
              </w:rPr>
              <w:t>Home Health and</w:t>
            </w:r>
          </w:p>
        </w:tc>
        <w:tc>
          <w:tcPr>
            <w:tcW w:w="260" w:type="dxa"/>
            <w:vAlign w:val="bottom"/>
          </w:tcPr>
          <w:p>
            <w:pPr>
              <w:spacing w:after="0"/>
              <w:rPr>
                <w:sz w:val="17"/>
                <w:szCs w:val="17"/>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Senior Living</w:t>
            </w:r>
          </w:p>
        </w:tc>
        <w:tc>
          <w:tcPr>
            <w:tcW w:w="320" w:type="dxa"/>
            <w:vAlign w:val="bottom"/>
          </w:tcPr>
          <w:p>
            <w:pPr>
              <w:spacing w:after="0"/>
              <w:rPr>
                <w:sz w:val="17"/>
                <w:szCs w:val="17"/>
                <w:color w:val="auto"/>
              </w:rPr>
            </w:pPr>
          </w:p>
        </w:tc>
        <w:tc>
          <w:tcPr>
            <w:tcW w:w="132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All Other</w:t>
            </w:r>
          </w:p>
        </w:tc>
        <w:tc>
          <w:tcPr>
            <w:tcW w:w="400" w:type="dxa"/>
            <w:vAlign w:val="bottom"/>
          </w:tcPr>
          <w:p>
            <w:pPr>
              <w:spacing w:after="0"/>
              <w:rPr>
                <w:sz w:val="17"/>
                <w:szCs w:val="17"/>
                <w:color w:val="auto"/>
              </w:rPr>
            </w:pPr>
          </w:p>
        </w:tc>
        <w:tc>
          <w:tcPr>
            <w:tcW w:w="120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4"/>
              </w:rPr>
              <w:t>Hospice Services</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Services</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0" w:type="dxa"/>
            <w:vAlign w:val="bottom"/>
            <w:gridSpan w:val="3"/>
          </w:tcPr>
          <w:p>
            <w:pPr>
              <w:jc w:val="right"/>
              <w:ind w:right="950"/>
              <w:spacing w:after="0"/>
              <w:rPr>
                <w:sz w:val="20"/>
                <w:szCs w:val="20"/>
                <w:color w:val="auto"/>
              </w:rPr>
            </w:pPr>
            <w:r>
              <w:rPr>
                <w:rFonts w:ascii="Arial" w:cs="Arial" w:eastAsia="Arial" w:hAnsi="Arial"/>
                <w:sz w:val="18"/>
                <w:szCs w:val="18"/>
                <w:b w:val="1"/>
                <w:bCs w:val="1"/>
                <w:color w:val="auto"/>
              </w:rPr>
              <w:t>(In thousands)</w:t>
            </w: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GAAP Financial Measures: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Three Months Ended March 31, 2022</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80,475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33,435</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113,910</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13,948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9,432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(8,146)</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15,234</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March 31, 2021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74,607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31,056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105,663</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13,791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8,834</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(6,398)</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16,227</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table below provides a reconciliation of Segment Adjusted EBITDAR from Operations to Condensed Consolidated Income from operations:</w:t>
      </w:r>
    </w:p>
    <w:p>
      <w:pPr>
        <w:spacing w:after="0" w:line="312"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8720" w:type="dxa"/>
            <w:vAlign w:val="bottom"/>
          </w:tcPr>
          <w:p>
            <w:pPr>
              <w:spacing w:after="0"/>
              <w:rPr>
                <w:sz w:val="20"/>
                <w:szCs w:val="20"/>
                <w:color w:val="auto"/>
              </w:rPr>
            </w:pPr>
          </w:p>
        </w:tc>
        <w:tc>
          <w:tcPr>
            <w:tcW w:w="252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23"/>
        </w:trPr>
        <w:tc>
          <w:tcPr>
            <w:tcW w:w="87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r>
      <w:tr>
        <w:trPr>
          <w:trHeight w:val="223"/>
        </w:trPr>
        <w:tc>
          <w:tcPr>
            <w:tcW w:w="8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(In thousands)</w:t>
            </w:r>
          </w:p>
        </w:tc>
      </w:tr>
      <w:tr>
        <w:trPr>
          <w:trHeight w:val="229"/>
        </w:trPr>
        <w:tc>
          <w:tcPr>
            <w:tcW w:w="87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Segment Adjusted EBITDAR from Operations</w:t>
            </w:r>
            <w:r>
              <w:rPr>
                <w:rFonts w:ascii="Arial" w:cs="Arial" w:eastAsia="Arial" w:hAnsi="Arial"/>
                <w:sz w:val="23"/>
                <w:szCs w:val="23"/>
                <w:color w:val="auto"/>
                <w:vertAlign w:val="superscript"/>
              </w:rPr>
              <w:t>(a)</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16,227</w:t>
            </w: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Less: Depreciation and amortization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1,175</w:t>
            </w:r>
          </w:p>
        </w:tc>
      </w:tr>
      <w:tr>
        <w:trPr>
          <w:trHeight w:val="230"/>
        </w:trPr>
        <w:tc>
          <w:tcPr>
            <w:tcW w:w="8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Rent—cost of services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9,965</w:t>
            </w:r>
          </w:p>
        </w:tc>
      </w:tr>
      <w:tr>
        <w:trPr>
          <w:trHeight w:val="229"/>
        </w:trPr>
        <w:tc>
          <w:tcPr>
            <w:tcW w:w="8720" w:type="dxa"/>
            <w:vAlign w:val="bottom"/>
          </w:tcPr>
          <w:p>
            <w:pPr>
              <w:ind w:left="480"/>
              <w:spacing w:after="0"/>
              <w:rPr>
                <w:sz w:val="20"/>
                <w:szCs w:val="20"/>
                <w:color w:val="auto"/>
              </w:rPr>
            </w:pPr>
            <w:r>
              <w:rPr>
                <w:rFonts w:ascii="Arial" w:cs="Arial" w:eastAsia="Arial" w:hAnsi="Arial"/>
                <w:sz w:val="18"/>
                <w:szCs w:val="18"/>
                <w:color w:val="auto"/>
              </w:rPr>
              <w:t>Other Expense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Segment EBITDAR from Operations: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720" w:type="dxa"/>
            <w:vAlign w:val="bottom"/>
          </w:tcPr>
          <w:p>
            <w:pPr>
              <w:ind w:left="20"/>
              <w:spacing w:after="0" w:line="230" w:lineRule="exact"/>
              <w:rPr>
                <w:sz w:val="20"/>
                <w:szCs w:val="20"/>
                <w:color w:val="auto"/>
              </w:rPr>
            </w:pPr>
            <w:r>
              <w:rPr>
                <w:rFonts w:ascii="Arial" w:cs="Arial" w:eastAsia="Arial" w:hAnsi="Arial"/>
                <w:sz w:val="18"/>
                <w:szCs w:val="18"/>
                <w:color w:val="auto"/>
              </w:rPr>
              <w:t>Less: Costs at start-up operations</w:t>
            </w:r>
            <w:r>
              <w:rPr>
                <w:rFonts w:ascii="Arial" w:cs="Arial" w:eastAsia="Arial" w:hAnsi="Arial"/>
                <w:sz w:val="23"/>
                <w:szCs w:val="23"/>
                <w:color w:val="auto"/>
                <w:vertAlign w:val="superscript"/>
              </w:rPr>
              <w:t>(b)</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29"/>
        </w:trPr>
        <w:tc>
          <w:tcPr>
            <w:tcW w:w="872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Share-based compensation expense</w:t>
            </w:r>
            <w:r>
              <w:rPr>
                <w:rFonts w:ascii="Arial" w:cs="Arial" w:eastAsia="Arial" w:hAnsi="Arial"/>
                <w:sz w:val="23"/>
                <w:szCs w:val="23"/>
                <w:color w:val="auto"/>
                <w:vertAlign w:val="superscript"/>
              </w:rPr>
              <w:t>(c)</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w:t>
            </w:r>
          </w:p>
        </w:tc>
      </w:tr>
      <w:tr>
        <w:trPr>
          <w:trHeight w:val="230"/>
        </w:trPr>
        <w:tc>
          <w:tcPr>
            <w:tcW w:w="8720" w:type="dxa"/>
            <w:vAlign w:val="bottom"/>
          </w:tcPr>
          <w:p>
            <w:pPr>
              <w:ind w:left="460"/>
              <w:spacing w:after="0" w:line="230" w:lineRule="exact"/>
              <w:rPr>
                <w:sz w:val="20"/>
                <w:szCs w:val="20"/>
                <w:color w:val="auto"/>
              </w:rPr>
            </w:pPr>
            <w:r>
              <w:rPr>
                <w:rFonts w:ascii="Arial" w:cs="Arial" w:eastAsia="Arial" w:hAnsi="Arial"/>
                <w:sz w:val="18"/>
                <w:szCs w:val="18"/>
                <w:color w:val="auto"/>
              </w:rPr>
              <w:t>Acquisition related costs</w:t>
            </w:r>
            <w:r>
              <w:rPr>
                <w:rFonts w:ascii="Arial" w:cs="Arial" w:eastAsia="Arial" w:hAnsi="Arial"/>
                <w:sz w:val="23"/>
                <w:szCs w:val="23"/>
                <w:color w:val="auto"/>
                <w:vertAlign w:val="superscript"/>
              </w:rPr>
              <w:t>(d)</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872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Transition services costs</w:t>
            </w:r>
            <w:r>
              <w:rPr>
                <w:rFonts w:ascii="Arial" w:cs="Arial" w:eastAsia="Arial" w:hAnsi="Arial"/>
                <w:sz w:val="23"/>
                <w:szCs w:val="23"/>
                <w:color w:val="auto"/>
                <w:vertAlign w:val="superscript"/>
              </w:rPr>
              <w:t>(e)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r>
      <w:tr>
        <w:trPr>
          <w:trHeight w:val="230"/>
        </w:trPr>
        <w:tc>
          <w:tcPr>
            <w:tcW w:w="8720" w:type="dxa"/>
            <w:vAlign w:val="bottom"/>
          </w:tcPr>
          <w:p>
            <w:pPr>
              <w:ind w:left="460"/>
              <w:spacing w:after="0" w:line="230" w:lineRule="exact"/>
              <w:rPr>
                <w:sz w:val="20"/>
                <w:szCs w:val="20"/>
                <w:color w:val="auto"/>
              </w:rPr>
            </w:pPr>
            <w:r>
              <w:rPr>
                <w:rFonts w:ascii="Arial" w:cs="Arial" w:eastAsia="Arial" w:hAnsi="Arial"/>
                <w:sz w:val="18"/>
                <w:szCs w:val="18"/>
                <w:color w:val="auto"/>
              </w:rPr>
              <w:t>Operating results of transferred senior living facilities</w:t>
            </w:r>
            <w:r>
              <w:rPr>
                <w:rFonts w:ascii="Arial" w:cs="Arial" w:eastAsia="Arial" w:hAnsi="Arial"/>
                <w:sz w:val="23"/>
                <w:szCs w:val="23"/>
                <w:color w:val="auto"/>
                <w:vertAlign w:val="superscript"/>
              </w:rPr>
              <w:t>(f)</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Net income/ (loss)loss attributable to noncontrolling interest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8720" w:type="dxa"/>
            <w:vAlign w:val="bottom"/>
          </w:tcPr>
          <w:p>
            <w:pPr>
              <w:ind w:left="20"/>
              <w:spacing w:after="0"/>
              <w:rPr>
                <w:sz w:val="20"/>
                <w:szCs w:val="20"/>
                <w:color w:val="auto"/>
              </w:rPr>
            </w:pPr>
            <w:r>
              <w:rPr>
                <w:rFonts w:ascii="Arial" w:cs="Arial" w:eastAsia="Arial" w:hAnsi="Arial"/>
                <w:sz w:val="18"/>
                <w:szCs w:val="18"/>
                <w:color w:val="auto"/>
              </w:rPr>
              <w:t>Condensed Consolidated Income from Operations</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w:t>
            </w:r>
          </w:p>
        </w:tc>
      </w:tr>
      <w:tr>
        <w:trPr>
          <w:trHeight w:val="20"/>
        </w:trPr>
        <w:tc>
          <w:tcPr>
            <w:tcW w:w="8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580" w:right="260" w:hanging="580"/>
        <w:spacing w:after="0" w:line="229" w:lineRule="auto"/>
        <w:tabs>
          <w:tab w:leader="none" w:pos="337" w:val="left"/>
        </w:tabs>
        <w:numPr>
          <w:ilvl w:val="0"/>
          <w:numId w:val="21"/>
        </w:numPr>
        <w:rPr>
          <w:rFonts w:ascii="Arial" w:cs="Arial" w:eastAsia="Arial" w:hAnsi="Arial"/>
          <w:sz w:val="13"/>
          <w:szCs w:val="13"/>
          <w:color w:val="auto"/>
        </w:rPr>
      </w:pPr>
      <w:r>
        <w:rPr>
          <w:rFonts w:ascii="Arial" w:cs="Arial" w:eastAsia="Arial" w:hAnsi="Arial"/>
          <w:sz w:val="13"/>
          <w:szCs w:val="13"/>
          <w:color w:val="auto"/>
        </w:rPr>
        <w:t>Segment Adjusted EBITDAR from Operations is net income attributable to the Company's reportable segments excluding interest expense, provision for income taxes, depreciation and amortization expense, rent, and, in order to view the operations performance on a comparable basis from period to period, certain adjustments including: (1) costs at start-up operations, (2) share-based compensation, (3) acquisition related costs, (4) redundant and nonrecurring costs associated with the Transition Services Agreement, (5) the operating results of senior living facilities transferred to Ensign, and (6) net income (loss) attributable to noncontrolling interest. General and administrative expenses are not allocated to the reportable segments, and are included as “All Other”, accordingly the segment earnings measure reported is before allocation of corporate general and administrative expenses. The Company's segment measures may be different from the calculation methods used by other companies and, therefore, comparability may be limited.</w:t>
      </w:r>
    </w:p>
    <w:p>
      <w:pPr>
        <w:spacing w:after="0" w:line="8" w:lineRule="exact"/>
        <w:rPr>
          <w:sz w:val="20"/>
          <w:szCs w:val="20"/>
          <w:color w:val="auto"/>
        </w:rPr>
      </w:pPr>
    </w:p>
    <w:p>
      <w:pPr>
        <w:ind w:left="320" w:hanging="317"/>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Represents results related to start-up operations. This amount excludes rent and depreciation and amortization expense related to such operations.</w:t>
      </w:r>
    </w:p>
    <w:p>
      <w:pPr>
        <w:spacing w:after="0" w:line="28" w:lineRule="exact"/>
        <w:rPr>
          <w:rFonts w:ascii="Arial" w:cs="Arial" w:eastAsia="Arial" w:hAnsi="Arial"/>
          <w:sz w:val="14"/>
          <w:szCs w:val="14"/>
          <w:color w:val="auto"/>
        </w:rPr>
      </w:pPr>
    </w:p>
    <w:p>
      <w:pPr>
        <w:ind w:left="320" w:hanging="320"/>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Share-based compensation expense incurred which is included in cost of services and general and administrative expense.</w:t>
      </w:r>
    </w:p>
    <w:p>
      <w:pPr>
        <w:spacing w:after="0" w:line="28" w:lineRule="exact"/>
        <w:rPr>
          <w:rFonts w:ascii="Arial" w:cs="Arial" w:eastAsia="Arial" w:hAnsi="Arial"/>
          <w:sz w:val="14"/>
          <w:szCs w:val="14"/>
          <w:color w:val="auto"/>
        </w:rPr>
      </w:pPr>
    </w:p>
    <w:p>
      <w:pPr>
        <w:ind w:left="320" w:hanging="317"/>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Acquisition related costs related to business combinations during the periods.</w:t>
      </w:r>
    </w:p>
    <w:p>
      <w:pPr>
        <w:spacing w:after="0" w:line="28" w:lineRule="exact"/>
        <w:rPr>
          <w:sz w:val="20"/>
          <w:szCs w:val="20"/>
          <w:color w:val="auto"/>
        </w:rPr>
      </w:pPr>
    </w:p>
    <w:p>
      <w:pPr>
        <w:ind w:left="580" w:right="260" w:hanging="580"/>
        <w:spacing w:after="0" w:line="224" w:lineRule="auto"/>
        <w:tabs>
          <w:tab w:leader="none" w:pos="337" w:val="left"/>
        </w:tabs>
        <w:numPr>
          <w:ilvl w:val="0"/>
          <w:numId w:val="23"/>
        </w:numPr>
        <w:rPr>
          <w:rFonts w:ascii="Arial" w:cs="Arial" w:eastAsia="Arial" w:hAnsi="Arial"/>
          <w:sz w:val="14"/>
          <w:szCs w:val="14"/>
          <w:color w:val="auto"/>
        </w:rPr>
      </w:pPr>
      <w:r>
        <w:rPr>
          <w:rFonts w:ascii="Arial" w:cs="Arial" w:eastAsia="Arial" w:hAnsi="Arial"/>
          <w:sz w:val="14"/>
          <w:szCs w:val="14"/>
          <w:color w:val="auto"/>
        </w:rPr>
        <w:t>Costs identified as redundant or nonrecurring incurred by the Company as a result of the Spin-off. The 2021 amounts represents part of the costs incurred under the Transition Services Agreement. All amounts are included in general and administrative expense. Fees incurred under the Transition Services Agreement were $988 for the three months ended March 31, 2021.</w:t>
      </w:r>
    </w:p>
    <w:p>
      <w:pPr>
        <w:spacing w:after="0" w:line="8" w:lineRule="exact"/>
        <w:rPr>
          <w:sz w:val="20"/>
          <w:szCs w:val="20"/>
          <w:color w:val="auto"/>
        </w:rPr>
      </w:pPr>
    </w:p>
    <w:p>
      <w:pPr>
        <w:ind w:left="580" w:right="260" w:hanging="580"/>
        <w:spacing w:after="0" w:line="235" w:lineRule="auto"/>
        <w:tabs>
          <w:tab w:leader="none" w:pos="337" w:val="left"/>
        </w:tabs>
        <w:numPr>
          <w:ilvl w:val="0"/>
          <w:numId w:val="24"/>
        </w:numPr>
        <w:rPr>
          <w:rFonts w:ascii="Arial" w:cs="Arial" w:eastAsia="Arial" w:hAnsi="Arial"/>
          <w:sz w:val="13"/>
          <w:szCs w:val="13"/>
          <w:color w:val="auto"/>
        </w:rPr>
      </w:pPr>
      <w:r>
        <w:rPr>
          <w:rFonts w:ascii="Arial" w:cs="Arial" w:eastAsia="Arial" w:hAnsi="Arial"/>
          <w:sz w:val="13"/>
          <w:szCs w:val="13"/>
          <w:color w:val="auto"/>
        </w:rPr>
        <w:t>On January 27, 2022, affiliates of the Company, entered into certain operations transfer agreements (collectively, the “Transfer Agreements”) with affiliates of Ensign, providing for the transfer of the operations of certain senior living communities (the “Transaction”) from affiliates of the Company to affiliates of Ensign. The closing of the Transaction was completed in two phases with the transfer of two operations on March 1, 2022 and the remainder transferred on April 1, 2022. The amount above represents the net impact on revenue and cost of service attributable to the all of the transferred entities. This amount excludes rent and depreciation and amortization expense related to such operations.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25"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872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790"/>
        </w:trPr>
        <w:tc>
          <w:tcPr>
            <w:tcW w:w="8720" w:type="dxa"/>
            <w:vAlign w:val="bottom"/>
            <w:gridSpan w:val="2"/>
          </w:tcPr>
          <w:p>
            <w:pPr>
              <w:ind w:left="660"/>
              <w:spacing w:after="0"/>
              <w:rPr>
                <w:sz w:val="20"/>
                <w:szCs w:val="20"/>
                <w:color w:val="auto"/>
              </w:rPr>
            </w:pPr>
            <w:r>
              <w:rPr>
                <w:rFonts w:ascii="Arial" w:cs="Arial" w:eastAsia="Arial" w:hAnsi="Arial"/>
                <w:sz w:val="18"/>
                <w:szCs w:val="18"/>
                <w:i w:val="1"/>
                <w:iCs w:val="1"/>
                <w:color w:val="auto"/>
              </w:rPr>
              <w:t>Performance and Valuation Measures: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99"/>
        </w:trPr>
        <w:tc>
          <w:tcPr>
            <w:tcW w:w="128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252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23"/>
        </w:trPr>
        <w:tc>
          <w:tcPr>
            <w:tcW w:w="1280" w:type="dxa"/>
            <w:vAlign w:val="bottom"/>
          </w:tcPr>
          <w:p>
            <w:pPr>
              <w:spacing w:after="0"/>
              <w:rPr>
                <w:sz w:val="19"/>
                <w:szCs w:val="19"/>
                <w:color w:val="auto"/>
              </w:rPr>
            </w:pPr>
          </w:p>
        </w:tc>
        <w:tc>
          <w:tcPr>
            <w:tcW w:w="7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r>
      <w:tr>
        <w:trPr>
          <w:trHeight w:val="223"/>
        </w:trPr>
        <w:tc>
          <w:tcPr>
            <w:tcW w:w="1280" w:type="dxa"/>
            <w:vAlign w:val="bottom"/>
          </w:tcPr>
          <w:p>
            <w:pPr>
              <w:spacing w:after="0"/>
              <w:rPr>
                <w:sz w:val="19"/>
                <w:szCs w:val="19"/>
                <w:color w:val="auto"/>
              </w:rPr>
            </w:pPr>
          </w:p>
        </w:tc>
        <w:tc>
          <w:tcPr>
            <w:tcW w:w="7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4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(In thousands)</w:t>
            </w:r>
          </w:p>
        </w:tc>
      </w:tr>
      <w:tr>
        <w:trPr>
          <w:trHeight w:val="229"/>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Non-GAAP Financial Measures: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Performance Metrics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8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Consolidated EBITDA</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3,332</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w:t>
            </w:r>
          </w:p>
        </w:tc>
      </w:tr>
      <w:tr>
        <w:trPr>
          <w:trHeight w:val="230"/>
        </w:trPr>
        <w:tc>
          <w:tcPr>
            <w:tcW w:w="8720" w:type="dxa"/>
            <w:vAlign w:val="bottom"/>
            <w:gridSpan w:val="2"/>
          </w:tcPr>
          <w:p>
            <w:pPr>
              <w:ind w:left="220"/>
              <w:spacing w:after="0"/>
              <w:rPr>
                <w:sz w:val="20"/>
                <w:szCs w:val="20"/>
                <w:color w:val="auto"/>
              </w:rPr>
            </w:pPr>
            <w:r>
              <w:rPr>
                <w:rFonts w:ascii="Arial" w:cs="Arial" w:eastAsia="Arial" w:hAnsi="Arial"/>
                <w:sz w:val="18"/>
                <w:szCs w:val="18"/>
                <w:color w:val="auto"/>
              </w:rPr>
              <w:t>Consolidated Adjusted EBITDA</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6,145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6,296</w:t>
            </w:r>
          </w:p>
        </w:tc>
      </w:tr>
      <w:tr>
        <w:trPr>
          <w:trHeight w:val="229"/>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Valuation Metric</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720" w:type="dxa"/>
            <w:vAlign w:val="bottom"/>
            <w:gridSpan w:val="2"/>
          </w:tcPr>
          <w:p>
            <w:pPr>
              <w:ind w:left="220"/>
              <w:spacing w:after="0"/>
              <w:rPr>
                <w:sz w:val="20"/>
                <w:szCs w:val="20"/>
                <w:color w:val="auto"/>
              </w:rPr>
            </w:pPr>
            <w:r>
              <w:rPr>
                <w:rFonts w:ascii="Arial" w:cs="Arial" w:eastAsia="Arial" w:hAnsi="Arial"/>
                <w:sz w:val="18"/>
                <w:szCs w:val="18"/>
                <w:color w:val="auto"/>
              </w:rPr>
              <w:t>Consolidated Adjusted EBITDAR</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15,234</w:t>
            </w: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593"/>
        </w:trPr>
        <w:tc>
          <w:tcPr>
            <w:tcW w:w="128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252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23"/>
        </w:trPr>
        <w:tc>
          <w:tcPr>
            <w:tcW w:w="1280" w:type="dxa"/>
            <w:vAlign w:val="bottom"/>
          </w:tcPr>
          <w:p>
            <w:pPr>
              <w:spacing w:after="0"/>
              <w:rPr>
                <w:sz w:val="19"/>
                <w:szCs w:val="19"/>
                <w:color w:val="auto"/>
              </w:rPr>
            </w:pPr>
          </w:p>
        </w:tc>
        <w:tc>
          <w:tcPr>
            <w:tcW w:w="7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r>
      <w:tr>
        <w:trPr>
          <w:trHeight w:val="223"/>
        </w:trPr>
        <w:tc>
          <w:tcPr>
            <w:tcW w:w="1280" w:type="dxa"/>
            <w:vAlign w:val="bottom"/>
          </w:tcPr>
          <w:p>
            <w:pPr>
              <w:spacing w:after="0"/>
              <w:rPr>
                <w:sz w:val="19"/>
                <w:szCs w:val="19"/>
                <w:color w:val="auto"/>
              </w:rPr>
            </w:pPr>
          </w:p>
        </w:tc>
        <w:tc>
          <w:tcPr>
            <w:tcW w:w="7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4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(In thousands)</w:t>
            </w:r>
          </w:p>
        </w:tc>
      </w:tr>
      <w:tr>
        <w:trPr>
          <w:trHeight w:val="230"/>
        </w:trPr>
        <w:tc>
          <w:tcPr>
            <w:tcW w:w="87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Segment Non-GAAP Measures:</w:t>
            </w:r>
            <w:r>
              <w:rPr>
                <w:rFonts w:ascii="Arial" w:cs="Arial" w:eastAsia="Arial" w:hAnsi="Arial"/>
                <w:sz w:val="23"/>
                <w:szCs w:val="23"/>
                <w:b w:val="1"/>
                <w:bCs w:val="1"/>
                <w:color w:val="auto"/>
                <w:vertAlign w:val="superscript"/>
              </w:rPr>
              <w:t>(a)</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Segment Adjusted EBITDA from Operations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8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Home health and hospice services</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12,710</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12,775</w:t>
            </w:r>
          </w:p>
        </w:tc>
      </w:tr>
      <w:tr>
        <w:trPr>
          <w:trHeight w:val="230"/>
        </w:trPr>
        <w:tc>
          <w:tcPr>
            <w:tcW w:w="8720" w:type="dxa"/>
            <w:vAlign w:val="bottom"/>
            <w:gridSpan w:val="2"/>
          </w:tcPr>
          <w:p>
            <w:pPr>
              <w:ind w:left="220"/>
              <w:spacing w:after="0"/>
              <w:rPr>
                <w:sz w:val="20"/>
                <w:szCs w:val="20"/>
                <w:color w:val="auto"/>
              </w:rPr>
            </w:pPr>
            <w:r>
              <w:rPr>
                <w:rFonts w:ascii="Arial" w:cs="Arial" w:eastAsia="Arial" w:hAnsi="Arial"/>
                <w:sz w:val="18"/>
                <w:szCs w:val="18"/>
                <w:color w:val="auto"/>
              </w:rPr>
              <w:t>Senior living services</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1,581</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(81)</w:t>
            </w:r>
          </w:p>
        </w:tc>
      </w:tr>
    </w:tbl>
    <w:p>
      <w:pPr>
        <w:spacing w:after="0" w:line="102" w:lineRule="exact"/>
        <w:rPr>
          <w:sz w:val="20"/>
          <w:szCs w:val="20"/>
          <w:color w:val="auto"/>
        </w:rPr>
      </w:pPr>
    </w:p>
    <w:p>
      <w:pPr>
        <w:ind w:left="480" w:hanging="454"/>
        <w:spacing w:after="0"/>
        <w:tabs>
          <w:tab w:leader="none" w:pos="4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General and administrative expenses are not allocated to any segment for purposes of determining segment profit or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firstLine="648"/>
        <w:spacing w:after="0" w:line="271" w:lineRule="auto"/>
        <w:rPr>
          <w:sz w:val="20"/>
          <w:szCs w:val="20"/>
          <w:color w:val="auto"/>
        </w:rPr>
      </w:pPr>
      <w:r>
        <w:rPr>
          <w:rFonts w:ascii="Arial" w:cs="Arial" w:eastAsia="Arial" w:hAnsi="Arial"/>
          <w:sz w:val="18"/>
          <w:szCs w:val="18"/>
          <w:color w:val="auto"/>
        </w:rPr>
        <w:t>The tables below reconcile Consolidated Net Income to the consolidated Non-GAAP financial measures, Consolidated EBITDA and Consolidated Adjusted EBITDA, and to the Non-GAAP valuation measure, Consolidated Adjusted EBITDAR, for the periods presented: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20" w:type="dxa"/>
            <w:vAlign w:val="bottom"/>
          </w:tcPr>
          <w:p>
            <w:pPr>
              <w:spacing w:after="0"/>
              <w:rPr>
                <w:sz w:val="20"/>
                <w:szCs w:val="20"/>
                <w:color w:val="auto"/>
              </w:rPr>
            </w:pPr>
          </w:p>
        </w:tc>
        <w:tc>
          <w:tcPr>
            <w:tcW w:w="25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23"/>
        </w:trPr>
        <w:tc>
          <w:tcPr>
            <w:tcW w:w="87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r>
      <w:tr>
        <w:trPr>
          <w:trHeight w:val="223"/>
        </w:trPr>
        <w:tc>
          <w:tcPr>
            <w:tcW w:w="8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(In thousands)</w:t>
            </w: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Net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Less: Net income/ (loss) attributable to noncontrolling interest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Provision for income taxes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r>
      <w:tr>
        <w:trPr>
          <w:trHeight w:val="229"/>
        </w:trPr>
        <w:tc>
          <w:tcPr>
            <w:tcW w:w="8720" w:type="dxa"/>
            <w:vAlign w:val="bottom"/>
          </w:tcPr>
          <w:p>
            <w:pPr>
              <w:ind w:left="48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360</w:t>
            </w:r>
          </w:p>
        </w:tc>
      </w:tr>
      <w:tr>
        <w:trPr>
          <w:trHeight w:val="230"/>
        </w:trPr>
        <w:tc>
          <w:tcPr>
            <w:tcW w:w="8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w:t>
            </w:r>
          </w:p>
        </w:tc>
      </w:tr>
      <w:tr>
        <w:trPr>
          <w:trHeight w:val="223"/>
        </w:trPr>
        <w:tc>
          <w:tcPr>
            <w:tcW w:w="8720" w:type="dxa"/>
            <w:vAlign w:val="bottom"/>
          </w:tcPr>
          <w:p>
            <w:pPr>
              <w:ind w:left="220"/>
              <w:spacing w:after="0"/>
              <w:rPr>
                <w:sz w:val="20"/>
                <w:szCs w:val="20"/>
                <w:color w:val="auto"/>
              </w:rPr>
            </w:pPr>
            <w:r>
              <w:rPr>
                <w:rFonts w:ascii="Arial" w:cs="Arial" w:eastAsia="Arial" w:hAnsi="Arial"/>
                <w:sz w:val="18"/>
                <w:szCs w:val="18"/>
                <w:color w:val="auto"/>
              </w:rPr>
              <w:t>Consolidated and EBITDA</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2,825</w:t>
            </w: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Consolidated EBITDA</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720" w:type="dxa"/>
            <w:vAlign w:val="bottom"/>
          </w:tcPr>
          <w:p>
            <w:pPr>
              <w:ind w:left="20"/>
              <w:spacing w:after="0" w:line="230" w:lineRule="exact"/>
              <w:rPr>
                <w:sz w:val="20"/>
                <w:szCs w:val="20"/>
                <w:color w:val="auto"/>
              </w:rPr>
            </w:pPr>
            <w:r>
              <w:rPr>
                <w:rFonts w:ascii="Arial" w:cs="Arial" w:eastAsia="Arial" w:hAnsi="Arial"/>
                <w:sz w:val="18"/>
                <w:szCs w:val="18"/>
                <w:color w:val="auto"/>
              </w:rPr>
              <w:t>Add: Costs at start-up operations</w:t>
            </w:r>
            <w:r>
              <w:rPr>
                <w:rFonts w:ascii="Arial" w:cs="Arial" w:eastAsia="Arial" w:hAnsi="Arial"/>
                <w:sz w:val="23"/>
                <w:szCs w:val="23"/>
                <w:color w:val="auto"/>
                <w:vertAlign w:val="superscript"/>
              </w:rPr>
              <w:t>(a)</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29"/>
        </w:trPr>
        <w:tc>
          <w:tcPr>
            <w:tcW w:w="872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Share-based compensation expense</w:t>
            </w:r>
            <w:r>
              <w:rPr>
                <w:rFonts w:ascii="Arial" w:cs="Arial" w:eastAsia="Arial" w:hAnsi="Arial"/>
                <w:sz w:val="23"/>
                <w:szCs w:val="23"/>
                <w:color w:val="auto"/>
                <w:vertAlign w:val="superscript"/>
              </w:rPr>
              <w:t>(b)</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w:t>
            </w:r>
          </w:p>
        </w:tc>
      </w:tr>
      <w:tr>
        <w:trPr>
          <w:trHeight w:val="230"/>
        </w:trPr>
        <w:tc>
          <w:tcPr>
            <w:tcW w:w="8720" w:type="dxa"/>
            <w:vAlign w:val="bottom"/>
          </w:tcPr>
          <w:p>
            <w:pPr>
              <w:ind w:left="480"/>
              <w:spacing w:after="0" w:line="230" w:lineRule="exact"/>
              <w:rPr>
                <w:sz w:val="20"/>
                <w:szCs w:val="20"/>
                <w:color w:val="auto"/>
              </w:rPr>
            </w:pPr>
            <w:r>
              <w:rPr>
                <w:rFonts w:ascii="Arial" w:cs="Arial" w:eastAsia="Arial" w:hAnsi="Arial"/>
                <w:sz w:val="18"/>
                <w:szCs w:val="18"/>
                <w:color w:val="auto"/>
              </w:rPr>
              <w:t>Acquisition related costs</w:t>
            </w:r>
            <w:r>
              <w:rPr>
                <w:rFonts w:ascii="Arial" w:cs="Arial" w:eastAsia="Arial" w:hAnsi="Arial"/>
                <w:sz w:val="23"/>
                <w:szCs w:val="23"/>
                <w:color w:val="auto"/>
                <w:vertAlign w:val="superscript"/>
              </w:rPr>
              <w:t>(c)</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872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Transition services costs</w:t>
            </w:r>
            <w:r>
              <w:rPr>
                <w:rFonts w:ascii="Arial" w:cs="Arial" w:eastAsia="Arial" w:hAnsi="Arial"/>
                <w:sz w:val="23"/>
                <w:szCs w:val="23"/>
                <w:color w:val="auto"/>
                <w:vertAlign w:val="superscript"/>
              </w:rPr>
              <w:t>(d)</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r>
      <w:tr>
        <w:trPr>
          <w:trHeight w:val="229"/>
        </w:trPr>
        <w:tc>
          <w:tcPr>
            <w:tcW w:w="8720" w:type="dxa"/>
            <w:vAlign w:val="bottom"/>
          </w:tcPr>
          <w:p>
            <w:pPr>
              <w:ind w:left="480"/>
              <w:spacing w:after="0" w:line="230" w:lineRule="exact"/>
              <w:rPr>
                <w:sz w:val="20"/>
                <w:szCs w:val="20"/>
                <w:color w:val="auto"/>
              </w:rPr>
            </w:pPr>
            <w:r>
              <w:rPr>
                <w:rFonts w:ascii="Arial" w:cs="Arial" w:eastAsia="Arial" w:hAnsi="Arial"/>
                <w:sz w:val="18"/>
                <w:szCs w:val="18"/>
                <w:color w:val="auto"/>
              </w:rPr>
              <w:t>Operating results of transferred senior living facilities</w:t>
            </w:r>
            <w:r>
              <w:rPr>
                <w:rFonts w:ascii="Arial" w:cs="Arial" w:eastAsia="Arial" w:hAnsi="Arial"/>
                <w:sz w:val="23"/>
                <w:szCs w:val="23"/>
                <w:color w:val="auto"/>
                <w:vertAlign w:val="superscript"/>
              </w:rPr>
              <w:t>(e)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Rent related to items (a) and (e) above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8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Consolidated Adjusted EBITDA</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6,296</w:t>
            </w:r>
          </w:p>
        </w:tc>
      </w:tr>
      <w:tr>
        <w:trPr>
          <w:trHeight w:val="223"/>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Rent—cost of services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9,965</w:t>
            </w:r>
          </w:p>
        </w:tc>
      </w:tr>
      <w:tr>
        <w:trPr>
          <w:trHeight w:val="229"/>
        </w:trPr>
        <w:tc>
          <w:tcPr>
            <w:tcW w:w="87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Rent related to items (a) and (e) above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8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Adjusted rent—cost of services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9,931</w:t>
            </w:r>
          </w:p>
        </w:tc>
      </w:tr>
      <w:tr>
        <w:trPr>
          <w:trHeight w:val="223"/>
        </w:trPr>
        <w:tc>
          <w:tcPr>
            <w:tcW w:w="8720" w:type="dxa"/>
            <w:vAlign w:val="bottom"/>
          </w:tcPr>
          <w:p>
            <w:pPr>
              <w:ind w:left="220"/>
              <w:spacing w:after="0"/>
              <w:rPr>
                <w:sz w:val="20"/>
                <w:szCs w:val="20"/>
                <w:color w:val="auto"/>
              </w:rPr>
            </w:pPr>
            <w:r>
              <w:rPr>
                <w:rFonts w:ascii="Arial" w:cs="Arial" w:eastAsia="Arial" w:hAnsi="Arial"/>
                <w:sz w:val="18"/>
                <w:szCs w:val="18"/>
                <w:color w:val="auto"/>
              </w:rPr>
              <w:t>Consolidated Adjusted EBITDAR</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
        </w:trPr>
        <w:tc>
          <w:tcPr>
            <w:tcW w:w="8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116" w:lineRule="exact"/>
        <w:rPr>
          <w:sz w:val="20"/>
          <w:szCs w:val="20"/>
          <w:color w:val="auto"/>
        </w:rPr>
      </w:pPr>
    </w:p>
    <w:p>
      <w:pPr>
        <w:ind w:left="480" w:hanging="454"/>
        <w:spacing w:after="0"/>
        <w:tabs>
          <w:tab w:leader="none" w:pos="4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results related to start-up operations. This amount excludes rent and depreciation and amortization expense related to such operations.</w:t>
      </w:r>
    </w:p>
    <w:p>
      <w:pPr>
        <w:spacing w:after="0" w:line="28" w:lineRule="exact"/>
        <w:rPr>
          <w:rFonts w:ascii="Arial" w:cs="Arial" w:eastAsia="Arial" w:hAnsi="Arial"/>
          <w:sz w:val="14"/>
          <w:szCs w:val="14"/>
          <w:color w:val="auto"/>
        </w:rPr>
      </w:pPr>
    </w:p>
    <w:p>
      <w:pPr>
        <w:ind w:left="480" w:hanging="454"/>
        <w:spacing w:after="0"/>
        <w:tabs>
          <w:tab w:leader="none" w:pos="4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Share-based compensation expense incurred which is included in cost of services and general and administrative expense.</w:t>
      </w:r>
    </w:p>
    <w:p>
      <w:pPr>
        <w:spacing w:after="0" w:line="28" w:lineRule="exact"/>
        <w:rPr>
          <w:rFonts w:ascii="Arial" w:cs="Arial" w:eastAsia="Arial" w:hAnsi="Arial"/>
          <w:sz w:val="14"/>
          <w:szCs w:val="14"/>
          <w:color w:val="auto"/>
        </w:rPr>
      </w:pPr>
    </w:p>
    <w:p>
      <w:pPr>
        <w:ind w:left="480" w:hanging="454"/>
        <w:spacing w:after="0"/>
        <w:tabs>
          <w:tab w:leader="none" w:pos="4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Acquisition related costs related to business combinations during the periods.</w:t>
      </w:r>
    </w:p>
    <w:p>
      <w:pPr>
        <w:spacing w:after="0" w:line="28" w:lineRule="exact"/>
        <w:rPr>
          <w:rFonts w:ascii="Arial" w:cs="Arial" w:eastAsia="Arial" w:hAnsi="Arial"/>
          <w:sz w:val="14"/>
          <w:szCs w:val="14"/>
          <w:color w:val="auto"/>
        </w:rPr>
      </w:pPr>
    </w:p>
    <w:p>
      <w:pPr>
        <w:jc w:val="both"/>
        <w:ind w:left="480" w:right="20" w:hanging="454"/>
        <w:spacing w:after="0" w:line="224" w:lineRule="auto"/>
        <w:tabs>
          <w:tab w:leader="none" w:pos="4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Costs identified as redundant or nonrecurring incurred by the Company as a result of the Spin-off. The 2021 amounts represents part of the costs incurred under the Transition Services Agreement. All amounts are included in general and administrative expense. Fees incurred under the Transition Services Agreement were $988 for the three months ended March 31, 2021.</w:t>
      </w:r>
    </w:p>
    <w:p>
      <w:pPr>
        <w:spacing w:after="0" w:line="8" w:lineRule="exact"/>
        <w:rPr>
          <w:rFonts w:ascii="Arial" w:cs="Arial" w:eastAsia="Arial" w:hAnsi="Arial"/>
          <w:sz w:val="14"/>
          <w:szCs w:val="14"/>
          <w:color w:val="auto"/>
        </w:rPr>
      </w:pPr>
    </w:p>
    <w:p>
      <w:pPr>
        <w:jc w:val="both"/>
        <w:ind w:left="480" w:right="20" w:hanging="454"/>
        <w:spacing w:after="0" w:line="235" w:lineRule="auto"/>
        <w:tabs>
          <w:tab w:leader="none" w:pos="4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On January 27, 2022, affiliates of the Company, entered into certain operations transfer agreements (collectively, the “Transfer Agreements”) with affiliates of Ensign, providing for the transfer of the operations of certain senior living communities (the “Transaction”) from affiliates of the Company to affiliates of Ensign. The closing of the Transaction was completed in two phases with the transfer of two operations on March 1, 2022 and the remainder transferred on April 1, 2022. The amount above represents the net impact on revenue and cost of service attributable to the all of the transferred entities. This amount excludes rent and depreciation and amortization expense related to such operations.</w:t>
      </w:r>
    </w:p>
    <w:p>
      <w:pPr>
        <w:spacing w:after="0" w:line="32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tables below reconcile Segment Adjusted EBITDAR from Operations to Segment Adjusted EBITDA from Operations for the periods presented: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8"/>
                <w:szCs w:val="18"/>
                <w:b w:val="1"/>
                <w:bCs w:val="1"/>
                <w:color w:val="auto"/>
                <w:w w:val="93"/>
              </w:rPr>
              <w:t>Three Months Ended March 31,</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23"/>
        </w:trPr>
        <w:tc>
          <w:tcPr>
            <w:tcW w:w="6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60" w:type="dxa"/>
            <w:vAlign w:val="bottom"/>
            <w:gridSpan w:val="5"/>
          </w:tcPr>
          <w:p>
            <w:pPr>
              <w:ind w:left="80"/>
              <w:spacing w:after="0"/>
              <w:rPr>
                <w:sz w:val="20"/>
                <w:szCs w:val="20"/>
                <w:color w:val="auto"/>
              </w:rPr>
            </w:pPr>
            <w:r>
              <w:rPr>
                <w:rFonts w:ascii="Arial" w:cs="Arial" w:eastAsia="Arial" w:hAnsi="Arial"/>
                <w:sz w:val="18"/>
                <w:szCs w:val="18"/>
                <w:b w:val="1"/>
                <w:bCs w:val="1"/>
                <w:color w:val="auto"/>
              </w:rPr>
              <w:t>Home Health and Hospice</w:t>
            </w:r>
          </w:p>
        </w:tc>
        <w:tc>
          <w:tcPr>
            <w:tcW w:w="280" w:type="dxa"/>
            <w:vAlign w:val="bottom"/>
          </w:tcPr>
          <w:p>
            <w:pPr>
              <w:spacing w:after="0"/>
              <w:rPr>
                <w:sz w:val="19"/>
                <w:szCs w:val="19"/>
                <w:color w:val="auto"/>
              </w:rPr>
            </w:pPr>
          </w:p>
        </w:tc>
        <w:tc>
          <w:tcPr>
            <w:tcW w:w="2300" w:type="dxa"/>
            <w:vAlign w:val="bottom"/>
            <w:gridSpan w:val="4"/>
          </w:tcPr>
          <w:p>
            <w:pPr>
              <w:ind w:left="480"/>
              <w:spacing w:after="0"/>
              <w:rPr>
                <w:sz w:val="20"/>
                <w:szCs w:val="20"/>
                <w:color w:val="auto"/>
              </w:rPr>
            </w:pPr>
            <w:r>
              <w:rPr>
                <w:rFonts w:ascii="Arial" w:cs="Arial" w:eastAsia="Arial" w:hAnsi="Arial"/>
                <w:sz w:val="18"/>
                <w:szCs w:val="18"/>
                <w:b w:val="1"/>
                <w:bCs w:val="1"/>
                <w:color w:val="auto"/>
              </w:rPr>
              <w:t>Senior Living</w:t>
            </w:r>
          </w:p>
        </w:tc>
      </w:tr>
      <w:tr>
        <w:trPr>
          <w:trHeight w:val="223"/>
        </w:trPr>
        <w:tc>
          <w:tcPr>
            <w:tcW w:w="60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r>
      <w:tr>
        <w:trPr>
          <w:trHeight w:val="223"/>
        </w:trPr>
        <w:tc>
          <w:tcPr>
            <w:tcW w:w="6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(In thousands)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9,432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8,834</w:t>
            </w: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Less: Rent—cost of services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ind w:left="480"/>
              <w:spacing w:after="0"/>
              <w:rPr>
                <w:sz w:val="20"/>
                <w:szCs w:val="20"/>
                <w:color w:val="auto"/>
              </w:rPr>
            </w:pPr>
            <w:r>
              <w:rPr>
                <w:rFonts w:ascii="Arial" w:cs="Arial" w:eastAsia="Arial" w:hAnsi="Arial"/>
                <w:sz w:val="18"/>
                <w:szCs w:val="18"/>
                <w:color w:val="auto"/>
              </w:rPr>
              <w:t>8,789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8,835</w:t>
            </w:r>
          </w:p>
        </w:tc>
      </w:tr>
      <w:tr>
        <w:trPr>
          <w:trHeight w:val="230"/>
        </w:trPr>
        <w:tc>
          <w:tcPr>
            <w:tcW w:w="6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Rent related to start-up and transferred operations</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95"/>
              </w:rPr>
              <w:t>(938)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color w:val="auto"/>
              </w:rPr>
              <w:t>Segment Adjusted EBITDA from Operations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12,710</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1,581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r>
      <w:tr>
        <w:trPr>
          <w:trHeight w:val="20"/>
        </w:trPr>
        <w:tc>
          <w:tcPr>
            <w:tcW w:w="6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discussion includes references to certain performance and valuation measures, which are non-GAAP financial measures, including Consolidated EBITDA, Consolidated Adjusted EBITDA, Segment Adjusted EBITDA from Operations, and Consolidated Adjusted EBITDAR (collectively, “Non-GAAP Financial Measures”). Non-GAAP Financial Measures are used in addition to, and in conjunction with, results presented in accordance with GAAP and should not be relied upon to the exclusion of GAAP financial measures. Non-GAAP Financial Measures reflect an additional way of viewing aspects of our operations and company that, when viewed with our GAAP results and the accompanying reconciliations to corresponding GAAP financial measures, we believe can provide a more comprehensive understanding of factors and trends affecting our business.</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these Non-GAAP Financial Measures are useful to investors and other external users of our financial statements regarding our results of operations because:</w:t>
      </w:r>
    </w:p>
    <w:p>
      <w:pPr>
        <w:spacing w:after="0" w:line="197" w:lineRule="exact"/>
        <w:rPr>
          <w:sz w:val="20"/>
          <w:szCs w:val="20"/>
          <w:color w:val="auto"/>
        </w:rPr>
      </w:pPr>
    </w:p>
    <w:p>
      <w:pPr>
        <w:jc w:val="both"/>
        <w:ind w:left="660" w:hanging="328"/>
        <w:spacing w:after="0" w:line="311"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they are widely used by investors and analysts in our industry as a supplemental measure to evaluate the overall performance of companies in our industry without regard to items such as interest expense, rent expense and depreciation and amortization, which can vary substantially from company to company depending on the book value of assets, the method by which assets were acquired, and differences in capital structures;</w:t>
      </w:r>
    </w:p>
    <w:p>
      <w:pPr>
        <w:spacing w:after="0" w:line="40"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they help investors evaluate and compare the results of our operations from period to period by removing the impact of our asset base and capital structure from our operating results; and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Consolidated Adjusted EBITDAR is used by investors and analysts in our industry to value the companies in our industry without regard to capital structures.</w:t>
      </w:r>
    </w:p>
    <w:p>
      <w:pPr>
        <w:spacing w:after="0" w:line="19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We use Non-GAAP Financial Measures: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as measurements of our operating performance to assist us in comparing our operating performance on a consistent basis from period to period;</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allocate resources to enhance the financial performance of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assess the value of a potential acquisition;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assess the value of a transformed operation’s performance;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evaluate the effectiveness of our operational strategies;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compare our operating performance to that of our competitors.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typically use Non-GAAP Financial Measures to compare the operating performance of each operation from period to period. We find that Non-GAAP Financial Measures are useful for this purpose because they do not include such costs as interest expense, income taxes, depreciation and amortization expense, which may vary from period-to-period depending upon various factors, including the method used to finance operations, the date of acquisition of a community or business, and the tax law of the state in which a business unit operates.</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also establish compensation programs and bonuses for our leaders that are partially based upon the achievement of Consolidated Adjusted EBITDAR targets.</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Non-GAAP Financial Measures have no standardized meaning defined by GAAP. Therefore, our Non-GAAP Financial Measures have limitations as analytical tools, and they should not be considered in isolation, or as a substitute for analysis of our results as reported in accordance with GAAP. Some of these limitations are:</w:t>
      </w:r>
    </w:p>
    <w:p>
      <w:pPr>
        <w:spacing w:after="0" w:line="21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they do not reflect our current or future cash requirements for capital expenditures or contractual commitments;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they do not reflect changes in, or cash requirements for, our working capital needs;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they do not reflect the net interest expense, or the cash requirements necessary to service interest or principal payments, on our debt;</w:t>
      </w:r>
    </w:p>
    <w:p>
      <w:pPr>
        <w:spacing w:after="0" w:line="12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case of Consolidated Adjusted EBITDAR, it does not reflect rent expenses, which are normal and recurring operating expenses that are necessary to operate our leased operations;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they do not reflect any income tax payments we may be required to make;</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do not reflect any cash requirements for such replacements; and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companies in our industry may calculate the same Non-GAAP Financial Measures differently than we do, which may limit their usefulness as comparative measures.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compensate for these limitations by using Non-GAAP Financial Measures only to supplement net income on a basis prepared in accordance with GAAP in order to provide a more complete understanding of the factors and trends affecting our business.</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strongly encourage investors to review the Interim Financial Statements, included in this Quarterly Report in their entirety and to not rely on any single financial measure. Because these Non-GAAP Financial Measures are not standardized, it may not be possible to compare these financial measures with other companies’ non-GAAP financial measures having the same or similar names. These Non-GAAP Financial Measures should not be considered a substitute for, nor superior to, financial results and measures determined or calculated in accordance with GAAP. We strongly urge you to review the reconciliation of income from operations to the Non-GAAP Financial Measures in the table presented above, along with the Interim Financial Statements and related notes included elsewhere in this Quarterly Report.</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believe the following Non-GAAP Financial Measures are useful to investors as key operating performance measures and valuation measures: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EBITDA</w:t>
      </w:r>
    </w:p>
    <w:p>
      <w:pPr>
        <w:spacing w:after="0" w:line="25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believe Consolidated EBITDA is useful to investors in evaluating our operating performance because it helps investors evaluate and compare the results of our operations from period to period by removing the impact of our asset base (depreciation and amortization expense) from our operating results.</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calculate Consolidated EBITDA as net income, adjusted for net income (loss) attributable to noncontrolling interest prior to the Spin-Off, before (a) interest expense (b) provision for income taxes and (c) depreciation and amortization.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Adjusted EBITDA</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adjust Consolidated EBITDA when evaluating our performance because we believe that the exclusion of certain additional items described below provides useful supplemental information to investors regarding our ongoing operating performance. We believe that the presentation of Consolidated Adjusted EBITDA, when considered with Consolidated EBITDA and GAAP net income is beneficial to an investor’s complete understanding of our operating performance.</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calculate Consolidated Adjusted EBITDA by adjusting Consolidated EBITDA to exclude the effects of non-core business items, which for the reported periods includes, to the extent applicable:</w:t>
      </w:r>
    </w:p>
    <w:p>
      <w:pPr>
        <w:spacing w:after="0" w:line="197"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costs at start-up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share-based compensation expense;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acquisition related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redundant or nonrecurring costs incurred as part of the Transition Services Agreement;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operating results of senior living facilities transferred to Ensign.</w:t>
      </w: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Segment Adjusted EBITDA from Operations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calculate Segment Adjusted EBITDA from Operations by adjusting Segment Adjusted EBITDAR from Operations to include rent-cost of services. We believe that the inclusion of rent-cost of services provides useful supplemental information to investors regarding our ongoing operating performance for each segment.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Measure</w:t>
      </w:r>
      <w:r>
        <w:rPr>
          <w:rFonts w:ascii="Arial" w:cs="Arial" w:eastAsia="Arial" w:hAnsi="Arial"/>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Adjusted EBITDAR</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use Consolidated Adjusted EBITDAR as one measure in determining the value of prospective acquisitions. It is also a measure commonly used by us, research analysts and investors to compare the enterprise value of different companies in the healthcare industry, without regard to differences in capital structures. Additionally, we believe the use of Consolidated Adjusted EBITDAR allows us, research analysts and investors to compare operational results of companies with operating and finance leases. A significant portion of finance lease expenditures are recorded in interest, whereas operating lease expenditures are recorded in rent expense.</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measure is not displayed as a performance measure as it excludes rent expense, which is a normal and recurring operating expense and, as such, does not reflect our cash requirements for leasing commitments. Our presentation of Consolidated Adjusted EBITDAR should not be construed as a financial performance measure.</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adjustments made and previously described in the computation of Consolidated Adjusted EBITDA are also made when computing Consolidated Adjusted EBITDAR. We calculate Consolidated Adjusted EBITDAR by excluding rent-cost of services and rent related to start up operations from Consolidated Adjusted EBITDA.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2022 Compared to the Three Months Ended March 31, 2021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r>
              <w:rPr>
                <w:rFonts w:ascii="Arial" w:cs="Arial" w:eastAsia="Arial" w:hAnsi="Arial"/>
                <w:sz w:val="18"/>
                <w:szCs w:val="18"/>
                <w:b w:val="1"/>
                <w:bCs w:val="1"/>
                <w:i w:val="1"/>
                <w:iCs w:val="1"/>
                <w:color w:val="auto"/>
              </w:rPr>
              <w:t>Revenue</w:t>
            </w: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56"/>
        </w:trPr>
        <w:tc>
          <w:tcPr>
            <w:tcW w:w="47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16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rPr>
              <w:t>Three Months Ended March 31,</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r>
      <w:tr>
        <w:trPr>
          <w:trHeight w:val="223"/>
        </w:trPr>
        <w:tc>
          <w:tcPr>
            <w:tcW w:w="47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133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1330"/>
              <w:spacing w:after="0"/>
              <w:rPr>
                <w:sz w:val="20"/>
                <w:szCs w:val="20"/>
                <w:color w:val="auto"/>
              </w:rPr>
            </w:pPr>
            <w:r>
              <w:rPr>
                <w:rFonts w:ascii="Arial" w:cs="Arial" w:eastAsia="Arial" w:hAnsi="Arial"/>
                <w:sz w:val="18"/>
                <w:szCs w:val="18"/>
                <w:b w:val="1"/>
                <w:bCs w:val="1"/>
                <w:color w:val="auto"/>
                <w:w w:val="89"/>
              </w:rPr>
              <w:t>2021</w:t>
            </w:r>
          </w:p>
        </w:tc>
      </w:tr>
      <w:tr>
        <w:trPr>
          <w:trHeight w:val="223"/>
        </w:trPr>
        <w:tc>
          <w:tcPr>
            <w:tcW w:w="4700" w:type="dxa"/>
            <w:vAlign w:val="bottom"/>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Revenue Dollars</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Revenue Percentage</w:t>
            </w: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Revenue Dollars</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Revenue Percentage</w:t>
            </w:r>
          </w:p>
        </w:tc>
      </w:tr>
      <w:tr>
        <w:trPr>
          <w:trHeight w:val="223"/>
        </w:trPr>
        <w:tc>
          <w:tcPr>
            <w:tcW w:w="4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(In thousands)</w:t>
            </w: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health and hospice services</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Home health</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37,420</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32.9 %</w:t>
            </w:r>
          </w:p>
        </w:tc>
        <w:tc>
          <w:tcPr>
            <w:tcW w:w="100" w:type="dxa"/>
            <w:vAlign w:val="bottom"/>
          </w:tcPr>
          <w:p>
            <w:pPr>
              <w:spacing w:after="0"/>
              <w:rPr>
                <w:sz w:val="19"/>
                <w:szCs w:val="19"/>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33,204</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31.4 %</w:t>
            </w:r>
          </w:p>
        </w:tc>
      </w:tr>
      <w:tr>
        <w:trPr>
          <w:trHeight w:val="230"/>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Hospice</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37,823</w:t>
            </w:r>
          </w:p>
        </w:tc>
        <w:tc>
          <w:tcPr>
            <w:tcW w:w="180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36,914</w:t>
            </w:r>
          </w:p>
        </w:tc>
        <w:tc>
          <w:tcPr>
            <w:tcW w:w="180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34.9</w:t>
            </w:r>
          </w:p>
        </w:tc>
      </w:tr>
      <w:tr>
        <w:trPr>
          <w:trHeight w:val="229"/>
        </w:trPr>
        <w:tc>
          <w:tcPr>
            <w:tcW w:w="4700" w:type="dxa"/>
            <w:vAlign w:val="bottom"/>
          </w:tcPr>
          <w:p>
            <w:pPr>
              <w:ind w:left="140"/>
              <w:spacing w:after="0" w:line="230" w:lineRule="exact"/>
              <w:rPr>
                <w:sz w:val="20"/>
                <w:szCs w:val="20"/>
                <w:color w:val="auto"/>
              </w:rPr>
            </w:pPr>
            <w:r>
              <w:rPr>
                <w:rFonts w:ascii="Arial" w:cs="Arial" w:eastAsia="Arial" w:hAnsi="Arial"/>
                <w:sz w:val="18"/>
                <w:szCs w:val="18"/>
                <w:color w:val="auto"/>
              </w:rPr>
              <w:t>Home care and other</w:t>
            </w:r>
            <w:r>
              <w:rPr>
                <w:rFonts w:ascii="Arial" w:cs="Arial" w:eastAsia="Arial" w:hAnsi="Arial"/>
                <w:sz w:val="23"/>
                <w:szCs w:val="23"/>
                <w:color w:val="auto"/>
                <w:vertAlign w:val="superscript"/>
              </w:rPr>
              <w:t>(a)</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5,232</w:t>
            </w:r>
          </w:p>
        </w:tc>
        <w:tc>
          <w:tcPr>
            <w:tcW w:w="1800" w:type="dxa"/>
            <w:vAlign w:val="bottom"/>
            <w:gridSpan w:val="3"/>
          </w:tcPr>
          <w:p>
            <w:pPr>
              <w:jc w:val="right"/>
              <w:ind w:right="1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4,489</w:t>
            </w:r>
          </w:p>
        </w:tc>
        <w:tc>
          <w:tcPr>
            <w:tcW w:w="1800" w:type="dxa"/>
            <w:vAlign w:val="bottom"/>
            <w:gridSpan w:val="3"/>
          </w:tcPr>
          <w:p>
            <w:pPr>
              <w:jc w:val="right"/>
              <w:ind w:right="130"/>
              <w:spacing w:after="0"/>
              <w:rPr>
                <w:sz w:val="20"/>
                <w:szCs w:val="20"/>
                <w:color w:val="auto"/>
              </w:rPr>
            </w:pPr>
            <w:r>
              <w:rPr>
                <w:rFonts w:ascii="Arial" w:cs="Arial" w:eastAsia="Arial" w:hAnsi="Arial"/>
                <w:sz w:val="18"/>
                <w:szCs w:val="18"/>
                <w:color w:val="auto"/>
              </w:rPr>
              <w:t>4.3</w:t>
            </w:r>
          </w:p>
        </w:tc>
      </w:tr>
      <w:tr>
        <w:trPr>
          <w:trHeight w:val="223"/>
        </w:trPr>
        <w:tc>
          <w:tcPr>
            <w:tcW w:w="47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home health and hospice services</w:t>
            </w:r>
          </w:p>
        </w:tc>
        <w:tc>
          <w:tcPr>
            <w:tcW w:w="4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80,475</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70.6</w:t>
            </w:r>
          </w:p>
        </w:tc>
        <w:tc>
          <w:tcPr>
            <w:tcW w:w="1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74,607</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70.6</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Senior living services</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33,435</w:t>
            </w:r>
          </w:p>
        </w:tc>
        <w:tc>
          <w:tcPr>
            <w:tcW w:w="1800" w:type="dxa"/>
            <w:vAlign w:val="bottom"/>
            <w:gridSpan w:val="3"/>
          </w:tcPr>
          <w:p>
            <w:pPr>
              <w:jc w:val="right"/>
              <w:ind w:right="13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31,056</w:t>
            </w:r>
          </w:p>
        </w:tc>
        <w:tc>
          <w:tcPr>
            <w:tcW w:w="1800" w:type="dxa"/>
            <w:vAlign w:val="bottom"/>
            <w:gridSpan w:val="3"/>
          </w:tcPr>
          <w:p>
            <w:pPr>
              <w:jc w:val="right"/>
              <w:ind w:right="130"/>
              <w:spacing w:after="0"/>
              <w:rPr>
                <w:sz w:val="20"/>
                <w:szCs w:val="20"/>
                <w:color w:val="auto"/>
              </w:rPr>
            </w:pPr>
            <w:r>
              <w:rPr>
                <w:rFonts w:ascii="Arial" w:cs="Arial" w:eastAsia="Arial" w:hAnsi="Arial"/>
                <w:sz w:val="18"/>
                <w:szCs w:val="18"/>
                <w:color w:val="auto"/>
              </w:rPr>
              <w:t>29.4</w:t>
            </w:r>
          </w:p>
        </w:tc>
      </w:tr>
      <w:tr>
        <w:trPr>
          <w:trHeight w:val="248"/>
        </w:trPr>
        <w:tc>
          <w:tcPr>
            <w:tcW w:w="47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113,910</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105,663</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480" w:hanging="454"/>
        <w:spacing w:after="0"/>
        <w:tabs>
          <w:tab w:leader="none" w:pos="4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Home care and other revenue is included with home health revenue in other disclosures in this Quarterly Report.</w:t>
      </w:r>
    </w:p>
    <w:p>
      <w:pPr>
        <w:spacing w:after="0" w:line="3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total revenue increased $8.2 million, or 7.8% during the three months ended March 31, 2022. The increase in revenue was driven by increases in all key metrics, home health and hospice admissions, home health rate per episode, hospice rate per day, senior living occupancy and senior living revenue per occupied room.</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582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790"/>
        </w:trPr>
        <w:tc>
          <w:tcPr>
            <w:tcW w:w="5820" w:type="dxa"/>
            <w:vAlign w:val="bottom"/>
            <w:gridSpan w:val="2"/>
          </w:tcPr>
          <w:p>
            <w:pPr>
              <w:spacing w:after="0"/>
              <w:rPr>
                <w:sz w:val="20"/>
                <w:szCs w:val="20"/>
                <w:color w:val="auto"/>
              </w:rPr>
            </w:pPr>
            <w:r>
              <w:rPr>
                <w:rFonts w:ascii="Arial" w:cs="Arial" w:eastAsia="Arial" w:hAnsi="Arial"/>
                <w:sz w:val="18"/>
                <w:szCs w:val="18"/>
                <w:i w:val="1"/>
                <w:iCs w:val="1"/>
                <w:color w:val="auto"/>
              </w:rPr>
              <w:t>Home Health and Hospice Services</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7"/>
        </w:trPr>
        <w:tc>
          <w:tcPr>
            <w:tcW w:w="1280" w:type="dxa"/>
            <w:vAlign w:val="bottom"/>
          </w:tcPr>
          <w:p>
            <w:pPr>
              <w:spacing w:after="0"/>
              <w:rPr>
                <w:sz w:val="22"/>
                <w:szCs w:val="22"/>
                <w:color w:val="auto"/>
              </w:rPr>
            </w:pPr>
          </w:p>
        </w:tc>
        <w:tc>
          <w:tcPr>
            <w:tcW w:w="4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8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3"/>
              </w:rPr>
              <w:t>Three Months Ended March 31,</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23"/>
        </w:trPr>
        <w:tc>
          <w:tcPr>
            <w:tcW w:w="128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Change</w:t>
            </w: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128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580" w:type="dxa"/>
            <w:vAlign w:val="bottom"/>
            <w:tcBorders>
              <w:top w:val="single" w:sz="8" w:color="auto"/>
            </w:tcBorders>
            <w:gridSpan w:val="4"/>
          </w:tcPr>
          <w:p>
            <w:pPr>
              <w:jc w:val="center"/>
              <w:ind w:right="10"/>
              <w:spacing w:after="0"/>
              <w:rPr>
                <w:sz w:val="20"/>
                <w:szCs w:val="20"/>
                <w:color w:val="auto"/>
              </w:rPr>
            </w:pPr>
            <w:r>
              <w:rPr>
                <w:rFonts w:ascii="Arial" w:cs="Arial" w:eastAsia="Arial" w:hAnsi="Arial"/>
                <w:sz w:val="18"/>
                <w:szCs w:val="18"/>
                <w:b w:val="1"/>
                <w:bCs w:val="1"/>
                <w:color w:val="auto"/>
                <w:w w:val="90"/>
              </w:rPr>
              <w:t>(In thousands)</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r>
      <w:tr>
        <w:trPr>
          <w:trHeight w:val="229"/>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Home health and hospice revenue</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5820" w:type="dxa"/>
            <w:vAlign w:val="bottom"/>
            <w:gridSpan w:val="2"/>
          </w:tcPr>
          <w:p>
            <w:pPr>
              <w:ind w:left="220"/>
              <w:spacing w:after="0"/>
              <w:rPr>
                <w:sz w:val="20"/>
                <w:szCs w:val="20"/>
                <w:color w:val="auto"/>
              </w:rPr>
            </w:pPr>
            <w:r>
              <w:rPr>
                <w:rFonts w:ascii="Arial" w:cs="Arial" w:eastAsia="Arial" w:hAnsi="Arial"/>
                <w:sz w:val="18"/>
                <w:szCs w:val="18"/>
                <w:color w:val="auto"/>
              </w:rPr>
              <w:t>Home health services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37,420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33,204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4,216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12.7 %</w:t>
            </w:r>
          </w:p>
        </w:tc>
      </w:tr>
      <w:tr>
        <w:trPr>
          <w:trHeight w:val="230"/>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Hospice services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w:t>
            </w:r>
          </w:p>
        </w:tc>
      </w:tr>
      <w:tr>
        <w:trPr>
          <w:trHeight w:val="229"/>
        </w:trPr>
        <w:tc>
          <w:tcPr>
            <w:tcW w:w="58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Home care and other</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16.6</w:t>
            </w:r>
          </w:p>
        </w:tc>
      </w:tr>
      <w:tr>
        <w:trPr>
          <w:trHeight w:val="248"/>
        </w:trPr>
        <w:tc>
          <w:tcPr>
            <w:tcW w:w="58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home health and hospice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7.9 %</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r>
        <w:trPr>
          <w:trHeight w:val="447"/>
        </w:trPr>
        <w:tc>
          <w:tcPr>
            <w:tcW w:w="12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3"/>
              </w:rPr>
              <w:t>Three Months Ended March 31,</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23"/>
        </w:trPr>
        <w:tc>
          <w:tcPr>
            <w:tcW w:w="128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Change</w:t>
            </w: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09"/>
        </w:trPr>
        <w:tc>
          <w:tcPr>
            <w:tcW w:w="5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Home health services:</w:t>
            </w: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30"/>
        </w:trPr>
        <w:tc>
          <w:tcPr>
            <w:tcW w:w="5820" w:type="dxa"/>
            <w:vAlign w:val="bottom"/>
            <w:gridSpan w:val="2"/>
          </w:tcPr>
          <w:p>
            <w:pPr>
              <w:ind w:left="360"/>
              <w:spacing w:after="0"/>
              <w:rPr>
                <w:sz w:val="20"/>
                <w:szCs w:val="20"/>
                <w:color w:val="auto"/>
              </w:rPr>
            </w:pPr>
            <w:r>
              <w:rPr>
                <w:rFonts w:ascii="Arial" w:cs="Arial" w:eastAsia="Arial" w:hAnsi="Arial"/>
                <w:sz w:val="18"/>
                <w:szCs w:val="18"/>
                <w:color w:val="auto"/>
              </w:rPr>
              <w:t>Total home health admissions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11.9 %</w:t>
            </w:r>
          </w:p>
        </w:tc>
      </w:tr>
      <w:tr>
        <w:trPr>
          <w:trHeight w:val="229"/>
        </w:trPr>
        <w:tc>
          <w:tcPr>
            <w:tcW w:w="5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Medicare home health admissions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w:t>
            </w:r>
          </w:p>
        </w:tc>
      </w:tr>
      <w:tr>
        <w:trPr>
          <w:trHeight w:val="230"/>
        </w:trPr>
        <w:tc>
          <w:tcPr>
            <w:tcW w:w="5820" w:type="dxa"/>
            <w:vAlign w:val="bottom"/>
            <w:gridSpan w:val="2"/>
          </w:tcPr>
          <w:p>
            <w:pPr>
              <w:ind w:left="360"/>
              <w:spacing w:after="0" w:line="230" w:lineRule="exact"/>
              <w:rPr>
                <w:sz w:val="20"/>
                <w:szCs w:val="20"/>
                <w:color w:val="auto"/>
              </w:rPr>
            </w:pPr>
            <w:r>
              <w:rPr>
                <w:rFonts w:ascii="Arial" w:cs="Arial" w:eastAsia="Arial" w:hAnsi="Arial"/>
                <w:sz w:val="18"/>
                <w:szCs w:val="18"/>
                <w:color w:val="auto"/>
              </w:rPr>
              <w:t>Average Medicare revenue per 60-day completed episode</w:t>
            </w:r>
            <w:r>
              <w:rPr>
                <w:rFonts w:ascii="Arial" w:cs="Arial" w:eastAsia="Arial" w:hAnsi="Arial"/>
                <w:sz w:val="23"/>
                <w:szCs w:val="23"/>
                <w:color w:val="auto"/>
                <w:vertAlign w:val="superscript"/>
              </w:rPr>
              <w:t>(a)</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3,539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3,395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4.2</w:t>
            </w:r>
          </w:p>
        </w:tc>
      </w:tr>
      <w:tr>
        <w:trPr>
          <w:trHeight w:val="229"/>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Hospice services: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5820" w:type="dxa"/>
            <w:vAlign w:val="bottom"/>
            <w:gridSpan w:val="2"/>
          </w:tcPr>
          <w:p>
            <w:pPr>
              <w:ind w:left="360"/>
              <w:spacing w:after="0"/>
              <w:rPr>
                <w:sz w:val="20"/>
                <w:szCs w:val="20"/>
                <w:color w:val="auto"/>
              </w:rPr>
            </w:pPr>
            <w:r>
              <w:rPr>
                <w:rFonts w:ascii="Arial" w:cs="Arial" w:eastAsia="Arial" w:hAnsi="Arial"/>
                <w:sz w:val="18"/>
                <w:szCs w:val="18"/>
                <w:color w:val="auto"/>
              </w:rPr>
              <w:t>Total hospice admissions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11.8</w:t>
            </w:r>
          </w:p>
        </w:tc>
      </w:tr>
      <w:tr>
        <w:trPr>
          <w:trHeight w:val="230"/>
        </w:trPr>
        <w:tc>
          <w:tcPr>
            <w:tcW w:w="5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Average daily census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(3.3)</w:t>
            </w:r>
          </w:p>
        </w:tc>
      </w:tr>
      <w:tr>
        <w:trPr>
          <w:trHeight w:val="229"/>
        </w:trPr>
        <w:tc>
          <w:tcPr>
            <w:tcW w:w="5820" w:type="dxa"/>
            <w:vAlign w:val="bottom"/>
            <w:gridSpan w:val="2"/>
          </w:tcPr>
          <w:p>
            <w:pPr>
              <w:ind w:left="360"/>
              <w:spacing w:after="0"/>
              <w:rPr>
                <w:sz w:val="20"/>
                <w:szCs w:val="20"/>
                <w:color w:val="auto"/>
              </w:rPr>
            </w:pPr>
            <w:r>
              <w:rPr>
                <w:rFonts w:ascii="Arial" w:cs="Arial" w:eastAsia="Arial" w:hAnsi="Arial"/>
                <w:sz w:val="18"/>
                <w:szCs w:val="18"/>
                <w:color w:val="auto"/>
              </w:rPr>
              <w:t>Hospice Medicare revenue per day</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4.1</w:t>
            </w:r>
          </w:p>
        </w:tc>
      </w:tr>
      <w:tr>
        <w:trPr>
          <w:trHeight w:val="230"/>
        </w:trPr>
        <w:tc>
          <w:tcPr>
            <w:tcW w:w="5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Number of home health and hospice agencies at period end</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10.0</w:t>
            </w:r>
          </w:p>
        </w:tc>
      </w:tr>
    </w:tbl>
    <w:p>
      <w:pPr>
        <w:spacing w:after="0" w:line="116" w:lineRule="exact"/>
        <w:rPr>
          <w:sz w:val="20"/>
          <w:szCs w:val="20"/>
          <w:color w:val="auto"/>
        </w:rPr>
      </w:pPr>
    </w:p>
    <w:p>
      <w:pPr>
        <w:ind w:left="480" w:hanging="454"/>
        <w:spacing w:after="0"/>
        <w:tabs>
          <w:tab w:leader="none" w:pos="4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year to date average for Medicare revenue per 60-day completed episode includes post period claim adjustments for prior periods.</w:t>
      </w:r>
    </w:p>
    <w:p>
      <w:pPr>
        <w:spacing w:after="0" w:line="3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Home health and hospice revenue increased $5.9 million, or 7.9% during the three months ended March 31, 2022. Revenue grew primarily due to an increase of 11.9% in home health admissions (inclusive of an increase in total Medicare home health admissions of 3.0%), an increase of 11.8% in total hospice admissions, offset by a decrease of 3.3% in hospice average daily census during the three months ended March 31, 2022 when compared to the three months ended March 31, 2021.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40" w:type="dxa"/>
            <w:vAlign w:val="bottom"/>
          </w:tcPr>
          <w:p>
            <w:pPr>
              <w:spacing w:after="0"/>
              <w:rPr>
                <w:sz w:val="20"/>
                <w:szCs w:val="20"/>
                <w:color w:val="auto"/>
              </w:rPr>
            </w:pPr>
            <w:r>
              <w:rPr>
                <w:rFonts w:ascii="Arial" w:cs="Arial" w:eastAsia="Arial" w:hAnsi="Arial"/>
                <w:sz w:val="18"/>
                <w:szCs w:val="18"/>
                <w:i w:val="1"/>
                <w:iCs w:val="1"/>
                <w:color w:val="auto"/>
              </w:rPr>
              <w:t>Senior Living Services</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99"/>
        </w:trPr>
        <w:tc>
          <w:tcPr>
            <w:tcW w:w="5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60" w:type="dxa"/>
            <w:vAlign w:val="bottom"/>
            <w:gridSpan w:val="4"/>
          </w:tcPr>
          <w:p>
            <w:pPr>
              <w:ind w:left="60"/>
              <w:spacing w:after="0"/>
              <w:rPr>
                <w:sz w:val="20"/>
                <w:szCs w:val="20"/>
                <w:color w:val="auto"/>
              </w:rPr>
            </w:pPr>
            <w:r>
              <w:rPr>
                <w:rFonts w:ascii="Arial" w:cs="Arial" w:eastAsia="Arial" w:hAnsi="Arial"/>
                <w:sz w:val="18"/>
                <w:szCs w:val="18"/>
                <w:b w:val="1"/>
                <w:bCs w:val="1"/>
                <w:color w:val="auto"/>
              </w:rPr>
              <w:t>Three Months Ended March 31,</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3"/>
        </w:trPr>
        <w:tc>
          <w:tcPr>
            <w:tcW w:w="5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Change</w:t>
            </w:r>
          </w:p>
        </w:tc>
        <w:tc>
          <w:tcPr>
            <w:tcW w:w="1360" w:type="dxa"/>
            <w:vAlign w:val="bottom"/>
          </w:tcPr>
          <w:p>
            <w:pPr>
              <w:ind w:left="280"/>
              <w:spacing w:after="0"/>
              <w:rPr>
                <w:sz w:val="20"/>
                <w:szCs w:val="20"/>
                <w:color w:val="auto"/>
              </w:rPr>
            </w:pPr>
            <w:r>
              <w:rPr>
                <w:rFonts w:ascii="Arial" w:cs="Arial" w:eastAsia="Arial" w:hAnsi="Arial"/>
                <w:sz w:val="18"/>
                <w:szCs w:val="18"/>
                <w:b w:val="1"/>
                <w:bCs w:val="1"/>
                <w:color w:val="auto"/>
              </w:rPr>
              <w:t>% Change</w:t>
            </w:r>
          </w:p>
        </w:tc>
      </w:tr>
      <w:tr>
        <w:trPr>
          <w:trHeight w:val="250"/>
        </w:trPr>
        <w:tc>
          <w:tcPr>
            <w:tcW w:w="54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(in thousands)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33,435</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31,056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2,379</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1"/>
              </w:rPr>
              <w:t>7.7 %</w:t>
            </w: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Number of communities at period end</w:t>
            </w:r>
          </w:p>
        </w:tc>
        <w:tc>
          <w:tcPr>
            <w:tcW w:w="160" w:type="dxa"/>
            <w:vAlign w:val="bottom"/>
          </w:tcPr>
          <w:p>
            <w:pPr>
              <w:spacing w:after="0"/>
              <w:rPr>
                <w:sz w:val="19"/>
                <w:szCs w:val="19"/>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52</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(3.7)</w:t>
            </w: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Occupancy</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72.6 %</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Average monthly revenue per occupied unit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3,371</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3,186</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20"/>
                <w:szCs w:val="20"/>
                <w:color w:val="auto"/>
              </w:rPr>
            </w:pPr>
          </w:p>
        </w:tc>
        <w:tc>
          <w:tcPr>
            <w:tcW w:w="1360" w:type="dxa"/>
            <w:vAlign w:val="bottom"/>
          </w:tcPr>
          <w:p>
            <w:pPr>
              <w:ind w:left="920"/>
              <w:spacing w:after="0"/>
              <w:rPr>
                <w:sz w:val="20"/>
                <w:szCs w:val="20"/>
                <w:color w:val="auto"/>
              </w:rPr>
            </w:pPr>
            <w:r>
              <w:rPr>
                <w:rFonts w:ascii="Arial" w:cs="Arial" w:eastAsia="Arial" w:hAnsi="Arial"/>
                <w:sz w:val="18"/>
                <w:szCs w:val="18"/>
                <w:color w:val="auto"/>
              </w:rPr>
              <w:t>5.8</w:t>
            </w:r>
          </w:p>
        </w:tc>
      </w:tr>
    </w:tbl>
    <w:p>
      <w:pPr>
        <w:spacing w:after="0" w:line="32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Senior living revenue increased $2.4 million, or 7.7%, for the three months ended March 31, 2022 compared to the same period in the prior year primarily an increase of 5.8% in average monthly revenue per occupied unit and due to a 0.5% increase in occupancy between March 31, 2021 and March 31, 2022.</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574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790"/>
        </w:trPr>
        <w:tc>
          <w:tcPr>
            <w:tcW w:w="1280" w:type="dxa"/>
            <w:vAlign w:val="bottom"/>
            <w:tcBorders>
              <w:top w:val="single" w:sz="8" w:color="0000FF"/>
            </w:tcBorders>
          </w:tcPr>
          <w:p>
            <w:pPr>
              <w:spacing w:after="0"/>
              <w:rPr>
                <w:sz w:val="20"/>
                <w:szCs w:val="20"/>
                <w:color w:val="auto"/>
              </w:rPr>
            </w:pPr>
            <w:r>
              <w:rPr>
                <w:rFonts w:ascii="Arial" w:cs="Arial" w:eastAsia="Arial" w:hAnsi="Arial"/>
                <w:sz w:val="18"/>
                <w:szCs w:val="18"/>
                <w:b w:val="1"/>
                <w:bCs w:val="1"/>
                <w:i w:val="1"/>
                <w:iCs w:val="1"/>
                <w:color w:val="auto"/>
                <w:w w:val="89"/>
              </w:rPr>
              <w:t>Cost of Services</w:t>
            </w:r>
          </w:p>
        </w:tc>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7"/>
        </w:trPr>
        <w:tc>
          <w:tcPr>
            <w:tcW w:w="1280" w:type="dxa"/>
            <w:vAlign w:val="bottom"/>
          </w:tcPr>
          <w:p>
            <w:pPr>
              <w:spacing w:after="0"/>
              <w:rPr>
                <w:sz w:val="22"/>
                <w:szCs w:val="22"/>
                <w:color w:val="auto"/>
              </w:rPr>
            </w:pPr>
          </w:p>
        </w:tc>
        <w:tc>
          <w:tcPr>
            <w:tcW w:w="4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80" w:type="dxa"/>
            <w:vAlign w:val="bottom"/>
            <w:gridSpan w:val="5"/>
          </w:tcPr>
          <w:p>
            <w:pPr>
              <w:spacing w:after="0"/>
              <w:rPr>
                <w:sz w:val="20"/>
                <w:szCs w:val="20"/>
                <w:color w:val="auto"/>
              </w:rPr>
            </w:pPr>
            <w:r>
              <w:rPr>
                <w:rFonts w:ascii="Arial" w:cs="Arial" w:eastAsia="Arial" w:hAnsi="Arial"/>
                <w:sz w:val="18"/>
                <w:szCs w:val="18"/>
                <w:b w:val="1"/>
                <w:bCs w:val="1"/>
                <w:color w:val="auto"/>
                <w:w w:val="99"/>
              </w:rPr>
              <w:t>Three Months Ended March 31,</w:t>
            </w: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23"/>
        </w:trPr>
        <w:tc>
          <w:tcPr>
            <w:tcW w:w="12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Change</w:t>
            </w:r>
          </w:p>
        </w:tc>
        <w:tc>
          <w:tcPr>
            <w:tcW w:w="100" w:type="dxa"/>
            <w:vAlign w:val="bottom"/>
          </w:tcPr>
          <w:p>
            <w:pPr>
              <w:spacing w:after="0"/>
              <w:rPr>
                <w:sz w:val="19"/>
                <w:szCs w:val="19"/>
                <w:color w:val="auto"/>
              </w:rPr>
            </w:pPr>
          </w:p>
        </w:tc>
        <w:tc>
          <w:tcPr>
            <w:tcW w:w="13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12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3"/>
          </w:tcPr>
          <w:p>
            <w:pPr>
              <w:ind w:left="60"/>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Home Health and Hospice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5,448</w:t>
            </w:r>
          </w:p>
        </w:tc>
        <w:tc>
          <w:tcPr>
            <w:tcW w:w="14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w w:val="91"/>
              </w:rPr>
              <w:t>8.9 %</w:t>
            </w:r>
          </w:p>
        </w:tc>
      </w:tr>
      <w:tr>
        <w:trPr>
          <w:trHeight w:val="229"/>
        </w:trPr>
        <w:tc>
          <w:tcPr>
            <w:tcW w:w="5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Senior Living</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22,138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1480" w:type="dxa"/>
            <w:vAlign w:val="bottom"/>
            <w:tcBorders>
              <w:bottom w:val="single" w:sz="8" w:color="CCEEFF"/>
            </w:tcBorders>
            <w:gridSpan w:val="2"/>
          </w:tcPr>
          <w:p>
            <w:pPr>
              <w:ind w:left="1040"/>
              <w:spacing w:after="0"/>
              <w:rPr>
                <w:sz w:val="20"/>
                <w:szCs w:val="20"/>
                <w:color w:val="auto"/>
              </w:rPr>
            </w:pPr>
            <w:r>
              <w:rPr>
                <w:rFonts w:ascii="Arial" w:cs="Arial" w:eastAsia="Arial" w:hAnsi="Arial"/>
                <w:sz w:val="18"/>
                <w:szCs w:val="18"/>
                <w:color w:val="auto"/>
              </w:rPr>
              <w:t>5.8</w:t>
            </w:r>
          </w:p>
        </w:tc>
      </w:tr>
      <w:tr>
        <w:trPr>
          <w:trHeight w:val="248"/>
        </w:trPr>
        <w:tc>
          <w:tcPr>
            <w:tcW w:w="57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cost of services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6,731</w:t>
            </w:r>
          </w:p>
        </w:tc>
        <w:tc>
          <w:tcPr>
            <w:tcW w:w="148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w w:val="91"/>
              </w:rPr>
              <w:t>8.0 %</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Consolidated cost of services increased $6.7 million or 8.0% during the three months ended March 31, 2022. Cost of services as a percentage of revenue for the three months ended March 31, 2022 increased by 0.2% to 79.3% from 79.1% compared to the three months ended March 31, 2021.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tcPr>
          <w:p>
            <w:pPr>
              <w:spacing w:after="0"/>
              <w:rPr>
                <w:sz w:val="20"/>
                <w:szCs w:val="20"/>
                <w:color w:val="auto"/>
              </w:rPr>
            </w:pPr>
            <w:r>
              <w:rPr>
                <w:rFonts w:ascii="Arial" w:cs="Arial" w:eastAsia="Arial" w:hAnsi="Arial"/>
                <w:sz w:val="18"/>
                <w:szCs w:val="18"/>
                <w:i w:val="1"/>
                <w:iCs w:val="1"/>
                <w:color w:val="auto"/>
              </w:rPr>
              <w:t>Home Health and Hospice Services</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7"/>
        </w:trPr>
        <w:tc>
          <w:tcPr>
            <w:tcW w:w="5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60" w:type="dxa"/>
            <w:vAlign w:val="bottom"/>
            <w:gridSpan w:val="5"/>
          </w:tcPr>
          <w:p>
            <w:pPr>
              <w:ind w:left="60"/>
              <w:spacing w:after="0"/>
              <w:rPr>
                <w:sz w:val="20"/>
                <w:szCs w:val="20"/>
                <w:color w:val="auto"/>
              </w:rPr>
            </w:pPr>
            <w:r>
              <w:rPr>
                <w:rFonts w:ascii="Arial" w:cs="Arial" w:eastAsia="Arial" w:hAnsi="Arial"/>
                <w:sz w:val="18"/>
                <w:szCs w:val="18"/>
                <w:b w:val="1"/>
                <w:bCs w:val="1"/>
                <w:color w:val="auto"/>
              </w:rPr>
              <w:t>Three Months Ended March 31,</w:t>
            </w: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23"/>
        </w:trPr>
        <w:tc>
          <w:tcPr>
            <w:tcW w:w="54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Change</w:t>
            </w: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service (in thousands)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66,932</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61,484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5,448</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8.9 %</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Cost of services as a percentage of revenue</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83.2 %</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82.4 %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r>
    </w:tbl>
    <w:p>
      <w:pPr>
        <w:spacing w:after="0" w:line="30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 of services related to our Home Health and Hospice services segment increased $5.4 million, or 8.9%, primarily due to the increased volume of services from growth in admissions. Cost of services as a percentage of revenue for the three months ended March 31, 2022 increased by 0.8% compared to the three months ended March 31, 2021 primarily due to increased wage rates for clinical delivery and support and temporary labor costs offset by a slight improvement in supplies costs.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40" w:type="dxa"/>
            <w:vAlign w:val="bottom"/>
          </w:tcPr>
          <w:p>
            <w:pPr>
              <w:spacing w:after="0"/>
              <w:rPr>
                <w:sz w:val="20"/>
                <w:szCs w:val="20"/>
                <w:color w:val="auto"/>
              </w:rPr>
            </w:pPr>
            <w:r>
              <w:rPr>
                <w:rFonts w:ascii="Arial" w:cs="Arial" w:eastAsia="Arial" w:hAnsi="Arial"/>
                <w:sz w:val="18"/>
                <w:szCs w:val="18"/>
                <w:i w:val="1"/>
                <w:iCs w:val="1"/>
                <w:color w:val="auto"/>
              </w:rPr>
              <w:t>Senior Living Services</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99"/>
        </w:trPr>
        <w:tc>
          <w:tcPr>
            <w:tcW w:w="5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60" w:type="dxa"/>
            <w:vAlign w:val="bottom"/>
            <w:gridSpan w:val="5"/>
          </w:tcPr>
          <w:p>
            <w:pPr>
              <w:ind w:left="60"/>
              <w:spacing w:after="0"/>
              <w:rPr>
                <w:sz w:val="20"/>
                <w:szCs w:val="20"/>
                <w:color w:val="auto"/>
              </w:rPr>
            </w:pPr>
            <w:r>
              <w:rPr>
                <w:rFonts w:ascii="Arial" w:cs="Arial" w:eastAsia="Arial" w:hAnsi="Arial"/>
                <w:sz w:val="18"/>
                <w:szCs w:val="18"/>
                <w:b w:val="1"/>
                <w:bCs w:val="1"/>
                <w:color w:val="auto"/>
              </w:rPr>
              <w:t>Three Months Ended March 31,</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3"/>
        </w:trPr>
        <w:tc>
          <w:tcPr>
            <w:tcW w:w="5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Change</w:t>
            </w: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service (in thousands)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23,421</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22,138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1,283</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5.8 %</w:t>
            </w: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Cost of services as a percentage of revenue</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70.0 %</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71.3 %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3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 of services related to our Senior Living services segment increased $1.3 million, or 5.8% during the three months ended March 31, 2022 in response to higher occupancy and wage increases. As a percentage of revenue, costs of service decreased by 1.3% from 71.3% to 70.0% during the three months ended March 31, 2022 when compared to the three months ended March 31, 2021, as a result of increased wage rates and utilities inflation offset by better cost management.</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Rent—Cost of Services</w:t>
      </w:r>
      <w:r>
        <w:rPr>
          <w:rFonts w:ascii="Arial" w:cs="Arial" w:eastAsia="Arial" w:hAnsi="Arial"/>
          <w:sz w:val="18"/>
          <w:szCs w:val="18"/>
          <w:color w:val="auto"/>
        </w:rPr>
        <w:t>. Rent increased 0.9% from $10.0 million to $10.1 million in the three months ended March 31, 2022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the prior year, primarily as a result of acquisitions and CPI adjustments.The increase was partially offset by the decrease in rent expense for the two facilities transferred to Ensign on March 1, 2022. As a percentage of revenue, rent</w:t>
      </w:r>
      <w:r>
        <w:rPr>
          <w:rFonts w:ascii="Arial" w:cs="Arial" w:eastAsia="Arial" w:hAnsi="Arial"/>
          <w:sz w:val="18"/>
          <w:szCs w:val="18"/>
          <w:i w:val="1"/>
          <w:iCs w:val="1"/>
          <w:color w:val="auto"/>
        </w:rPr>
        <w:t>—</w:t>
      </w:r>
      <w:r>
        <w:rPr>
          <w:rFonts w:ascii="Arial" w:cs="Arial" w:eastAsia="Arial" w:hAnsi="Arial"/>
          <w:sz w:val="18"/>
          <w:szCs w:val="18"/>
          <w:color w:val="auto"/>
        </w:rPr>
        <w:t>cost of services decreased 0.6% when compared to the three months ended March 31, 2021.</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Our general and administrative expense increased $0.7 million or 8.0% from $9.3 million to $10.0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March 31, 2022 when compared to the three months ended March 31, 2021. The increase in general and administrative expense was primarily due to an increase of $0.6 million in wage and benefits during the three months ended March 31, 2022 when compared to the three months ended March 31, 2021.</w:t>
      </w:r>
    </w:p>
    <w:p>
      <w:pPr>
        <w:spacing w:after="0" w:line="21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Depreciation and amortization expense decreased slightly as a percentage of total revenue due the impairment of</w:t>
      </w:r>
      <w:r>
        <w:rPr>
          <w:rFonts w:ascii="Arial" w:cs="Arial" w:eastAsia="Arial" w:hAnsi="Arial"/>
          <w:sz w:val="16"/>
          <w:szCs w:val="16"/>
          <w:i w:val="1"/>
          <w:iCs w:val="1"/>
          <w:color w:val="auto"/>
        </w:rPr>
        <w:t xml:space="preserve"> </w:t>
      </w:r>
      <w:r>
        <w:rPr>
          <w:rFonts w:ascii="Arial" w:cs="Arial" w:eastAsia="Arial" w:hAnsi="Arial"/>
          <w:sz w:val="16"/>
          <w:szCs w:val="16"/>
          <w:color w:val="auto"/>
        </w:rPr>
        <w:t>assets at December 31, 2021 that were transferred to Ensign on March 1, 2022 and April 1, 2022, during the three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Our effective tax rate for the three months ended March 31, 2022 was 31.9% of earnings before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with an effective tax rate of 27.1% for the three months ended March 31, 2021. The increase in the effective tax rate was due to a decrease in excess tax benefits from share-based compensation. See Note 14</w:t>
      </w:r>
      <w:r>
        <w:rPr>
          <w:rFonts w:ascii="Arial" w:cs="Arial" w:eastAsia="Arial" w:hAnsi="Arial"/>
          <w:sz w:val="18"/>
          <w:szCs w:val="18"/>
          <w:i w:val="1"/>
          <w:iCs w:val="1"/>
          <w:color w:val="auto"/>
        </w:rPr>
        <w:t>, Income Taxes</w:t>
      </w:r>
      <w:r>
        <w:rPr>
          <w:rFonts w:ascii="Arial" w:cs="Arial" w:eastAsia="Arial" w:hAnsi="Arial"/>
          <w:sz w:val="18"/>
          <w:szCs w:val="18"/>
          <w:color w:val="auto"/>
        </w:rPr>
        <w:t>, to the Interim Financial Statements included elsewhere in this Quarterly Report for further discussion.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primary sources of liquidity are net cash provided by borrowings under our revolving credit facility.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February 23, 2021, Pennant entered into an amendment to its existing credit agreement (as amended, the “Credit Agreement”), which provides for an increased revolving credit facility with a syndicate of banks with a borrowing capacity of $150.0 million (the “Revolving Credit Facility”). The Revolving Credit Facility is not subject to interim amortization and the Company will not be required to repay any loans under the Revolving Credit Facility prior to maturity in 2026. The Company is permitted to prepay all or any portion of the loans under the Revolving Credit Facility prior to maturity without premium or penalty, subject to reimbursement of any LIBOR breakage costs of the lenders.</w:t>
      </w:r>
    </w:p>
    <w:p>
      <w:pPr>
        <w:spacing w:after="0" w:line="21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Credit Agreement contains customary covenants that, among other things, restrict, subject to certain exceptions, the ability of the Company and its independent operating subsidiaries to grant liens on their assets, incur indebtedness, sell assets, make investments, engage in acquisitions, mergers or consolidations, amend certain material agreements and pay certain dividends and other restricted payments. Financial covenants require compliance with certain levels of leverage ratios that impact the amount of interest. As of March 31, 2022, the Company was compliant with all such financial covenants.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252525"/>
        </w:rPr>
        <w:t xml:space="preserve">As of </w:t>
      </w:r>
      <w:r>
        <w:rPr>
          <w:rFonts w:ascii="Arial" w:cs="Arial" w:eastAsia="Arial" w:hAnsi="Arial"/>
          <w:sz w:val="18"/>
          <w:szCs w:val="18"/>
          <w:color w:val="000000"/>
        </w:rPr>
        <w:t>March 31, 2022, we had $3.6 million of cash and $87.3 million of available borrowing capacity on our Revolving Credit Facility.</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believe that our existing cash, generated through operations and our access to financing facilities, together with funding through third-party sources such as commercial banks, will be sufficient to fund our operating activities and growth needs, and provide adequate liquidity for the next twelve months.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selected data from our Condensed Consolidated Statement of Cash Flows for the periods presented: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0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223"/>
        </w:trPr>
        <w:tc>
          <w:tcPr>
            <w:tcW w:w="7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2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(In thousands)</w:t>
            </w:r>
          </w:p>
        </w:tc>
        <w:tc>
          <w:tcPr>
            <w:tcW w:w="1060" w:type="dxa"/>
            <w:vAlign w:val="bottom"/>
          </w:tcPr>
          <w:p>
            <w:pPr>
              <w:spacing w:after="0"/>
              <w:rPr>
                <w:sz w:val="19"/>
                <w:szCs w:val="19"/>
                <w:color w:val="auto"/>
              </w:rPr>
            </w:pPr>
          </w:p>
        </w:tc>
      </w:tr>
      <w:tr>
        <w:trPr>
          <w:trHeight w:val="230"/>
        </w:trPr>
        <w:tc>
          <w:tcPr>
            <w:tcW w:w="70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1"/>
              </w:rPr>
              <w:t>(4,071)</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(7,267)</w:t>
            </w:r>
          </w:p>
        </w:tc>
      </w:tr>
      <w:tr>
        <w:trPr>
          <w:trHeight w:val="229"/>
        </w:trPr>
        <w:tc>
          <w:tcPr>
            <w:tcW w:w="7000" w:type="dxa"/>
            <w:vAlign w:val="bottom"/>
          </w:tcPr>
          <w:p>
            <w:pPr>
              <w:ind w:left="68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Pr>
          <w:p>
            <w:pPr>
              <w:spacing w:after="0"/>
              <w:rPr>
                <w:sz w:val="19"/>
                <w:szCs w:val="19"/>
                <w:color w:val="auto"/>
              </w:rPr>
            </w:pPr>
          </w:p>
        </w:tc>
        <w:tc>
          <w:tcPr>
            <w:tcW w:w="1100" w:type="dxa"/>
            <w:vAlign w:val="bottom"/>
          </w:tcPr>
          <w:p>
            <w:pPr>
              <w:jc w:val="center"/>
              <w:ind w:left="450"/>
              <w:spacing w:after="0"/>
              <w:rPr>
                <w:sz w:val="20"/>
                <w:szCs w:val="20"/>
                <w:color w:val="auto"/>
              </w:rPr>
            </w:pPr>
            <w:r>
              <w:rPr>
                <w:rFonts w:ascii="Arial" w:cs="Arial" w:eastAsia="Arial" w:hAnsi="Arial"/>
                <w:sz w:val="18"/>
                <w:szCs w:val="18"/>
                <w:color w:val="auto"/>
                <w:w w:val="91"/>
              </w:rPr>
              <w:t>(2,582)</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(3,995)</w:t>
            </w:r>
          </w:p>
        </w:tc>
      </w:tr>
      <w:tr>
        <w:trPr>
          <w:trHeight w:val="230"/>
        </w:trPr>
        <w:tc>
          <w:tcPr>
            <w:tcW w:w="70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470"/>
              <w:spacing w:after="0"/>
              <w:rPr>
                <w:sz w:val="20"/>
                <w:szCs w:val="20"/>
                <w:color w:val="auto"/>
              </w:rPr>
            </w:pPr>
            <w:r>
              <w:rPr>
                <w:rFonts w:ascii="Arial" w:cs="Arial" w:eastAsia="Arial" w:hAnsi="Arial"/>
                <w:sz w:val="18"/>
                <w:szCs w:val="18"/>
                <w:color w:val="auto"/>
                <w:w w:val="93"/>
              </w:rPr>
              <w:t>5,090</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16,824</w:t>
            </w:r>
          </w:p>
        </w:tc>
      </w:tr>
      <w:tr>
        <w:trPr>
          <w:trHeight w:val="223"/>
        </w:trPr>
        <w:tc>
          <w:tcPr>
            <w:tcW w:w="7000" w:type="dxa"/>
            <w:vAlign w:val="bottom"/>
          </w:tcPr>
          <w:p>
            <w:pPr>
              <w:ind w:left="880"/>
              <w:spacing w:after="0"/>
              <w:rPr>
                <w:sz w:val="20"/>
                <w:szCs w:val="20"/>
                <w:color w:val="auto"/>
              </w:rPr>
            </w:pPr>
            <w:r>
              <w:rPr>
                <w:rFonts w:ascii="Arial" w:cs="Arial" w:eastAsia="Arial" w:hAnsi="Arial"/>
                <w:sz w:val="18"/>
                <w:szCs w:val="18"/>
                <w:color w:val="auto"/>
              </w:rPr>
              <w:t>Net (decrease) increase in cash</w:t>
            </w:r>
          </w:p>
        </w:tc>
        <w:tc>
          <w:tcPr>
            <w:tcW w:w="960" w:type="dxa"/>
            <w:vAlign w:val="bottom"/>
          </w:tcPr>
          <w:p>
            <w:pPr>
              <w:spacing w:after="0"/>
              <w:rPr>
                <w:sz w:val="19"/>
                <w:szCs w:val="19"/>
                <w:color w:val="auto"/>
              </w:rPr>
            </w:pPr>
          </w:p>
        </w:tc>
        <w:tc>
          <w:tcPr>
            <w:tcW w:w="1100" w:type="dxa"/>
            <w:vAlign w:val="bottom"/>
          </w:tcPr>
          <w:p>
            <w:pPr>
              <w:jc w:val="center"/>
              <w:ind w:left="450"/>
              <w:spacing w:after="0"/>
              <w:rPr>
                <w:sz w:val="20"/>
                <w:szCs w:val="20"/>
                <w:color w:val="auto"/>
              </w:rPr>
            </w:pPr>
            <w:r>
              <w:rPr>
                <w:rFonts w:ascii="Arial" w:cs="Arial" w:eastAsia="Arial" w:hAnsi="Arial"/>
                <w:sz w:val="18"/>
                <w:szCs w:val="18"/>
                <w:color w:val="auto"/>
                <w:w w:val="91"/>
              </w:rPr>
              <w:t>(1,563)</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5,562</w:t>
            </w:r>
          </w:p>
        </w:tc>
      </w:tr>
      <w:tr>
        <w:trPr>
          <w:trHeight w:val="230"/>
        </w:trPr>
        <w:tc>
          <w:tcPr>
            <w:tcW w:w="70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Cash at beginning of year</w:t>
            </w:r>
          </w:p>
        </w:tc>
        <w:tc>
          <w:tcPr>
            <w:tcW w:w="9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470"/>
              <w:spacing w:after="0"/>
              <w:rPr>
                <w:sz w:val="20"/>
                <w:szCs w:val="20"/>
                <w:color w:val="auto"/>
              </w:rPr>
            </w:pPr>
            <w:r>
              <w:rPr>
                <w:rFonts w:ascii="Arial" w:cs="Arial" w:eastAsia="Arial" w:hAnsi="Arial"/>
                <w:sz w:val="18"/>
                <w:szCs w:val="18"/>
                <w:color w:val="auto"/>
                <w:w w:val="93"/>
              </w:rPr>
              <w:t>5,190</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3"/>
        </w:trPr>
        <w:tc>
          <w:tcPr>
            <w:tcW w:w="7000" w:type="dxa"/>
            <w:vAlign w:val="bottom"/>
          </w:tcPr>
          <w:p>
            <w:pPr>
              <w:ind w:left="880"/>
              <w:spacing w:after="0"/>
              <w:rPr>
                <w:sz w:val="20"/>
                <w:szCs w:val="20"/>
                <w:color w:val="auto"/>
              </w:rPr>
            </w:pPr>
            <w:r>
              <w:rPr>
                <w:rFonts w:ascii="Arial" w:cs="Arial" w:eastAsia="Arial" w:hAnsi="Arial"/>
                <w:sz w:val="18"/>
                <w:szCs w:val="18"/>
                <w:color w:val="auto"/>
              </w:rPr>
              <w:t>Cash at end of year</w:t>
            </w: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color w:val="auto"/>
                <w:w w:val="93"/>
              </w:rPr>
              <w:t>3,627</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5,605</w:t>
            </w:r>
          </w:p>
        </w:tc>
      </w:tr>
      <w:tr>
        <w:trPr>
          <w:trHeight w:val="20"/>
        </w:trPr>
        <w:tc>
          <w:tcPr>
            <w:tcW w:w="7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2022 Compared to the Three Months Ended March 31, 2021</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net cash flow from operating activities for the three months ended March 31, 2022 increased by $3.2 million when compared to the three months ended March 31, 2021. The primary driver of this difference can be attributed to the $5.1 million change in cash flows related to the decrease in accrued wages and benefits due to a decrease in the incentives paid to our employees. The decreased was partially offset by the increase in repayment of AAP funds during the three months ended March 31, 2022. No AAP funds were paid during the three months ended March 31, 2021. CMS recouped $4.7 million of those funds during the three months ended March 31, 2022. Exclusive of the repayment of AAP, our net cash flow from operations would have been $0.7 million positive for the three months ended March 31, 2022. Other factors that contributed to the net cash used in operating activities were an increase of $1.4 million in prepaid expenses and a increase of $0.2 million in net income.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net cash used in investing activities for the three months ended March 31, 2022 decreased by $1.4 million compared to the three months ended March 31, 2021, primarily due to a decrease in cash payments for business acquisitions of $3.1 million, offset by an increase of $1.6 million in capital expenditures during the period from March 31, 2021 to March 31, 2022.</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net cash provided by financing activities decreased by approximately $11.7 million for the three months ended March 31, 2022 compared to the three months ended March 31, 2021. The decrease was primarily due fewer borrowings during the three months ended March 31, 2022 compared to the three months ended March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Commitments and Contingencies</w:t>
      </w:r>
    </w:p>
    <w:p>
      <w:pPr>
        <w:spacing w:after="0" w:line="25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 xml:space="preserve">Other than certain draws and payments made on our Revolving Credit Facility, as described in Note 11, </w:t>
      </w:r>
      <w:r>
        <w:rPr>
          <w:rFonts w:ascii="Arial" w:cs="Arial" w:eastAsia="Arial" w:hAnsi="Arial"/>
          <w:sz w:val="18"/>
          <w:szCs w:val="18"/>
          <w:i w:val="1"/>
          <w:iCs w:val="1"/>
          <w:color w:val="auto"/>
        </w:rPr>
        <w:t>Debt</w:t>
      </w:r>
      <w:r>
        <w:rPr>
          <w:rFonts w:ascii="Arial" w:cs="Arial" w:eastAsia="Arial" w:hAnsi="Arial"/>
          <w:sz w:val="18"/>
          <w:szCs w:val="18"/>
          <w:color w:val="auto"/>
        </w:rPr>
        <w:t>, to the Interim Financial Statements in Part I of this Quarterly Report, there have been no material changes to our total obligations during the period covered by this Quarterly Report outside of the normal course of our business.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56"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i w:val="1"/>
          <w:iCs w:val="1"/>
          <w:color w:val="auto"/>
        </w:rPr>
        <w:t>Interest Rate Risk</w:t>
      </w:r>
      <w:r>
        <w:rPr>
          <w:rFonts w:ascii="Arial" w:cs="Arial" w:eastAsia="Arial" w:hAnsi="Arial"/>
          <w:sz w:val="17"/>
          <w:szCs w:val="17"/>
          <w:color w:val="auto"/>
        </w:rPr>
        <w:t>. We are exposed to risks associated with market changes in interest rates. Our Revolving Credit Facility exposes us to variability</w:t>
      </w:r>
      <w:r>
        <w:rPr>
          <w:rFonts w:ascii="Arial" w:cs="Arial" w:eastAsia="Arial" w:hAnsi="Arial"/>
          <w:sz w:val="17"/>
          <w:szCs w:val="17"/>
          <w:i w:val="1"/>
          <w:iCs w:val="1"/>
          <w:color w:val="auto"/>
        </w:rPr>
        <w:t xml:space="preserve"> </w:t>
      </w:r>
      <w:r>
        <w:rPr>
          <w:rFonts w:ascii="Arial" w:cs="Arial" w:eastAsia="Arial" w:hAnsi="Arial"/>
          <w:sz w:val="17"/>
          <w:szCs w:val="17"/>
          <w:color w:val="auto"/>
        </w:rPr>
        <w:t>in interest payments due to changes in LIBOR. We manage our exposure to this market risk by monitoring available financing alternatives.</w:t>
      </w:r>
    </w:p>
    <w:p>
      <w:pPr>
        <w:spacing w:after="0" w:line="17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LIBOR Phase-Out. </w:t>
      </w:r>
      <w:r>
        <w:rPr>
          <w:rFonts w:ascii="Arial" w:cs="Arial" w:eastAsia="Arial" w:hAnsi="Arial"/>
          <w:sz w:val="18"/>
          <w:szCs w:val="18"/>
          <w:color w:val="auto"/>
        </w:rPr>
        <w:t>LIBOR is in the process of being wound down. The Overnight and the 1-, 3-, 6- and 12-Months USD LIBOR settings will</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until June 2023. We are required to pay interest on borrowings under our Credit Facility at floating rates based on the 1-month LIBOR and thus, we do not expect to transition away from the LIBOR benchmark until June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Under the supervision and with the participation of our management, including the Chief Executive Officer and Chief Financial Officer, we have evaluated the effectiveness of our disclosure controls and procedures (as such term is defined in Rules 13a-15(e) and 15d-15(e) under the Securities Exchange Act of 1934, as amended (the “Exchange Act”)), as of the end of the period covered by this Quarterly Report. Based on that evaluation, the Chief Executive Officer and Chief Financial Officer have concluded that these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were no material changes in our internal control over financial reporting (as such term is defined in Rules 13a-15(f) and 15d-15(f) under the Exchange Act) that occurred during our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3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We are involved in various claims and lawsuits arising in the ordinary course of business, none of which, in the opinion of management, is expected to have a material adverse effect on our results of operations or financial condition. However, the results of such matters cannot be predicted with certainty and we cannot assure you that the ultimate resolution of any legal or administrative proceeding or dispute will not have a material adverse effect on our business, financial condition, results of operations and cash flows. See Note 15,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to the Interim Financial Statements for a description of claims and legal actions arising in the ordinary course of our business.</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212529"/>
        </w:rPr>
        <w:t>We have disclosed under the heading “Risk Factors” in the 2021 Annual Report risk factors that materially affect our business, financial condition or results of operations. You should carefully consider the risk factors set forth in the 2021 Annual Report and the other information set forth elsewhere in this Quarterly Report. You should be aware that these risk factors and other information may not describe every risk facing our Company. Additional risks and uncertainties not currently known to us or that we currently deem to be immaterial also may materially adversely affect our business, financial condition and/or operating results. Since the filing of our 2021 Annual Report on February 28, 2022, the following additions have been made to the risk factors previously disclosed.</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212529"/>
        </w:rPr>
        <w:t xml:space="preserve">A Medicare Payment Suspension of one of our Independent Operating Subsidiary could result in a material loss. </w:t>
      </w:r>
      <w:r>
        <w:rPr>
          <w:rFonts w:ascii="Arial" w:cs="Arial" w:eastAsia="Arial" w:hAnsi="Arial"/>
          <w:sz w:val="18"/>
          <w:szCs w:val="18"/>
          <w:color w:val="000000"/>
        </w:rPr>
        <w:t>A UPIC has suspended one of our</w:t>
      </w:r>
      <w:r>
        <w:rPr>
          <w:rFonts w:ascii="Arial" w:cs="Arial" w:eastAsia="Arial" w:hAnsi="Arial"/>
          <w:sz w:val="18"/>
          <w:szCs w:val="18"/>
          <w:b w:val="1"/>
          <w:bCs w:val="1"/>
          <w:i w:val="1"/>
          <w:iCs w:val="1"/>
          <w:color w:val="212529"/>
        </w:rPr>
        <w:t xml:space="preserve"> </w:t>
      </w:r>
      <w:r>
        <w:rPr>
          <w:rFonts w:ascii="Arial" w:cs="Arial" w:eastAsia="Arial" w:hAnsi="Arial"/>
          <w:sz w:val="18"/>
          <w:szCs w:val="18"/>
          <w:color w:val="000000"/>
        </w:rPr>
        <w:t>independent operating subsidiary’s rights to submit claims to and obtain reimbursement from Medicare for its hospice agency services. The UPIC is reviewing 107 patient records from a 10-month period to determine whether a Medicare overpayment was made to this independent operating subsidiary and whether repayment of any identified overpayment is due. The payments suspended as of March 31, 2022 total $4,263 represent all Medicare payments due to that independent operating subsidiary’s provider number since the start of the suspension. The suspension of payment does not constitute a finding of overpayment by the UPIC. If the UPIC concludes that an overpayment exists, it will recover the overpayment from the suspended funds and release the excess funds, if any, to the provider. The UPIC has not specified when the payment suspension will end or when it will reach an over-payment determination.</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suspension may become indefinite or permanent in nature and result in the loss of revenue and profit derived from this independent operating subsidiary. If the UPIC terminates this independent operating subsidiary’s agreement with Medicare, it may adversely affect that independent operating subsidiary’s relationship with other payors and state licensure. Additionally, the UPIC may review patient records from one or more of our other independent operating subsidiaries, which may lead to other of our independent operating subsidiaries’ hospice agencies having their Medicare payments suspended, whether temporarily or on an indefinite or permanent basis, potentially leading to their closure and resulting adverse impacts on our revenues and profits.</w:t>
      </w:r>
    </w:p>
    <w:p>
      <w:pPr>
        <w:spacing w:after="0" w:line="21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212529"/>
        </w:rPr>
        <w:t>The expiration of COVID-19 Emergency Waivers could result in increased expenses.</w:t>
      </w:r>
      <w:r>
        <w:rPr>
          <w:rFonts w:ascii="Arial" w:cs="Arial" w:eastAsia="Arial" w:hAnsi="Arial"/>
          <w:sz w:val="18"/>
          <w:szCs w:val="18"/>
          <w:color w:val="000000"/>
        </w:rPr>
        <w:t>On April 6, 2022, HHS announced the expiration of seven</w:t>
      </w:r>
      <w:r>
        <w:rPr>
          <w:rFonts w:ascii="Arial" w:cs="Arial" w:eastAsia="Arial" w:hAnsi="Arial"/>
          <w:sz w:val="18"/>
          <w:szCs w:val="18"/>
          <w:b w:val="1"/>
          <w:bCs w:val="1"/>
          <w:i w:val="1"/>
          <w:iCs w:val="1"/>
          <w:color w:val="212529"/>
        </w:rPr>
        <w:t xml:space="preserve"> </w:t>
      </w:r>
      <w:r>
        <w:rPr>
          <w:rFonts w:ascii="Arial" w:cs="Arial" w:eastAsia="Arial" w:hAnsi="Arial"/>
          <w:sz w:val="18"/>
          <w:szCs w:val="18"/>
          <w:color w:val="000000"/>
        </w:rPr>
        <w:t>Emergency Waivers as of May 7, 2022, followed by the expiration of nine additional Emergency Waivers on June 6, 2022. The Emergency Waiver allowing physicians and other practitioners to conduct their visits remotely while being eligible for telehealth reimbursement is expiring on May 7, 2022 and may have a material impact on our revenues and profitability. Similarly, the Emergency Waivers expiring on June 6, 2022, regarding inspections of facilities and equipment; life safety code requirements for inspection, testing, and maintenance; the requirement for sleeping rooms to contain exterior doors or windows; and life safety code requirements for conducting fire drills and constructing temporary walls and barriers, may also affect our operations. Specifically, the expiration of the Emergency Waivers terminating in June of 2022 may materially affect our expenses incurred for inspection, testing, and maintenance of equipment, our occupancy and lodging of residents and patients, and ultimately the revenues and profits we derive from our operations. The expiration of these Emergency Waivers may affect the business of our independent operating subsidiaries, their operations, and their revenues.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ind w:left="3800"/>
              <w:spacing w:after="0"/>
              <w:rPr>
                <w:sz w:val="20"/>
                <w:szCs w:val="20"/>
                <w:color w:val="auto"/>
              </w:rPr>
            </w:pPr>
            <w:r>
              <w:rPr>
                <w:rFonts w:ascii="Arial" w:cs="Arial" w:eastAsia="Arial" w:hAnsi="Arial"/>
                <w:sz w:val="18"/>
                <w:szCs w:val="18"/>
                <w:b w:val="1"/>
                <w:bCs w:val="1"/>
                <w:color w:val="auto"/>
              </w:rPr>
              <w:t>EXHIBIT INDEX</w:t>
            </w:r>
          </w:p>
        </w:tc>
      </w:tr>
      <w:tr>
        <w:trPr>
          <w:trHeight w:val="256"/>
        </w:trPr>
        <w:tc>
          <w:tcPr>
            <w:tcW w:w="1080" w:type="dxa"/>
            <w:vAlign w:val="bottom"/>
            <w:gridSpan w:val="5"/>
          </w:tcPr>
          <w:p>
            <w:pPr>
              <w:ind w:left="220"/>
              <w:spacing w:after="0"/>
              <w:rPr>
                <w:sz w:val="20"/>
                <w:szCs w:val="20"/>
                <w:color w:val="auto"/>
              </w:rPr>
            </w:pPr>
            <w:r>
              <w:rPr>
                <w:rFonts w:ascii="Arial" w:cs="Arial" w:eastAsia="Arial" w:hAnsi="Arial"/>
                <w:sz w:val="18"/>
                <w:szCs w:val="18"/>
                <w:color w:val="auto"/>
              </w:rPr>
              <w:t>Exhibit</w:t>
            </w:r>
          </w:p>
        </w:tc>
        <w:tc>
          <w:tcPr>
            <w:tcW w:w="10100" w:type="dxa"/>
            <w:vAlign w:val="bottom"/>
          </w:tcPr>
          <w:p>
            <w:pPr>
              <w:spacing w:after="0"/>
              <w:rPr>
                <w:sz w:val="20"/>
                <w:szCs w:val="20"/>
                <w:color w:val="auto"/>
              </w:rPr>
            </w:pPr>
            <w:r>
              <w:rPr>
                <w:rFonts w:ascii="Arial" w:cs="Arial" w:eastAsia="Arial" w:hAnsi="Arial"/>
                <w:sz w:val="18"/>
                <w:szCs w:val="18"/>
                <w:color w:val="auto"/>
              </w:rPr>
              <w:t>Description</w:t>
            </w:r>
          </w:p>
        </w:tc>
      </w:tr>
      <w:tr>
        <w:trPr>
          <w:trHeight w:val="223"/>
        </w:trPr>
        <w:tc>
          <w:tcPr>
            <w:tcW w:w="940" w:type="dxa"/>
            <w:vAlign w:val="bottom"/>
            <w:tcBorders>
              <w:top w:val="single" w:sz="8" w:color="auto"/>
            </w:tcBorders>
            <w:gridSpan w:val="3"/>
          </w:tcPr>
          <w:p>
            <w:pPr>
              <w:jc w:val="right"/>
              <w:spacing w:after="0"/>
              <w:rPr>
                <w:rFonts w:ascii="Arial" w:cs="Arial" w:eastAsia="Arial" w:hAnsi="Arial"/>
                <w:sz w:val="18"/>
                <w:szCs w:val="18"/>
                <w:color w:val="0000FF"/>
              </w:rPr>
            </w:pPr>
            <w:hyperlink r:id="rId55">
              <w:r>
                <w:rPr>
                  <w:rFonts w:ascii="Arial" w:cs="Arial" w:eastAsia="Arial" w:hAnsi="Arial"/>
                  <w:sz w:val="18"/>
                  <w:szCs w:val="18"/>
                  <w:color w:val="0000FF"/>
                </w:rPr>
                <w:t>2.</w:t>
              </w:r>
              <w:r>
                <w:rPr>
                  <w:rFonts w:ascii="Arial" w:cs="Arial" w:eastAsia="Arial" w:hAnsi="Arial"/>
                  <w:sz w:val="18"/>
                  <w:szCs w:val="18"/>
                  <w:u w:val="single" w:color="auto"/>
                  <w:color w:val="0000FF"/>
                </w:rPr>
                <w:t>1</w:t>
              </w:r>
            </w:hyperlink>
          </w:p>
        </w:tc>
        <w:tc>
          <w:tcPr>
            <w:tcW w:w="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3"/>
              </w:rPr>
              <w:t>Form of Operations Transfer Agreement, dated as of January 27, 2022, entered into by affiliates of the Company and affiliates of Ensign</w:t>
            </w:r>
          </w:p>
        </w:tc>
      </w:tr>
      <w:tr>
        <w:trPr>
          <w:trHeight w:val="142"/>
        </w:trPr>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100" w:type="dxa"/>
            <w:vAlign w:val="bottom"/>
          </w:tcPr>
          <w:p>
            <w:pPr>
              <w:spacing w:after="0" w:line="142" w:lineRule="exact"/>
              <w:rPr>
                <w:sz w:val="20"/>
                <w:szCs w:val="20"/>
                <w:color w:val="auto"/>
              </w:rPr>
            </w:pPr>
            <w:r>
              <w:rPr>
                <w:rFonts w:ascii="Arial" w:cs="Arial" w:eastAsia="Arial" w:hAnsi="Arial"/>
                <w:sz w:val="16"/>
                <w:szCs w:val="16"/>
                <w:color w:val="auto"/>
              </w:rPr>
              <w:t>for the transfer of five senior living communities (incorporated by reference to Exhibit 2.1 to The Pennant Group, Inc.’s Current Report on</w:t>
            </w:r>
          </w:p>
        </w:tc>
      </w:tr>
      <w:tr>
        <w:trPr>
          <w:trHeight w:val="230"/>
        </w:trPr>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Form 8-K (File No. 001-38900) filed with the SEC on January 27, 2022).</w:t>
            </w:r>
          </w:p>
        </w:tc>
      </w:tr>
      <w:tr>
        <w:trPr>
          <w:trHeight w:val="242"/>
        </w:trPr>
        <w:tc>
          <w:tcPr>
            <w:tcW w:w="940" w:type="dxa"/>
            <w:vAlign w:val="bottom"/>
            <w:gridSpan w:val="3"/>
          </w:tcPr>
          <w:p>
            <w:pPr>
              <w:jc w:val="right"/>
              <w:spacing w:after="0"/>
              <w:rPr>
                <w:rFonts w:ascii="Arial" w:cs="Arial" w:eastAsia="Arial" w:hAnsi="Arial"/>
                <w:sz w:val="18"/>
                <w:szCs w:val="18"/>
                <w:color w:val="0000FF"/>
              </w:rPr>
            </w:pPr>
            <w:hyperlink r:id="rId56">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100" w:type="dxa"/>
            <w:vAlign w:val="bottom"/>
          </w:tcPr>
          <w:p>
            <w:pPr>
              <w:spacing w:after="0"/>
              <w:rPr>
                <w:sz w:val="20"/>
                <w:szCs w:val="20"/>
                <w:color w:val="auto"/>
              </w:rPr>
            </w:pPr>
            <w:r>
              <w:rPr>
                <w:rFonts w:ascii="Arial" w:cs="Arial" w:eastAsia="Arial" w:hAnsi="Arial"/>
                <w:sz w:val="18"/>
                <w:szCs w:val="18"/>
                <w:color w:val="auto"/>
                <w:w w:val="95"/>
              </w:rPr>
              <w:t>Amended and Restated Certificate of Incorporation of The Pennant Group, Inc., effective as of September 27, 2019 (incorporated by</w:t>
            </w:r>
          </w:p>
        </w:tc>
      </w:tr>
      <w:tr>
        <w:trPr>
          <w:trHeight w:val="142"/>
        </w:trPr>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100" w:type="dxa"/>
            <w:vAlign w:val="bottom"/>
          </w:tcPr>
          <w:p>
            <w:pPr>
              <w:spacing w:after="0" w:line="142" w:lineRule="exact"/>
              <w:rPr>
                <w:sz w:val="20"/>
                <w:szCs w:val="20"/>
                <w:color w:val="auto"/>
              </w:rPr>
            </w:pPr>
            <w:r>
              <w:rPr>
                <w:rFonts w:ascii="Arial" w:cs="Arial" w:eastAsia="Arial" w:hAnsi="Arial"/>
                <w:sz w:val="16"/>
                <w:szCs w:val="16"/>
                <w:color w:val="auto"/>
              </w:rPr>
              <w:t>reference to Exhibit 3.1 to The Pennant Group, Inc.’s Current Report on Form 8-K (File No. 001-38900) filed with the SEC on October 3,</w:t>
            </w:r>
          </w:p>
        </w:tc>
      </w:tr>
      <w:tr>
        <w:trPr>
          <w:trHeight w:val="230"/>
        </w:trPr>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2019).</w:t>
            </w:r>
          </w:p>
        </w:tc>
      </w:tr>
      <w:tr>
        <w:trPr>
          <w:trHeight w:val="242"/>
        </w:trPr>
        <w:tc>
          <w:tcPr>
            <w:tcW w:w="940" w:type="dxa"/>
            <w:vAlign w:val="bottom"/>
            <w:gridSpan w:val="3"/>
          </w:tcPr>
          <w:p>
            <w:pPr>
              <w:jc w:val="right"/>
              <w:spacing w:after="0"/>
              <w:rPr>
                <w:rFonts w:ascii="Arial" w:cs="Arial" w:eastAsia="Arial" w:hAnsi="Arial"/>
                <w:sz w:val="18"/>
                <w:szCs w:val="18"/>
                <w:color w:val="0000FF"/>
              </w:rPr>
            </w:pPr>
            <w:hyperlink r:id="rId57">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100" w:type="dxa"/>
            <w:vAlign w:val="bottom"/>
          </w:tcPr>
          <w:p>
            <w:pPr>
              <w:spacing w:after="0"/>
              <w:rPr>
                <w:sz w:val="20"/>
                <w:szCs w:val="20"/>
                <w:color w:val="auto"/>
              </w:rPr>
            </w:pPr>
            <w:r>
              <w:rPr>
                <w:rFonts w:ascii="Arial" w:cs="Arial" w:eastAsia="Arial" w:hAnsi="Arial"/>
                <w:sz w:val="18"/>
                <w:szCs w:val="18"/>
                <w:color w:val="auto"/>
                <w:w w:val="91"/>
              </w:rPr>
              <w:t>Second Amended and Restated By-laws of The Pennant Group, Inc. (incorporated by reference to Exhibit 3.1 to The Pennant Group, Inc.’s</w:t>
            </w:r>
          </w:p>
        </w:tc>
      </w:tr>
      <w:tr>
        <w:trPr>
          <w:trHeight w:val="210"/>
        </w:trPr>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Current Report on Form 8-K (File No. 001-38900) filed with the SEC on February 22, 2002)</w:t>
            </w:r>
          </w:p>
        </w:tc>
      </w:tr>
      <w:tr>
        <w:trPr>
          <w:trHeight w:val="229"/>
        </w:trPr>
        <w:tc>
          <w:tcPr>
            <w:tcW w:w="620" w:type="dxa"/>
            <w:vAlign w:val="bottom"/>
          </w:tcPr>
          <w:p>
            <w:pPr>
              <w:spacing w:after="0"/>
              <w:rPr>
                <w:sz w:val="19"/>
                <w:szCs w:val="19"/>
                <w:color w:val="auto"/>
              </w:rPr>
            </w:pPr>
          </w:p>
        </w:tc>
        <w:tc>
          <w:tcPr>
            <w:tcW w:w="320" w:type="dxa"/>
            <w:vAlign w:val="bottom"/>
            <w:tcBorders>
              <w:bottom w:val="single" w:sz="8" w:color="0000FF"/>
            </w:tcBorders>
            <w:gridSpan w:val="2"/>
          </w:tcPr>
          <w:p>
            <w:pPr>
              <w:jc w:val="right"/>
              <w:spacing w:after="0"/>
              <w:rPr>
                <w:rFonts w:ascii="Arial" w:cs="Arial" w:eastAsia="Arial" w:hAnsi="Arial"/>
                <w:sz w:val="18"/>
                <w:szCs w:val="18"/>
                <w:color w:val="0000FF"/>
                <w:w w:val="85"/>
              </w:rPr>
            </w:pPr>
            <w:hyperlink w:anchor="page44">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264"/>
        </w:trPr>
        <w:tc>
          <w:tcPr>
            <w:tcW w:w="620" w:type="dxa"/>
            <w:vAlign w:val="bottom"/>
          </w:tcPr>
          <w:p>
            <w:pPr>
              <w:spacing w:after="0"/>
              <w:rPr>
                <w:sz w:val="22"/>
                <w:szCs w:val="22"/>
                <w:color w:val="auto"/>
              </w:rPr>
            </w:pPr>
          </w:p>
        </w:tc>
        <w:tc>
          <w:tcPr>
            <w:tcW w:w="320" w:type="dxa"/>
            <w:vAlign w:val="bottom"/>
            <w:tcBorders>
              <w:bottom w:val="single" w:sz="8" w:color="0000FF"/>
            </w:tcBorders>
            <w:gridSpan w:val="2"/>
          </w:tcPr>
          <w:p>
            <w:pPr>
              <w:jc w:val="right"/>
              <w:spacing w:after="0"/>
              <w:rPr>
                <w:rFonts w:ascii="Arial" w:cs="Arial" w:eastAsia="Arial" w:hAnsi="Arial"/>
                <w:sz w:val="18"/>
                <w:szCs w:val="18"/>
                <w:color w:val="0000FF"/>
                <w:w w:val="85"/>
              </w:rPr>
            </w:pPr>
            <w:hyperlink w:anchor="page45">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263"/>
        </w:trPr>
        <w:tc>
          <w:tcPr>
            <w:tcW w:w="620" w:type="dxa"/>
            <w:vAlign w:val="bottom"/>
          </w:tcPr>
          <w:p>
            <w:pPr>
              <w:spacing w:after="0"/>
              <w:rPr>
                <w:sz w:val="22"/>
                <w:szCs w:val="22"/>
                <w:color w:val="auto"/>
              </w:rPr>
            </w:pPr>
          </w:p>
        </w:tc>
        <w:tc>
          <w:tcPr>
            <w:tcW w:w="320" w:type="dxa"/>
            <w:vAlign w:val="bottom"/>
            <w:tcBorders>
              <w:bottom w:val="single" w:sz="8" w:color="0000FF"/>
            </w:tcBorders>
            <w:gridSpan w:val="2"/>
          </w:tcPr>
          <w:p>
            <w:pPr>
              <w:jc w:val="right"/>
              <w:spacing w:after="0"/>
              <w:rPr>
                <w:rFonts w:ascii="Arial" w:cs="Arial" w:eastAsia="Arial" w:hAnsi="Arial"/>
                <w:sz w:val="18"/>
                <w:szCs w:val="18"/>
                <w:color w:val="0000FF"/>
                <w:w w:val="85"/>
              </w:rPr>
            </w:pPr>
            <w:hyperlink w:anchor="page46">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263"/>
        </w:trPr>
        <w:tc>
          <w:tcPr>
            <w:tcW w:w="620" w:type="dxa"/>
            <w:vAlign w:val="bottom"/>
          </w:tcPr>
          <w:p>
            <w:pPr>
              <w:spacing w:after="0"/>
              <w:rPr>
                <w:sz w:val="22"/>
                <w:szCs w:val="22"/>
                <w:color w:val="auto"/>
              </w:rPr>
            </w:pPr>
          </w:p>
        </w:tc>
        <w:tc>
          <w:tcPr>
            <w:tcW w:w="320" w:type="dxa"/>
            <w:vAlign w:val="bottom"/>
            <w:tcBorders>
              <w:bottom w:val="single" w:sz="8" w:color="0000FF"/>
            </w:tcBorders>
            <w:gridSpan w:val="2"/>
          </w:tcPr>
          <w:p>
            <w:pPr>
              <w:jc w:val="right"/>
              <w:spacing w:after="0"/>
              <w:rPr>
                <w:rFonts w:ascii="Arial" w:cs="Arial" w:eastAsia="Arial" w:hAnsi="Arial"/>
                <w:sz w:val="18"/>
                <w:szCs w:val="18"/>
                <w:color w:val="0000FF"/>
                <w:w w:val="85"/>
              </w:rPr>
            </w:pPr>
            <w:hyperlink w:anchor="page47">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hyperlink>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r>
        <w:trPr>
          <w:trHeight w:val="250"/>
        </w:trPr>
        <w:tc>
          <w:tcPr>
            <w:tcW w:w="1080" w:type="dxa"/>
            <w:vAlign w:val="bottom"/>
            <w:gridSpan w:val="5"/>
          </w:tcPr>
          <w:p>
            <w:pPr>
              <w:jc w:val="right"/>
              <w:ind w:right="140"/>
              <w:spacing w:after="0"/>
              <w:rPr>
                <w:sz w:val="20"/>
                <w:szCs w:val="20"/>
                <w:color w:val="auto"/>
              </w:rPr>
            </w:pPr>
            <w:r>
              <w:rPr>
                <w:rFonts w:ascii="Arial" w:cs="Arial" w:eastAsia="Arial" w:hAnsi="Arial"/>
                <w:sz w:val="18"/>
                <w:szCs w:val="18"/>
                <w:color w:val="auto"/>
              </w:rPr>
              <w:t>101.INS</w:t>
            </w:r>
          </w:p>
        </w:tc>
        <w:tc>
          <w:tcPr>
            <w:tcW w:w="10100" w:type="dxa"/>
            <w:vAlign w:val="bottom"/>
          </w:tcPr>
          <w:p>
            <w:pPr>
              <w:spacing w:after="0"/>
              <w:rPr>
                <w:sz w:val="20"/>
                <w:szCs w:val="20"/>
                <w:color w:val="auto"/>
              </w:rPr>
            </w:pPr>
            <w:r>
              <w:rPr>
                <w:rFonts w:ascii="Arial" w:cs="Arial" w:eastAsia="Arial" w:hAnsi="Arial"/>
                <w:sz w:val="18"/>
                <w:szCs w:val="18"/>
                <w:color w:val="auto"/>
                <w:w w:val="94"/>
              </w:rPr>
              <w:t>XBRL Instance Document - the instance document does not appear in the Interactive Data File because its XBRL tags are embedded</w:t>
            </w:r>
          </w:p>
        </w:tc>
      </w:tr>
      <w:tr>
        <w:trPr>
          <w:trHeight w:val="230"/>
        </w:trPr>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within the Inline XBRL document.</w:t>
            </w:r>
          </w:p>
        </w:tc>
      </w:tr>
      <w:tr>
        <w:trPr>
          <w:trHeight w:val="283"/>
        </w:trPr>
        <w:tc>
          <w:tcPr>
            <w:tcW w:w="1080" w:type="dxa"/>
            <w:vAlign w:val="bottom"/>
            <w:gridSpan w:val="5"/>
          </w:tcPr>
          <w:p>
            <w:pPr>
              <w:jc w:val="right"/>
              <w:ind w:right="140"/>
              <w:spacing w:after="0"/>
              <w:rPr>
                <w:sz w:val="20"/>
                <w:szCs w:val="20"/>
                <w:color w:val="auto"/>
              </w:rPr>
            </w:pPr>
            <w:r>
              <w:rPr>
                <w:rFonts w:ascii="Arial" w:cs="Arial" w:eastAsia="Arial" w:hAnsi="Arial"/>
                <w:sz w:val="18"/>
                <w:szCs w:val="18"/>
                <w:color w:val="auto"/>
              </w:rPr>
              <w:t>101.SCH</w:t>
            </w:r>
          </w:p>
        </w:tc>
        <w:tc>
          <w:tcPr>
            <w:tcW w:w="10100" w:type="dxa"/>
            <w:vAlign w:val="bottom"/>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83"/>
        </w:trPr>
        <w:tc>
          <w:tcPr>
            <w:tcW w:w="1080" w:type="dxa"/>
            <w:vAlign w:val="bottom"/>
            <w:gridSpan w:val="5"/>
          </w:tcPr>
          <w:p>
            <w:pPr>
              <w:jc w:val="right"/>
              <w:ind w:right="140"/>
              <w:spacing w:after="0"/>
              <w:rPr>
                <w:sz w:val="20"/>
                <w:szCs w:val="20"/>
                <w:color w:val="auto"/>
              </w:rPr>
            </w:pPr>
            <w:r>
              <w:rPr>
                <w:rFonts w:ascii="Arial" w:cs="Arial" w:eastAsia="Arial" w:hAnsi="Arial"/>
                <w:sz w:val="18"/>
                <w:szCs w:val="18"/>
                <w:color w:val="auto"/>
              </w:rPr>
              <w:t>101.CAL</w:t>
            </w:r>
          </w:p>
        </w:tc>
        <w:tc>
          <w:tcPr>
            <w:tcW w:w="10100" w:type="dxa"/>
            <w:vAlign w:val="bottom"/>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83"/>
        </w:trPr>
        <w:tc>
          <w:tcPr>
            <w:tcW w:w="1080" w:type="dxa"/>
            <w:vAlign w:val="bottom"/>
            <w:gridSpan w:val="5"/>
          </w:tcPr>
          <w:p>
            <w:pPr>
              <w:jc w:val="right"/>
              <w:ind w:right="140"/>
              <w:spacing w:after="0"/>
              <w:rPr>
                <w:sz w:val="20"/>
                <w:szCs w:val="20"/>
                <w:color w:val="auto"/>
              </w:rPr>
            </w:pPr>
            <w:r>
              <w:rPr>
                <w:rFonts w:ascii="Arial" w:cs="Arial" w:eastAsia="Arial" w:hAnsi="Arial"/>
                <w:sz w:val="18"/>
                <w:szCs w:val="18"/>
                <w:color w:val="auto"/>
              </w:rPr>
              <w:t>101.DEF</w:t>
            </w:r>
          </w:p>
        </w:tc>
        <w:tc>
          <w:tcPr>
            <w:tcW w:w="10100" w:type="dxa"/>
            <w:vAlign w:val="bottom"/>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83"/>
        </w:trPr>
        <w:tc>
          <w:tcPr>
            <w:tcW w:w="1080" w:type="dxa"/>
            <w:vAlign w:val="bottom"/>
            <w:gridSpan w:val="5"/>
          </w:tcPr>
          <w:p>
            <w:pPr>
              <w:jc w:val="right"/>
              <w:ind w:right="140"/>
              <w:spacing w:after="0"/>
              <w:rPr>
                <w:sz w:val="20"/>
                <w:szCs w:val="20"/>
                <w:color w:val="auto"/>
              </w:rPr>
            </w:pPr>
            <w:r>
              <w:rPr>
                <w:rFonts w:ascii="Arial" w:cs="Arial" w:eastAsia="Arial" w:hAnsi="Arial"/>
                <w:sz w:val="18"/>
                <w:szCs w:val="18"/>
                <w:color w:val="auto"/>
              </w:rPr>
              <w:t>101.LAB</w:t>
            </w:r>
          </w:p>
        </w:tc>
        <w:tc>
          <w:tcPr>
            <w:tcW w:w="10100" w:type="dxa"/>
            <w:vAlign w:val="bottom"/>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83"/>
        </w:trPr>
        <w:tc>
          <w:tcPr>
            <w:tcW w:w="1080" w:type="dxa"/>
            <w:vAlign w:val="bottom"/>
            <w:gridSpan w:val="5"/>
          </w:tcPr>
          <w:p>
            <w:pPr>
              <w:jc w:val="right"/>
              <w:ind w:right="140"/>
              <w:spacing w:after="0"/>
              <w:rPr>
                <w:sz w:val="20"/>
                <w:szCs w:val="20"/>
                <w:color w:val="auto"/>
              </w:rPr>
            </w:pPr>
            <w:r>
              <w:rPr>
                <w:rFonts w:ascii="Arial" w:cs="Arial" w:eastAsia="Arial" w:hAnsi="Arial"/>
                <w:sz w:val="18"/>
                <w:szCs w:val="18"/>
                <w:color w:val="auto"/>
              </w:rPr>
              <w:t>101.PRE</w:t>
            </w:r>
          </w:p>
        </w:tc>
        <w:tc>
          <w:tcPr>
            <w:tcW w:w="10100" w:type="dxa"/>
            <w:vAlign w:val="bottom"/>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53" w:lineRule="exact"/>
        <w:rPr>
          <w:sz w:val="20"/>
          <w:szCs w:val="20"/>
          <w:color w:val="auto"/>
        </w:rPr>
      </w:pPr>
    </w:p>
    <w:p>
      <w:pPr>
        <w:ind w:left="1120" w:hanging="461"/>
        <w:spacing w:after="0"/>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0"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7700" w:type="dxa"/>
            <w:vAlign w:val="bottom"/>
            <w:gridSpan w:val="2"/>
          </w:tcPr>
          <w:p>
            <w:pPr>
              <w:ind w:left="2060"/>
              <w:spacing w:after="0"/>
              <w:rPr>
                <w:sz w:val="20"/>
                <w:szCs w:val="20"/>
                <w:color w:val="auto"/>
              </w:rPr>
            </w:pPr>
            <w:r>
              <w:rPr>
                <w:rFonts w:ascii="Arial" w:cs="Arial" w:eastAsia="Arial" w:hAnsi="Arial"/>
                <w:sz w:val="18"/>
                <w:szCs w:val="18"/>
                <w:color w:val="auto"/>
              </w:rPr>
              <w:t>The Pennant Group, Inc.</w:t>
            </w:r>
          </w:p>
        </w:tc>
      </w:tr>
      <w:tr>
        <w:trPr>
          <w:trHeight w:val="283"/>
        </w:trPr>
        <w:tc>
          <w:tcPr>
            <w:tcW w:w="3500" w:type="dxa"/>
            <w:vAlign w:val="bottom"/>
          </w:tcPr>
          <w:p>
            <w:pPr>
              <w:spacing w:after="0"/>
              <w:rPr>
                <w:sz w:val="20"/>
                <w:szCs w:val="20"/>
                <w:color w:val="auto"/>
              </w:rPr>
            </w:pPr>
            <w:r>
              <w:rPr>
                <w:rFonts w:ascii="Arial" w:cs="Arial" w:eastAsia="Arial" w:hAnsi="Arial"/>
                <w:sz w:val="18"/>
                <w:szCs w:val="18"/>
                <w:color w:val="auto"/>
              </w:rPr>
              <w:t>Dated: May 9, 2022</w:t>
            </w:r>
          </w:p>
        </w:tc>
        <w:tc>
          <w:tcPr>
            <w:tcW w:w="2840" w:type="dxa"/>
            <w:vAlign w:val="bottom"/>
          </w:tcPr>
          <w:p>
            <w:pPr>
              <w:ind w:left="20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JENNIFER L. FREEMAN</w:t>
            </w:r>
          </w:p>
        </w:tc>
      </w:tr>
      <w:tr>
        <w:trPr>
          <w:trHeight w:val="224"/>
        </w:trPr>
        <w:tc>
          <w:tcPr>
            <w:tcW w:w="350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Jennifer L. Freeman</w:t>
            </w:r>
          </w:p>
        </w:tc>
      </w:tr>
    </w:tbl>
    <w:p>
      <w:pPr>
        <w:ind w:left="6380"/>
        <w:spacing w:after="0" w:line="220" w:lineRule="auto"/>
        <w:rPr>
          <w:sz w:val="20"/>
          <w:szCs w:val="20"/>
          <w:color w:val="auto"/>
        </w:rPr>
      </w:pPr>
      <w:r>
        <w:rPr>
          <w:rFonts w:ascii="Arial" w:cs="Arial" w:eastAsia="Arial" w:hAnsi="Arial"/>
          <w:sz w:val="18"/>
          <w:szCs w:val="18"/>
          <w:color w:val="auto"/>
        </w:rPr>
        <w:t>Chief Financial Officer (Principal Financial Officer and Duly</w:t>
      </w:r>
    </w:p>
    <w:p>
      <w:pPr>
        <w:ind w:left="6380"/>
        <w:spacing w:after="0"/>
        <w:rPr>
          <w:sz w:val="20"/>
          <w:szCs w:val="20"/>
          <w:color w:val="auto"/>
        </w:rPr>
      </w:pPr>
      <w:r>
        <w:rPr>
          <w:rFonts w:ascii="Arial" w:cs="Arial" w:eastAsia="Arial" w:hAnsi="Arial"/>
          <w:sz w:val="18"/>
          <w:szCs w:val="18"/>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25"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Daniel H Walker, certify that:</w:t>
      </w:r>
    </w:p>
    <w:p>
      <w:pPr>
        <w:spacing w:after="0" w:line="200" w:lineRule="exact"/>
        <w:rPr>
          <w:sz w:val="20"/>
          <w:szCs w:val="20"/>
          <w:color w:val="auto"/>
        </w:rPr>
      </w:pPr>
    </w:p>
    <w:p>
      <w:pPr>
        <w:spacing w:after="0" w:line="214"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10-Q of The Pennant Group,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4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16" w:lineRule="exact"/>
        <w:rPr>
          <w:rFonts w:ascii="Arial" w:cs="Arial" w:eastAsia="Arial" w:hAnsi="Arial"/>
          <w:sz w:val="18"/>
          <w:szCs w:val="18"/>
          <w:color w:val="auto"/>
        </w:rPr>
      </w:pPr>
    </w:p>
    <w:p>
      <w:pPr>
        <w:ind w:left="980" w:right="60" w:hanging="324"/>
        <w:spacing w:after="0" w:line="263" w:lineRule="auto"/>
        <w:tabs>
          <w:tab w:leader="none" w:pos="977"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980" w:right="360" w:hanging="324"/>
        <w:spacing w:after="0" w:line="263" w:lineRule="auto"/>
        <w:tabs>
          <w:tab w:leader="none" w:pos="974"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980" w:right="540" w:hanging="324"/>
        <w:spacing w:after="0" w:line="342" w:lineRule="auto"/>
        <w:tabs>
          <w:tab w:leader="none" w:pos="977"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80" w:hanging="324"/>
        <w:spacing w:after="0" w:line="263" w:lineRule="auto"/>
        <w:tabs>
          <w:tab w:leader="none" w:pos="974"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980" w:right="780" w:hanging="324"/>
        <w:spacing w:after="0" w:line="342" w:lineRule="auto"/>
        <w:tabs>
          <w:tab w:leader="none" w:pos="977"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980" w:right="500" w:hanging="324"/>
        <w:spacing w:after="0" w:line="277" w:lineRule="auto"/>
        <w:tabs>
          <w:tab w:leader="none" w:pos="974"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9, 2022</w:t>
      </w:r>
    </w:p>
    <w:p>
      <w:pPr>
        <w:spacing w:after="0" w:line="27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 DANIEL H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14605</wp:posOffset>
            </wp:positionV>
            <wp:extent cx="26917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16" w:lineRule="exact"/>
        <w:rPr>
          <w:sz w:val="20"/>
          <w:szCs w:val="20"/>
          <w:color w:val="auto"/>
        </w:rPr>
      </w:pPr>
    </w:p>
    <w:p>
      <w:pPr>
        <w:ind w:left="5700"/>
        <w:spacing w:after="0"/>
        <w:tabs>
          <w:tab w:leader="none" w:pos="6360" w:val="left"/>
        </w:tabs>
        <w:rPr>
          <w:sz w:val="20"/>
          <w:szCs w:val="20"/>
          <w:color w:val="auto"/>
        </w:rPr>
      </w:pPr>
      <w:r>
        <w:rPr>
          <w:rFonts w:ascii="Arial" w:cs="Arial" w:eastAsia="Arial" w:hAnsi="Arial"/>
          <w:sz w:val="18"/>
          <w:szCs w:val="18"/>
          <w:color w:val="auto"/>
        </w:rPr>
        <w:t>Name:</w:t>
        <w:tab/>
        <w:t>Daniel H Walker</w:t>
      </w:r>
    </w:p>
    <w:tbl>
      <w:tblPr>
        <w:tblLayout w:type="fixed"/>
        <w:tblInd w:w="5580" w:type="dxa"/>
        <w:tblCellMar>
          <w:top w:w="0" w:type="dxa"/>
          <w:left w:w="0" w:type="dxa"/>
          <w:bottom w:w="0" w:type="dxa"/>
          <w:right w:w="0" w:type="dxa"/>
        </w:tblCellMar>
      </w:tblPr>
      <w:tr>
        <w:trPr>
          <w:trHeight w:val="199"/>
        </w:trPr>
        <w:tc>
          <w:tcPr>
            <w:tcW w:w="60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2980" w:type="dxa"/>
            <w:vAlign w:val="bottom"/>
          </w:tcPr>
          <w:p>
            <w:pPr>
              <w:ind w:left="200"/>
              <w:spacing w:after="0" w:line="199" w:lineRule="exact"/>
              <w:rPr>
                <w:sz w:val="20"/>
                <w:szCs w:val="20"/>
                <w:color w:val="auto"/>
              </w:rPr>
            </w:pPr>
            <w:r>
              <w:rPr>
                <w:rFonts w:ascii="Arial" w:cs="Arial" w:eastAsia="Arial" w:hAnsi="Arial"/>
                <w:sz w:val="18"/>
                <w:szCs w:val="18"/>
                <w:color w:val="auto"/>
                <w:w w:val="91"/>
              </w:rPr>
              <w:t>Chairman and Chief Executive Officer</w:t>
            </w:r>
          </w:p>
        </w:tc>
        <w:tc>
          <w:tcPr>
            <w:tcW w:w="0" w:type="dxa"/>
            <w:vAlign w:val="bottom"/>
          </w:tcPr>
          <w:p>
            <w:pPr>
              <w:spacing w:after="0"/>
              <w:rPr>
                <w:sz w:val="1"/>
                <w:szCs w:val="1"/>
                <w:color w:val="auto"/>
              </w:rPr>
            </w:pPr>
          </w:p>
        </w:tc>
      </w:tr>
      <w:tr>
        <w:trPr>
          <w:trHeight w:val="135"/>
        </w:trPr>
        <w:tc>
          <w:tcPr>
            <w:tcW w:w="600" w:type="dxa"/>
            <w:vAlign w:val="bottom"/>
            <w:vMerge w:val="continue"/>
          </w:tcPr>
          <w:p>
            <w:pPr>
              <w:spacing w:after="0"/>
              <w:rPr>
                <w:sz w:val="11"/>
                <w:szCs w:val="11"/>
                <w:color w:val="auto"/>
              </w:rPr>
            </w:pPr>
          </w:p>
        </w:tc>
        <w:tc>
          <w:tcPr>
            <w:tcW w:w="2980" w:type="dxa"/>
            <w:vAlign w:val="bottom"/>
            <w:vMerge w:val="restart"/>
          </w:tcPr>
          <w:p>
            <w:pPr>
              <w:ind w:left="20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95"/>
        </w:trPr>
        <w:tc>
          <w:tcPr>
            <w:tcW w:w="600" w:type="dxa"/>
            <w:vAlign w:val="bottom"/>
          </w:tcPr>
          <w:p>
            <w:pPr>
              <w:spacing w:after="0"/>
              <w:rPr>
                <w:sz w:val="8"/>
                <w:szCs w:val="8"/>
                <w:color w:val="auto"/>
              </w:rPr>
            </w:pPr>
          </w:p>
        </w:tc>
        <w:tc>
          <w:tcPr>
            <w:tcW w:w="2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Jennifer L. Freeman, certify that:</w:t>
      </w:r>
    </w:p>
    <w:p>
      <w:pPr>
        <w:spacing w:after="0" w:line="400"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10-Q of The Pennant Group,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4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16" w:lineRule="exact"/>
        <w:rPr>
          <w:rFonts w:ascii="Arial" w:cs="Arial" w:eastAsia="Arial" w:hAnsi="Arial"/>
          <w:sz w:val="18"/>
          <w:szCs w:val="18"/>
          <w:color w:val="auto"/>
        </w:rPr>
      </w:pPr>
    </w:p>
    <w:p>
      <w:pPr>
        <w:ind w:left="980" w:right="60" w:hanging="324"/>
        <w:spacing w:after="0" w:line="263" w:lineRule="auto"/>
        <w:tabs>
          <w:tab w:leader="none" w:pos="977"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980" w:right="360" w:hanging="324"/>
        <w:spacing w:after="0" w:line="263" w:lineRule="auto"/>
        <w:tabs>
          <w:tab w:leader="none" w:pos="974"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980" w:right="540" w:hanging="324"/>
        <w:spacing w:after="0" w:line="342" w:lineRule="auto"/>
        <w:tabs>
          <w:tab w:leader="none" w:pos="977"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80" w:hanging="324"/>
        <w:spacing w:after="0" w:line="263" w:lineRule="auto"/>
        <w:tabs>
          <w:tab w:leader="none" w:pos="974"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980" w:right="780" w:hanging="324"/>
        <w:spacing w:after="0" w:line="342" w:lineRule="auto"/>
        <w:tabs>
          <w:tab w:leader="none" w:pos="977"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980" w:right="500" w:hanging="324"/>
        <w:spacing w:after="0" w:line="277" w:lineRule="auto"/>
        <w:tabs>
          <w:tab w:leader="none" w:pos="974"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 May 9, 2022</w:t>
      </w:r>
    </w:p>
    <w:p>
      <w:pPr>
        <w:spacing w:after="0" w:line="27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JENNIFER L. FREEMAN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6746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6" w:lineRule="exact"/>
        <w:rPr>
          <w:sz w:val="20"/>
          <w:szCs w:val="20"/>
          <w:color w:val="auto"/>
        </w:rPr>
      </w:pPr>
    </w:p>
    <w:p>
      <w:pPr>
        <w:ind w:left="5660"/>
        <w:spacing w:after="0"/>
        <w:tabs>
          <w:tab w:leader="none" w:pos="64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Jennifer L. Freeman</w:t>
      </w:r>
    </w:p>
    <w:p>
      <w:pPr>
        <w:spacing w:after="0" w:line="7" w:lineRule="exact"/>
        <w:rPr>
          <w:sz w:val="20"/>
          <w:szCs w:val="20"/>
          <w:color w:val="auto"/>
        </w:rPr>
      </w:pPr>
    </w:p>
    <w:p>
      <w:pPr>
        <w:ind w:left="6440"/>
        <w:spacing w:after="0"/>
        <w:rPr>
          <w:sz w:val="20"/>
          <w:szCs w:val="20"/>
          <w:color w:val="auto"/>
        </w:rPr>
      </w:pPr>
      <w:r>
        <w:rPr>
          <w:rFonts w:ascii="Arial" w:cs="Arial" w:eastAsia="Arial" w:hAnsi="Arial"/>
          <w:sz w:val="18"/>
          <w:szCs w:val="18"/>
          <w:i w:val="1"/>
          <w:iCs w:val="1"/>
          <w:color w:val="auto"/>
        </w:rPr>
        <w:t>Chief Financial Officer (Principal Financial</w:t>
      </w:r>
    </w:p>
    <w:p>
      <w:pPr>
        <w:ind w:left="5660"/>
        <w:spacing w:after="0" w:line="203" w:lineRule="auto"/>
        <w:tabs>
          <w:tab w:leader="none" w:pos="6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Officer, Principal Accounting Officer and Duly</w:t>
      </w:r>
    </w:p>
    <w:p>
      <w:pPr>
        <w:ind w:left="6440"/>
        <w:spacing w:after="0"/>
        <w:rPr>
          <w:sz w:val="20"/>
          <w:szCs w:val="20"/>
          <w:color w:val="auto"/>
        </w:rPr>
      </w:pPr>
      <w:r>
        <w:rPr>
          <w:rFonts w:ascii="Arial" w:cs="Arial" w:eastAsia="Arial" w:hAnsi="Arial"/>
          <w:sz w:val="18"/>
          <w:szCs w:val="18"/>
          <w:i w:val="1"/>
          <w:iCs w:val="1"/>
          <w:color w:val="auto"/>
        </w:rPr>
        <w:t>Authorized Officer)</w:t>
      </w:r>
    </w:p>
    <w:p>
      <w:pPr>
        <w:sectPr>
          <w:pgSz w:w="11900" w:h="16838" w:orient="portrait"/>
          <w:cols w:equalWidth="0" w:num="1">
            <w:col w:w="11240"/>
          </w:cols>
          <w:pgMar w:left="320" w:top="89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Annual Report of The Pennant Group, Inc. (the Company) on Form 10-Q for the period ended March 31, 2022, as filed with the Securities and Exchange Commission on the date hereof (the Report), I, Daniel H Walker, Chief Executive Officer of the Company, certify, pursuant to 18 U.S.C. § 1350, as adopted pursuant to Section 906 of the Sarbanes-Oxley Act of 2002, that to my knowledge:</w:t>
      </w:r>
    </w:p>
    <w:p>
      <w:pPr>
        <w:spacing w:after="0" w:line="14" w:lineRule="exact"/>
        <w:rPr>
          <w:sz w:val="20"/>
          <w:szCs w:val="20"/>
          <w:color w:val="auto"/>
        </w:rPr>
      </w:pPr>
    </w:p>
    <w:p>
      <w:pPr>
        <w:ind w:left="700" w:hanging="350"/>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2" w:lineRule="exact"/>
        <w:rPr>
          <w:sz w:val="20"/>
          <w:szCs w:val="20"/>
          <w:color w:val="auto"/>
        </w:rPr>
      </w:pPr>
    </w:p>
    <w:p>
      <w:pPr>
        <w:ind w:left="700" w:hanging="350"/>
        <w:spacing w:after="0"/>
        <w:tabs>
          <w:tab w:leader="none" w:pos="7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DANIEL H WALKER</w:t>
      </w:r>
    </w:p>
    <w:p>
      <w:pPr>
        <w:spacing w:after="0" w:line="23" w:lineRule="exact"/>
        <w:rPr>
          <w:sz w:val="20"/>
          <w:szCs w:val="20"/>
          <w:color w:val="auto"/>
        </w:rPr>
      </w:pPr>
    </w:p>
    <w:tbl>
      <w:tblPr>
        <w:tblLayout w:type="fixed"/>
        <w:tblInd w:w="5400" w:type="dxa"/>
        <w:tblCellMar>
          <w:top w:w="0" w:type="dxa"/>
          <w:left w:w="0" w:type="dxa"/>
          <w:bottom w:w="0" w:type="dxa"/>
          <w:right w:w="0" w:type="dxa"/>
        </w:tblCellMar>
      </w:tblPr>
      <w:tr>
        <w:trPr>
          <w:trHeight w:val="222"/>
        </w:trPr>
        <w:tc>
          <w:tcPr>
            <w:tcW w:w="6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370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Daniel H Walker</w:t>
            </w:r>
          </w:p>
        </w:tc>
        <w:tc>
          <w:tcPr>
            <w:tcW w:w="0" w:type="dxa"/>
            <w:vAlign w:val="bottom"/>
          </w:tcPr>
          <w:p>
            <w:pPr>
              <w:spacing w:after="0"/>
              <w:rPr>
                <w:sz w:val="1"/>
                <w:szCs w:val="1"/>
                <w:color w:val="auto"/>
              </w:rPr>
            </w:pPr>
          </w:p>
        </w:tc>
      </w:tr>
      <w:tr>
        <w:trPr>
          <w:trHeight w:val="176"/>
        </w:trPr>
        <w:tc>
          <w:tcPr>
            <w:tcW w:w="680" w:type="dxa"/>
            <w:vAlign w:val="bottom"/>
            <w:vMerge w:val="restart"/>
          </w:tcPr>
          <w:p>
            <w:pPr>
              <w:ind w:left="20"/>
              <w:spacing w:after="0"/>
              <w:rPr>
                <w:sz w:val="20"/>
                <w:szCs w:val="20"/>
                <w:color w:val="auto"/>
              </w:rPr>
            </w:pPr>
            <w:r>
              <w:rPr>
                <w:rFonts w:ascii="Arial" w:cs="Arial" w:eastAsia="Arial" w:hAnsi="Arial"/>
                <w:sz w:val="18"/>
                <w:szCs w:val="18"/>
                <w:color w:val="auto"/>
              </w:rPr>
              <w:t>Title:</w:t>
            </w:r>
          </w:p>
        </w:tc>
        <w:tc>
          <w:tcPr>
            <w:tcW w:w="3700" w:type="dxa"/>
            <w:vAlign w:val="bottom"/>
          </w:tcPr>
          <w:p>
            <w:pPr>
              <w:ind w:left="160"/>
              <w:spacing w:after="0" w:line="176" w:lineRule="exact"/>
              <w:rPr>
                <w:sz w:val="20"/>
                <w:szCs w:val="20"/>
                <w:color w:val="auto"/>
              </w:rPr>
            </w:pPr>
            <w:r>
              <w:rPr>
                <w:rFonts w:ascii="Arial" w:cs="Arial" w:eastAsia="Arial" w:hAnsi="Arial"/>
                <w:sz w:val="18"/>
                <w:szCs w:val="18"/>
                <w:color w:val="auto"/>
              </w:rPr>
              <w:t>Chairman and Chief Executive Officer</w:t>
            </w:r>
          </w:p>
        </w:tc>
        <w:tc>
          <w:tcPr>
            <w:tcW w:w="0" w:type="dxa"/>
            <w:vAlign w:val="bottom"/>
          </w:tcPr>
          <w:p>
            <w:pPr>
              <w:spacing w:after="0"/>
              <w:rPr>
                <w:sz w:val="1"/>
                <w:szCs w:val="1"/>
                <w:color w:val="auto"/>
              </w:rPr>
            </w:pPr>
          </w:p>
        </w:tc>
      </w:tr>
      <w:tr>
        <w:trPr>
          <w:trHeight w:val="135"/>
        </w:trPr>
        <w:tc>
          <w:tcPr>
            <w:tcW w:w="680" w:type="dxa"/>
            <w:vAlign w:val="bottom"/>
            <w:vMerge w:val="continue"/>
          </w:tcPr>
          <w:p>
            <w:pPr>
              <w:spacing w:after="0"/>
              <w:rPr>
                <w:sz w:val="11"/>
                <w:szCs w:val="11"/>
                <w:color w:val="auto"/>
              </w:rPr>
            </w:pPr>
          </w:p>
        </w:tc>
        <w:tc>
          <w:tcPr>
            <w:tcW w:w="3700" w:type="dxa"/>
            <w:vAlign w:val="bottom"/>
            <w:vMerge w:val="restart"/>
          </w:tcPr>
          <w:p>
            <w:pPr>
              <w:ind w:left="16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95"/>
        </w:trPr>
        <w:tc>
          <w:tcPr>
            <w:tcW w:w="680" w:type="dxa"/>
            <w:vAlign w:val="bottom"/>
          </w:tcPr>
          <w:p>
            <w:pPr>
              <w:spacing w:after="0"/>
              <w:rPr>
                <w:sz w:val="8"/>
                <w:szCs w:val="8"/>
                <w:color w:val="auto"/>
              </w:rPr>
            </w:pPr>
          </w:p>
        </w:tc>
        <w:tc>
          <w:tcPr>
            <w:tcW w:w="3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May 9, 2022</w:t>
      </w:r>
    </w:p>
    <w:p>
      <w:pPr>
        <w:spacing w:after="0" w:line="3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A signed original of this written statement required by 18 U.S.C. Section 1350 has been provided to the Company and will be retained by the Company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In connection with the Annual Report of The Pennant Group, Inc. (the Company) on Form 10-Q for the period ended March 31, 2022, as filed with the Securities and Exchange Commission on the date hereof (the Report), I, Jennifer L. Freeman, Chief Financial Officer of the Company, certify, pursuant to 18 U.S.C. § 1350, as adopted pursuant to Section 906 of the Sarbanes-Oxley Act of 2002, that to my knowledge:</w:t>
      </w:r>
    </w:p>
    <w:p>
      <w:pPr>
        <w:spacing w:after="0" w:line="2" w:lineRule="exact"/>
        <w:rPr>
          <w:sz w:val="20"/>
          <w:szCs w:val="20"/>
          <w:color w:val="auto"/>
        </w:rPr>
      </w:pPr>
    </w:p>
    <w:p>
      <w:pPr>
        <w:ind w:left="700" w:hanging="350"/>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2" w:lineRule="exact"/>
        <w:rPr>
          <w:sz w:val="20"/>
          <w:szCs w:val="20"/>
          <w:color w:val="auto"/>
        </w:rPr>
      </w:pPr>
    </w:p>
    <w:p>
      <w:pPr>
        <w:ind w:left="700" w:hanging="350"/>
        <w:spacing w:after="0"/>
        <w:tabs>
          <w:tab w:leader="none" w:pos="7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 JENNIFER L. FREEMAN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14605</wp:posOffset>
            </wp:positionV>
            <wp:extent cx="27686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6" w:lineRule="exact"/>
        <w:rPr>
          <w:sz w:val="20"/>
          <w:szCs w:val="20"/>
          <w:color w:val="auto"/>
        </w:rPr>
      </w:pPr>
    </w:p>
    <w:p>
      <w:pPr>
        <w:ind w:left="5440"/>
        <w:spacing w:after="0"/>
        <w:tabs>
          <w:tab w:leader="none" w:pos="62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Jennifer L. Freeman</w:t>
      </w:r>
    </w:p>
    <w:p>
      <w:pPr>
        <w:spacing w:after="0" w:line="7" w:lineRule="exact"/>
        <w:rPr>
          <w:sz w:val="20"/>
          <w:szCs w:val="20"/>
          <w:color w:val="auto"/>
        </w:rPr>
      </w:pPr>
    </w:p>
    <w:p>
      <w:pPr>
        <w:ind w:left="6240"/>
        <w:spacing w:after="0"/>
        <w:rPr>
          <w:sz w:val="20"/>
          <w:szCs w:val="20"/>
          <w:color w:val="auto"/>
        </w:rPr>
      </w:pPr>
      <w:r>
        <w:rPr>
          <w:rFonts w:ascii="Arial" w:cs="Arial" w:eastAsia="Arial" w:hAnsi="Arial"/>
          <w:sz w:val="18"/>
          <w:szCs w:val="18"/>
          <w:i w:val="1"/>
          <w:iCs w:val="1"/>
          <w:color w:val="auto"/>
        </w:rPr>
        <w:t>Chief Financial Officer (Principal Financial</w:t>
      </w:r>
    </w:p>
    <w:p>
      <w:pPr>
        <w:ind w:left="5440"/>
        <w:spacing w:after="0" w:line="203" w:lineRule="auto"/>
        <w:tabs>
          <w:tab w:leader="none" w:pos="62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Officer, Principal Accounting Officer and Duly</w:t>
      </w:r>
    </w:p>
    <w:p>
      <w:pPr>
        <w:ind w:left="6240"/>
        <w:spacing w:after="0"/>
        <w:rPr>
          <w:sz w:val="20"/>
          <w:szCs w:val="20"/>
          <w:color w:val="auto"/>
        </w:rPr>
      </w:pPr>
      <w:r>
        <w:rPr>
          <w:rFonts w:ascii="Arial" w:cs="Arial" w:eastAsia="Arial" w:hAnsi="Arial"/>
          <w:sz w:val="18"/>
          <w:szCs w:val="18"/>
          <w:i w:val="1"/>
          <w:iCs w:val="1"/>
          <w:color w:val="auto"/>
        </w:rPr>
        <w:t>Authorized Officer)</w:t>
      </w:r>
    </w:p>
    <w:p>
      <w:pPr>
        <w:spacing w:after="0" w:line="23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May 9, 2022</w:t>
      </w:r>
    </w:p>
    <w:p>
      <w:pPr>
        <w:spacing w:after="0" w:line="3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A signed original of this written statement required by 18 U.S.C. Section 1350 has been provided to the Company and will be retained by the Company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1"/>
      <w:numFmt w:val="decimal"/>
      <w:start w:val="1"/>
    </w:lvl>
    <w:lvl w:ilvl="1">
      <w:lvlJc w:val="left"/>
      <w:lvlText w:val="(%2)"/>
      <w:numFmt w:val="lowerLetter"/>
      <w:start w:val="1"/>
    </w:lvl>
  </w:abstractNum>
  <w:abstractNum w:abstractNumId="4">
    <w:nsid w:val="721DA317"/>
    <w:multiLevelType w:val="hybridMultilevel"/>
    <w:lvl w:ilvl="0">
      <w:lvlJc w:val="left"/>
      <w:lvlText w:val="%1."/>
      <w:numFmt w:val="decimal"/>
      <w:start w:val="5"/>
    </w:lvl>
    <w:lvl w:ilvl="1">
      <w:lvlJc w:val="left"/>
      <w:lvlText w:val="%2"/>
      <w:numFmt w:val="lowerLetter"/>
      <w:start w:val="1"/>
    </w:lvl>
  </w:abstractNum>
  <w:abstractNum w:abstractNumId="5">
    <w:nsid w:val="2443A858"/>
    <w:multiLevelType w:val="hybridMultilevel"/>
    <w:lvl w:ilvl="0">
      <w:lvlJc w:val="left"/>
      <w:lvlText w:val="(%1)"/>
      <w:numFmt w:val="lowerLetter"/>
      <w:start w:val="1"/>
    </w:lvl>
  </w:abstractNum>
  <w:abstractNum w:abstractNumId="6">
    <w:nsid w:val="2D1D5AE9"/>
    <w:multiLevelType w:val="hybridMultilevel"/>
    <w:lvl w:ilvl="0">
      <w:lvlJc w:val="left"/>
      <w:lvlText w:val="(%1)"/>
      <w:numFmt w:val="lowerLetter"/>
      <w:start w:val="1"/>
    </w:lvl>
  </w:abstractNum>
  <w:abstractNum w:abstractNumId="7">
    <w:nsid w:val="6763845E"/>
    <w:multiLevelType w:val="hybridMultilevel"/>
    <w:lvl w:ilvl="0">
      <w:lvlJc w:val="left"/>
      <w:lvlText w:val="(%1)"/>
      <w:numFmt w:val="lowerLetter"/>
      <w:start w:val="1"/>
    </w:lvl>
  </w:abstractNum>
  <w:abstractNum w:abstractNumId="8">
    <w:nsid w:val="75A2A8D4"/>
    <w:multiLevelType w:val="hybridMultilevel"/>
    <w:lvl w:ilvl="0">
      <w:lvlJc w:val="left"/>
      <w:lvlText w:val="(%1)"/>
      <w:numFmt w:val="decimal"/>
      <w:start w:val="4"/>
    </w:lvl>
  </w:abstractNum>
  <w:abstractNum w:abstractNumId="9">
    <w:nsid w:val="8EDBDAB"/>
    <w:multiLevelType w:val="hybridMultilevel"/>
    <w:lvl w:ilvl="0">
      <w:lvlJc w:val="left"/>
      <w:lvlText w:val="(%1)"/>
      <w:numFmt w:val="lowerLetter"/>
      <w:start w:val="1"/>
    </w:lvl>
  </w:abstractNum>
  <w:abstractNum w:abstractNumId="10">
    <w:nsid w:val="79838CB2"/>
    <w:multiLevelType w:val="hybridMultilevel"/>
    <w:lvl w:ilvl="0">
      <w:lvlJc w:val="left"/>
      <w:lvlText w:val="(%1)"/>
      <w:numFmt w:val="lowerRoman"/>
      <w:start w:val="2"/>
    </w:lvl>
  </w:abstractNum>
  <w:abstractNum w:abstractNumId="11">
    <w:nsid w:val="4353D0CD"/>
    <w:multiLevelType w:val="hybridMultilevel"/>
    <w:lvl w:ilvl="0">
      <w:lvlJc w:val="left"/>
      <w:lvlText w:val="(%1)"/>
      <w:numFmt w:val="lowerRoman"/>
      <w:start w:val="4"/>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1)"/>
      <w:numFmt w:val="decimal"/>
      <w:start w:val="2"/>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1)"/>
      <w:numFmt w:val="lowerLetter"/>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1)"/>
      <w:numFmt w:val="lowerLetter"/>
      <w:start w:val="1"/>
    </w:lvl>
  </w:abstractNum>
  <w:abstractNum w:abstractNumId="25">
    <w:nsid w:val="22221A70"/>
    <w:multiLevelType w:val="hybridMultilevel"/>
    <w:lvl w:ilvl="0">
      <w:lvlJc w:val="left"/>
      <w:lvlText w:val="(%1)"/>
      <w:numFmt w:val="lowerLetter"/>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1)"/>
      <w:numFmt w:val="lowerLetter"/>
      <w:start w:val="1"/>
    </w:lvl>
  </w:abstractNum>
  <w:abstractNum w:abstractNumId="31">
    <w:nsid w:val="440BADFC"/>
    <w:multiLevelType w:val="hybridMultilevel"/>
    <w:lvl w:ilvl="0">
      <w:lvlJc w:val="left"/>
      <w:lvlText w:val="(%1)"/>
      <w:numFmt w:val="lowerLetter"/>
      <w:start w:val="1"/>
    </w:lvl>
  </w:abstractNum>
  <w:abstractNum w:abstractNumId="32">
    <w:nsid w:val="5072367"/>
    <w:multiLevelType w:val="hybridMultilevel"/>
    <w:lvl w:ilvl="0">
      <w:lvlJc w:val="left"/>
      <w:lvlText w:val="%1"/>
      <w:numFmt w:val="decimal"/>
      <w:start w:val="104"/>
    </w:lvl>
  </w:abstractNum>
  <w:abstractNum w:abstractNumId="33">
    <w:nsid w:val="3804823E"/>
    <w:multiLevelType w:val="hybridMultilevel"/>
    <w:lvl w:ilvl="0">
      <w:lvlJc w:val="left"/>
      <w:lvlText w:val="%1."/>
      <w:numFmt w:val="decimal"/>
      <w:start w:val="1"/>
    </w:lvl>
    <w:lvl w:ilvl="1">
      <w:lvlJc w:val="left"/>
      <w:lvlText w:val="(%2)"/>
      <w:numFmt w:val="lowerLetter"/>
      <w:start w:val="1"/>
    </w:lvl>
  </w:abstractNum>
  <w:abstractNum w:abstractNumId="34">
    <w:nsid w:val="77465F01"/>
    <w:multiLevelType w:val="hybridMultilevel"/>
    <w:lvl w:ilvl="0">
      <w:lvlJc w:val="left"/>
      <w:lvlText w:val="%1."/>
      <w:numFmt w:val="decimal"/>
      <w:start w:val="1"/>
    </w:lvl>
    <w:lvl w:ilvl="1">
      <w:lvlJc w:val="left"/>
      <w:lvlText w:val="(%2)"/>
      <w:numFmt w:val="lowerLetter"/>
      <w:start w:val="1"/>
    </w:lvl>
  </w:abstractNum>
  <w:abstractNum w:abstractNumId="35">
    <w:nsid w:val="7724C67E"/>
    <w:multiLevelType w:val="hybridMultilevel"/>
    <w:lvl w:ilvl="0">
      <w:lvlJc w:val="left"/>
      <w:lvlText w:val="1"/>
      <w:numFmt w:val="bullet"/>
      <w:start w:val="1"/>
    </w:lvl>
  </w:abstractNum>
  <w:abstractNum w:abstractNumId="36">
    <w:nsid w:val="5C482A97"/>
    <w:multiLevelType w:val="hybridMultilevel"/>
    <w:lvl w:ilvl="0">
      <w:lvlJc w:val="left"/>
      <w:lvlText w:val="2"/>
      <w:numFmt w:val="bullet"/>
      <w:start w:val="1"/>
    </w:lvl>
  </w:abstractNum>
  <w:abstractNum w:abstractNumId="37">
    <w:nsid w:val="2463B9EA"/>
    <w:multiLevelType w:val="hybridMultilevel"/>
    <w:lvl w:ilvl="0">
      <w:lvlJc w:val="left"/>
      <w:lvlText w:val="1"/>
      <w:numFmt w:val="bullet"/>
      <w:start w:val="1"/>
    </w:lvl>
  </w:abstractNum>
  <w:abstractNum w:abstractNumId="38">
    <w:nsid w:val="5E884ADC"/>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55" Type="http://schemas.openxmlformats.org/officeDocument/2006/relationships/hyperlink" Target="https://www.sec.gov/Archives/edgar/data/1766400/000176640022000025/ota-form2022x01x27.htm" TargetMode="External"/><Relationship Id="rId56" Type="http://schemas.openxmlformats.org/officeDocument/2006/relationships/hyperlink" Target="https://www.sec.gov/Archives/edgar/data/1766400/000119312519235824/d693607dex31.htm" TargetMode="External"/><Relationship Id="rId57" Type="http://schemas.openxmlformats.org/officeDocument/2006/relationships/hyperlink" Target="https://www.sec.gov/Archives/edgar/data/1766400/000119312519260914/d812063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2022-05-09T15:30:14Z</dcterms:created>
  <dcterms:modified xsi:type="dcterms:W3CDTF">2022-05-09T15:30:14Z</dcterms:modified>
</cp:coreProperties>
</file>