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_____________________________</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31"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46"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8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5140" w:type="dxa"/>
            <w:vAlign w:val="bottom"/>
            <w:gridSpan w:val="2"/>
          </w:tcPr>
          <w:p>
            <w:pPr>
              <w:jc w:val="right"/>
              <w:ind w:right="4699"/>
              <w:spacing w:after="0"/>
              <w:rPr>
                <w:sz w:val="20"/>
                <w:szCs w:val="20"/>
                <w:color w:val="auto"/>
              </w:rPr>
            </w:pPr>
            <w:r>
              <w:rPr>
                <w:rFonts w:ascii="Arial" w:cs="Arial" w:eastAsia="Arial" w:hAnsi="Arial"/>
                <w:sz w:val="16"/>
                <w:szCs w:val="16"/>
                <w:b w:val="1"/>
                <w:bCs w:val="1"/>
                <w:color w:val="auto"/>
              </w:rPr>
              <w:t>.</w:t>
            </w:r>
          </w:p>
        </w:tc>
      </w:tr>
      <w:tr>
        <w:trPr>
          <w:trHeight w:val="379"/>
        </w:trPr>
        <w:tc>
          <w:tcPr>
            <w:tcW w:w="2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20" w:type="dxa"/>
            <w:vAlign w:val="bottom"/>
          </w:tcPr>
          <w:p>
            <w:pPr>
              <w:jc w:val="center"/>
              <w:ind w:right="1759"/>
              <w:spacing w:after="0"/>
              <w:rPr>
                <w:sz w:val="20"/>
                <w:szCs w:val="20"/>
                <w:color w:val="auto"/>
              </w:rPr>
            </w:pPr>
            <w:r>
              <w:rPr>
                <w:rFonts w:ascii="Arial" w:cs="Arial" w:eastAsia="Arial" w:hAnsi="Arial"/>
                <w:sz w:val="16"/>
                <w:szCs w:val="16"/>
                <w:b w:val="1"/>
                <w:bCs w:val="1"/>
                <w:color w:val="auto"/>
                <w:w w:val="91"/>
              </w:rPr>
              <w:t>Commission file number: 001-38900</w:t>
            </w:r>
          </w:p>
        </w:tc>
      </w:tr>
      <w:tr>
        <w:trPr>
          <w:trHeight w:val="263"/>
        </w:trPr>
        <w:tc>
          <w:tcPr>
            <w:tcW w:w="2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140" w:type="dxa"/>
            <w:vAlign w:val="bottom"/>
            <w:gridSpan w:val="2"/>
          </w:tcPr>
          <w:p>
            <w:pPr>
              <w:jc w:val="center"/>
              <w:ind w:right="1439"/>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590"/>
        </w:trPr>
        <w:tc>
          <w:tcPr>
            <w:tcW w:w="2120" w:type="dxa"/>
            <w:vAlign w:val="bottom"/>
          </w:tcPr>
          <w:p>
            <w:pPr>
              <w:spacing w:after="0"/>
              <w:rPr>
                <w:sz w:val="24"/>
                <w:szCs w:val="24"/>
                <w:color w:val="auto"/>
              </w:rPr>
            </w:pPr>
          </w:p>
        </w:tc>
        <w:tc>
          <w:tcPr>
            <w:tcW w:w="6660" w:type="dxa"/>
            <w:vAlign w:val="bottom"/>
            <w:gridSpan w:val="5"/>
          </w:tcPr>
          <w:p>
            <w:pPr>
              <w:jc w:val="center"/>
              <w:spacing w:after="0"/>
              <w:rPr>
                <w:sz w:val="20"/>
                <w:szCs w:val="20"/>
                <w:color w:val="auto"/>
              </w:rPr>
            </w:pPr>
            <w:r>
              <w:rPr>
                <w:rFonts w:ascii="Arial" w:cs="Arial" w:eastAsia="Arial" w:hAnsi="Arial"/>
                <w:sz w:val="40"/>
                <w:szCs w:val="40"/>
                <w:b w:val="1"/>
                <w:bCs w:val="1"/>
                <w:color w:val="auto"/>
                <w:w w:val="98"/>
              </w:rPr>
              <w:t>THE PENNANT GROUP, INC.</w:t>
            </w:r>
          </w:p>
        </w:tc>
      </w:tr>
      <w:tr>
        <w:trPr>
          <w:trHeight w:val="430"/>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2"/>
          </w:tcPr>
          <w:p>
            <w:pPr>
              <w:jc w:val="center"/>
              <w:ind w:right="1459"/>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229"/>
        </w:trPr>
        <w:tc>
          <w:tcPr>
            <w:tcW w:w="2120" w:type="dxa"/>
            <w:vAlign w:val="bottom"/>
          </w:tcPr>
          <w:p>
            <w:pPr>
              <w:spacing w:after="0"/>
              <w:rPr>
                <w:sz w:val="19"/>
                <w:szCs w:val="19"/>
                <w:color w:val="auto"/>
              </w:rPr>
            </w:pPr>
          </w:p>
        </w:tc>
        <w:tc>
          <w:tcPr>
            <w:tcW w:w="152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3"/>
              </w:rPr>
              <w:t>Delaware</w:t>
            </w:r>
          </w:p>
        </w:tc>
        <w:tc>
          <w:tcPr>
            <w:tcW w:w="5140" w:type="dxa"/>
            <w:vAlign w:val="bottom"/>
            <w:gridSpan w:val="2"/>
          </w:tcPr>
          <w:p>
            <w:pPr>
              <w:jc w:val="center"/>
              <w:ind w:left="3837"/>
              <w:spacing w:after="0"/>
              <w:rPr>
                <w:sz w:val="20"/>
                <w:szCs w:val="20"/>
                <w:color w:val="auto"/>
              </w:rPr>
            </w:pPr>
            <w:r>
              <w:rPr>
                <w:rFonts w:ascii="Arial" w:cs="Arial" w:eastAsia="Arial" w:hAnsi="Arial"/>
                <w:sz w:val="16"/>
                <w:szCs w:val="16"/>
                <w:b w:val="1"/>
                <w:bCs w:val="1"/>
                <w:color w:val="auto"/>
                <w:w w:val="91"/>
              </w:rPr>
              <w:t>83-3349931</w:t>
            </w:r>
          </w:p>
        </w:tc>
      </w:tr>
      <w:tr>
        <w:trPr>
          <w:trHeight w:val="216"/>
        </w:trPr>
        <w:tc>
          <w:tcPr>
            <w:tcW w:w="3640" w:type="dxa"/>
            <w:vAlign w:val="bottom"/>
            <w:gridSpan w:val="4"/>
          </w:tcPr>
          <w:p>
            <w:pPr>
              <w:jc w:val="center"/>
              <w:ind w:left="1419"/>
              <w:spacing w:after="0"/>
              <w:rPr>
                <w:sz w:val="20"/>
                <w:szCs w:val="20"/>
                <w:color w:val="auto"/>
              </w:rPr>
            </w:pPr>
            <w:r>
              <w:rPr>
                <w:rFonts w:ascii="Arial" w:cs="Arial" w:eastAsia="Arial" w:hAnsi="Arial"/>
                <w:sz w:val="16"/>
                <w:szCs w:val="16"/>
                <w:color w:val="auto"/>
                <w:w w:val="93"/>
              </w:rPr>
              <w:t>(State or Other Jurisdiction of</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3"/>
              </w:rPr>
              <w:t>(I.R.S. Employer</w:t>
            </w:r>
          </w:p>
        </w:tc>
      </w:tr>
      <w:tr>
        <w:trPr>
          <w:trHeight w:val="216"/>
        </w:trPr>
        <w:tc>
          <w:tcPr>
            <w:tcW w:w="3640" w:type="dxa"/>
            <w:vAlign w:val="bottom"/>
            <w:gridSpan w:val="4"/>
          </w:tcPr>
          <w:p>
            <w:pPr>
              <w:jc w:val="center"/>
              <w:ind w:left="1439"/>
              <w:spacing w:after="0"/>
              <w:rPr>
                <w:sz w:val="20"/>
                <w:szCs w:val="20"/>
                <w:color w:val="auto"/>
              </w:rPr>
            </w:pPr>
            <w:r>
              <w:rPr>
                <w:rFonts w:ascii="Arial" w:cs="Arial" w:eastAsia="Arial" w:hAnsi="Arial"/>
                <w:sz w:val="16"/>
                <w:szCs w:val="16"/>
                <w:color w:val="auto"/>
                <w:w w:val="94"/>
              </w:rPr>
              <w:t>Incorporation or Organization)</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7"/>
              </w:rPr>
              <w:t>Identification No.)</w:t>
            </w:r>
          </w:p>
        </w:tc>
      </w:tr>
    </w:tbl>
    <w:p>
      <w:pPr>
        <w:spacing w:after="0" w:line="87"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1675 East Riverside Drive, Suite 150, Eagle, ID 83616</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 and Zip Code)</w:t>
      </w:r>
    </w:p>
    <w:p>
      <w:pPr>
        <w:spacing w:after="0" w:line="5"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(208) 506-6100</w:t>
      </w:r>
    </w:p>
    <w:p>
      <w:pPr>
        <w:ind w:left="3820"/>
        <w:spacing w:after="0" w:line="235" w:lineRule="auto"/>
        <w:rPr>
          <w:sz w:val="20"/>
          <w:szCs w:val="20"/>
          <w:color w:val="auto"/>
        </w:rPr>
      </w:pPr>
      <w:r>
        <w:rPr>
          <w:rFonts w:ascii="Arial" w:cs="Arial" w:eastAsia="Arial" w:hAnsi="Arial"/>
          <w:sz w:val="16"/>
          <w:szCs w:val="16"/>
          <w:color w:val="auto"/>
        </w:rPr>
        <w:t>(Registrant’s Telephone Number, Including Area Code)</w:t>
      </w:r>
    </w:p>
    <w:p>
      <w:pPr>
        <w:jc w:val="center"/>
        <w:spacing w:after="0" w:line="211" w:lineRule="auto"/>
        <w:rPr>
          <w:sz w:val="20"/>
          <w:szCs w:val="20"/>
          <w:color w:val="auto"/>
        </w:rPr>
      </w:pPr>
      <w:r>
        <w:rPr>
          <w:rFonts w:ascii="Arial" w:cs="Arial" w:eastAsia="Arial" w:hAnsi="Arial"/>
          <w:sz w:val="16"/>
          <w:szCs w:val="16"/>
          <w:color w:val="auto"/>
        </w:rPr>
        <w:t>None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282" w:right="339" w:bottom="1440" w:gutter="0" w:footer="0" w:header="0"/>
        </w:sectPr>
      </w:pPr>
    </w:p>
    <w:p>
      <w:pPr>
        <w:spacing w:after="0" w:line="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140" w:space="720"/>
            <w:col w:w="2240" w:space="720"/>
            <w:col w:w="3420"/>
          </w:cols>
          <w:pgMar w:left="320" w:top="1282" w:right="33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PNTG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36" w:lineRule="exact"/>
        <w:rPr>
          <w:sz w:val="24"/>
          <w:szCs w:val="24"/>
          <w:color w:val="auto"/>
        </w:rPr>
      </w:pPr>
    </w:p>
    <w:p>
      <w:pPr>
        <w:sectPr>
          <w:pgSz w:w="11900" w:h="16838" w:orient="portrait"/>
          <w:cols w:equalWidth="0" w:num="3">
            <w:col w:w="4580" w:space="720"/>
            <w:col w:w="2360" w:space="720"/>
            <w:col w:w="2860"/>
          </w:cols>
          <w:pgMar w:left="320" w:top="1282" w:right="339" w:bottom="1440" w:gutter="0" w:footer="0" w:header="0"/>
          <w:type w:val="continuous"/>
        </w:sectPr>
      </w:pPr>
    </w:p>
    <w:p>
      <w:pPr>
        <w:ind w:left="37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0" w:lineRule="exact"/>
        <w:rPr>
          <w:sz w:val="24"/>
          <w:szCs w:val="24"/>
          <w:color w:val="auto"/>
        </w:rPr>
      </w:pPr>
    </w:p>
    <w:p>
      <w:pPr>
        <w:spacing w:after="0" w:line="224" w:lineRule="exact"/>
        <w:rPr>
          <w:sz w:val="24"/>
          <w:szCs w:val="24"/>
          <w:color w:val="auto"/>
        </w:rPr>
      </w:pPr>
    </w:p>
    <w:p>
      <w:pPr>
        <w:jc w:val="both"/>
        <w:ind w:firstLine="445"/>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3" w:lineRule="exact"/>
        <w:rPr>
          <w:sz w:val="24"/>
          <w:szCs w:val="24"/>
          <w:color w:val="auto"/>
        </w:rPr>
      </w:pPr>
    </w:p>
    <w:p>
      <w:pPr>
        <w:ind w:firstLine="445"/>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8" w:lineRule="exact"/>
        <w:rPr>
          <w:sz w:val="24"/>
          <w:szCs w:val="24"/>
          <w:color w:val="auto"/>
        </w:rPr>
      </w:pPr>
    </w:p>
    <w:p>
      <w:pPr>
        <w:jc w:val="both"/>
        <w:ind w:right="300" w:firstLine="445"/>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40" w:type="dxa"/>
        <w:tblCellMar>
          <w:top w:w="0" w:type="dxa"/>
          <w:left w:w="0" w:type="dxa"/>
          <w:bottom w:w="0" w:type="dxa"/>
          <w:right w:w="0" w:type="dxa"/>
        </w:tblCellMar>
      </w:tblPr>
      <w:tr>
        <w:trPr>
          <w:trHeight w:val="166"/>
        </w:trPr>
        <w:tc>
          <w:tcPr>
            <w:tcW w:w="1400" w:type="dxa"/>
            <w:vAlign w:val="bottom"/>
          </w:tcPr>
          <w:p>
            <w:pPr>
              <w:ind w:left="560"/>
              <w:spacing w:after="0" w:line="166" w:lineRule="exact"/>
              <w:rPr>
                <w:sz w:val="20"/>
                <w:szCs w:val="20"/>
                <w:color w:val="auto"/>
              </w:rPr>
            </w:pPr>
            <w:r>
              <w:rPr>
                <w:rFonts w:ascii="Arial" w:cs="Arial" w:eastAsia="Arial" w:hAnsi="Arial"/>
                <w:sz w:val="16"/>
                <w:szCs w:val="16"/>
                <w:color w:val="auto"/>
              </w:rPr>
              <w:t>Large</w:t>
            </w:r>
          </w:p>
        </w:tc>
        <w:tc>
          <w:tcPr>
            <w:tcW w:w="76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1640" w:type="dxa"/>
            <w:vAlign w:val="bottom"/>
            <w:vMerge w:val="restart"/>
          </w:tcPr>
          <w:p>
            <w:pPr>
              <w:ind w:left="280"/>
              <w:spacing w:after="0"/>
              <w:rPr>
                <w:sz w:val="20"/>
                <w:szCs w:val="20"/>
                <w:color w:val="auto"/>
              </w:rPr>
            </w:pPr>
            <w:r>
              <w:rPr>
                <w:rFonts w:ascii="Arial" w:cs="Arial" w:eastAsia="Arial" w:hAnsi="Arial"/>
                <w:sz w:val="16"/>
                <w:szCs w:val="16"/>
                <w:color w:val="auto"/>
              </w:rPr>
              <w:t>Accelerated filer</w:t>
            </w:r>
          </w:p>
        </w:tc>
        <w:tc>
          <w:tcPr>
            <w:tcW w:w="66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1560" w:type="dxa"/>
            <w:vAlign w:val="bottom"/>
          </w:tcPr>
          <w:p>
            <w:pPr>
              <w:ind w:left="240"/>
              <w:spacing w:after="0" w:line="166" w:lineRule="exact"/>
              <w:rPr>
                <w:sz w:val="20"/>
                <w:szCs w:val="20"/>
                <w:color w:val="auto"/>
              </w:rPr>
            </w:pPr>
            <w:r>
              <w:rPr>
                <w:rFonts w:ascii="Arial" w:cs="Arial" w:eastAsia="Arial" w:hAnsi="Arial"/>
                <w:sz w:val="16"/>
                <w:szCs w:val="16"/>
                <w:color w:val="auto"/>
              </w:rPr>
              <w:t>Non-accelerated</w:t>
            </w:r>
          </w:p>
        </w:tc>
        <w:tc>
          <w:tcPr>
            <w:tcW w:w="2140" w:type="dxa"/>
            <w:vAlign w:val="bottom"/>
          </w:tcPr>
          <w:p>
            <w:pPr>
              <w:ind w:left="1180"/>
              <w:spacing w:after="0" w:line="166" w:lineRule="exact"/>
              <w:rPr>
                <w:sz w:val="20"/>
                <w:szCs w:val="20"/>
                <w:color w:val="auto"/>
              </w:rPr>
            </w:pPr>
            <w:r>
              <w:rPr>
                <w:rFonts w:ascii="Arial" w:cs="Arial" w:eastAsia="Arial" w:hAnsi="Arial"/>
                <w:sz w:val="16"/>
                <w:szCs w:val="16"/>
                <w:color w:val="auto"/>
              </w:rPr>
              <w:t>Smaller</w:t>
            </w:r>
          </w:p>
        </w:tc>
        <w:tc>
          <w:tcPr>
            <w:tcW w:w="74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1640" w:type="dxa"/>
            <w:vAlign w:val="bottom"/>
          </w:tcPr>
          <w:p>
            <w:pPr>
              <w:ind w:left="240"/>
              <w:spacing w:after="0" w:line="166" w:lineRule="exact"/>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1400" w:type="dxa"/>
            <w:vAlign w:val="bottom"/>
          </w:tcPr>
          <w:p>
            <w:pPr>
              <w:spacing w:after="0"/>
              <w:rPr>
                <w:sz w:val="20"/>
                <w:szCs w:val="20"/>
                <w:color w:val="auto"/>
              </w:rPr>
            </w:pPr>
            <w:r>
              <w:rPr>
                <w:rFonts w:ascii="Arial" w:cs="Arial" w:eastAsia="Arial" w:hAnsi="Arial"/>
                <w:sz w:val="16"/>
                <w:szCs w:val="16"/>
                <w:color w:val="auto"/>
              </w:rPr>
              <w:t>accelerated filer</w:t>
            </w:r>
          </w:p>
        </w:tc>
        <w:tc>
          <w:tcPr>
            <w:tcW w:w="7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1560" w:type="dxa"/>
            <w:vAlign w:val="bottom"/>
          </w:tcPr>
          <w:p>
            <w:pPr>
              <w:ind w:left="420"/>
              <w:spacing w:after="0"/>
              <w:rPr>
                <w:sz w:val="20"/>
                <w:szCs w:val="20"/>
                <w:color w:val="auto"/>
              </w:rPr>
            </w:pPr>
            <w:r>
              <w:rPr>
                <w:rFonts w:ascii="Arial" w:cs="Arial" w:eastAsia="Arial" w:hAnsi="Arial"/>
                <w:sz w:val="16"/>
                <w:szCs w:val="16"/>
                <w:color w:val="auto"/>
              </w:rPr>
              <w:t>filer</w:t>
            </w:r>
          </w:p>
        </w:tc>
        <w:tc>
          <w:tcPr>
            <w:tcW w:w="214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reporting company</w:t>
            </w:r>
          </w:p>
        </w:tc>
        <w:tc>
          <w:tcPr>
            <w:tcW w:w="740" w:type="dxa"/>
            <w:vAlign w:val="bottom"/>
            <w:vMerge w:val="continue"/>
          </w:tcPr>
          <w:p>
            <w:pPr>
              <w:spacing w:after="0"/>
              <w:rPr>
                <w:sz w:val="22"/>
                <w:szCs w:val="22"/>
                <w:color w:val="auto"/>
              </w:rPr>
            </w:pPr>
          </w:p>
        </w:tc>
        <w:tc>
          <w:tcPr>
            <w:tcW w:w="1640" w:type="dxa"/>
            <w:vAlign w:val="bottom"/>
          </w:tcPr>
          <w:p>
            <w:pPr>
              <w:ind w:left="300"/>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9" w:lineRule="exact"/>
        <w:rPr>
          <w:sz w:val="24"/>
          <w:szCs w:val="24"/>
          <w:color w:val="auto"/>
        </w:rPr>
      </w:pPr>
    </w:p>
    <w:p>
      <w:pPr>
        <w:ind w:firstLine="44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196"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As of August 5, 2022, 29,550,951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20" w:type="dxa"/>
            <w:vAlign w:val="bottom"/>
            <w:gridSpan w:val="11"/>
          </w:tcPr>
          <w:p>
            <w:pPr>
              <w:jc w:val="center"/>
              <w:ind w:right="1880"/>
              <w:spacing w:after="0"/>
              <w:rPr>
                <w:sz w:val="20"/>
                <w:szCs w:val="20"/>
                <w:color w:val="auto"/>
              </w:rPr>
            </w:pPr>
            <w:r>
              <w:rPr>
                <w:rFonts w:ascii="Arial" w:cs="Arial" w:eastAsia="Arial" w:hAnsi="Arial"/>
                <w:sz w:val="18"/>
                <w:szCs w:val="18"/>
                <w:b w:val="1"/>
                <w:bCs w:val="1"/>
                <w:color w:val="auto"/>
                <w:w w:val="99"/>
              </w:rPr>
              <w:t>THE PENNANT GROUP,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20" w:type="dxa"/>
            <w:vAlign w:val="bottom"/>
            <w:gridSpan w:val="11"/>
          </w:tcPr>
          <w:p>
            <w:pPr>
              <w:jc w:val="center"/>
              <w:ind w:right="1880"/>
              <w:spacing w:after="0"/>
              <w:rPr>
                <w:sz w:val="20"/>
                <w:szCs w:val="20"/>
                <w:color w:val="auto"/>
              </w:rPr>
            </w:pPr>
            <w:r>
              <w:rPr>
                <w:rFonts w:ascii="Arial" w:cs="Arial" w:eastAsia="Arial" w:hAnsi="Arial"/>
                <w:sz w:val="18"/>
                <w:szCs w:val="18"/>
                <w:b w:val="1"/>
                <w:bCs w:val="1"/>
                <w:color w:val="auto"/>
                <w:w w:val="99"/>
              </w:rPr>
              <w:t>QUARTERLY REPORT ON FORM 10-Q</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20" w:type="dxa"/>
            <w:vAlign w:val="bottom"/>
            <w:gridSpan w:val="12"/>
          </w:tcPr>
          <w:p>
            <w:pPr>
              <w:jc w:val="center"/>
              <w:ind w:right="1280"/>
              <w:spacing w:after="0"/>
              <w:rPr>
                <w:sz w:val="20"/>
                <w:szCs w:val="20"/>
                <w:color w:val="auto"/>
              </w:rPr>
            </w:pPr>
            <w:r>
              <w:rPr>
                <w:rFonts w:ascii="Arial" w:cs="Arial" w:eastAsia="Arial" w:hAnsi="Arial"/>
                <w:sz w:val="18"/>
                <w:szCs w:val="18"/>
                <w:b w:val="1"/>
                <w:bCs w:val="1"/>
                <w:color w:val="auto"/>
                <w:w w:val="98"/>
              </w:rPr>
              <w:t>FOR THE THREE AND SIX MONTHS ENDED JUNE 30, 2022</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20" w:type="dxa"/>
            <w:vAlign w:val="bottom"/>
            <w:gridSpan w:val="11"/>
          </w:tcPr>
          <w:p>
            <w:pPr>
              <w:jc w:val="center"/>
              <w:ind w:right="18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80" w:type="dxa"/>
            <w:vAlign w:val="bottom"/>
            <w:gridSpan w:val="2"/>
            <w:vMerge w:val="restart"/>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980" w:type="dxa"/>
            <w:vAlign w:val="bottom"/>
            <w:gridSpan w:val="10"/>
          </w:tcPr>
          <w:p>
            <w:pPr>
              <w:jc w:val="center"/>
              <w:ind w:right="2740"/>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0" w:type="dxa"/>
            <w:vAlign w:val="bottom"/>
          </w:tcPr>
          <w:p>
            <w:pPr>
              <w:spacing w:after="0"/>
              <w:rPr>
                <w:sz w:val="1"/>
                <w:szCs w:val="1"/>
                <w:color w:val="auto"/>
              </w:rPr>
            </w:pPr>
          </w:p>
        </w:tc>
      </w:tr>
      <w:tr>
        <w:trPr>
          <w:trHeight w:val="210"/>
        </w:trPr>
        <w:tc>
          <w:tcPr>
            <w:tcW w:w="5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720" w:type="dxa"/>
            <w:vAlign w:val="bottom"/>
            <w:gridSpan w:val="7"/>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240" w:type="dxa"/>
            <w:vAlign w:val="bottom"/>
            <w:tcBorders>
              <w:top w:val="single" w:sz="8" w:color="0000FF"/>
            </w:tcBorders>
            <w:gridSpan w:val="5"/>
          </w:tcPr>
          <w:p>
            <w:pPr>
              <w:spacing w:after="0"/>
              <w:rPr>
                <w:sz w:val="18"/>
                <w:szCs w:val="18"/>
                <w:color w:val="auto"/>
              </w:rPr>
            </w:pPr>
          </w:p>
        </w:tc>
        <w:tc>
          <w:tcPr>
            <w:tcW w:w="27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2022 and December 31, 2021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and six months ended June 30, 2022 and 2021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0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Stockholders’ Equity for the three and six months ended June 30, 2022 and 2021</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six months ended June 30, 2022 and 2021</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300" w:type="dxa"/>
            <w:vAlign w:val="bottom"/>
            <w:tcBorders>
              <w:top w:val="single" w:sz="8" w:color="0000FF"/>
            </w:tcBorders>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Condensed Consolidated Financial Statements</w:t>
              </w:r>
            </w:hyperlink>
          </w:p>
        </w:tc>
        <w:tc>
          <w:tcPr>
            <w:tcW w:w="14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Item 2.</w:t>
              </w:r>
            </w:hyperlink>
          </w:p>
        </w:tc>
        <w:tc>
          <w:tcPr>
            <w:tcW w:w="480" w:type="dxa"/>
            <w:vAlign w:val="bottom"/>
            <w:gridSpan w:val="2"/>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700" w:type="dxa"/>
            <w:vAlign w:val="bottom"/>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3.</w:t>
              </w:r>
            </w:hyperlink>
          </w:p>
        </w:tc>
        <w:tc>
          <w:tcPr>
            <w:tcW w:w="480" w:type="dxa"/>
            <w:vAlign w:val="bottom"/>
            <w:gridSpan w:val="2"/>
          </w:tcPr>
          <w:p>
            <w:pPr>
              <w:spacing w:after="0"/>
              <w:rPr>
                <w:sz w:val="21"/>
                <w:szCs w:val="21"/>
                <w:color w:val="auto"/>
              </w:rPr>
            </w:pPr>
          </w:p>
        </w:tc>
        <w:tc>
          <w:tcPr>
            <w:tcW w:w="6440" w:type="dxa"/>
            <w:vAlign w:val="bottom"/>
            <w:tcBorders>
              <w:top w:val="single" w:sz="8" w:color="0000FF"/>
            </w:tcBorders>
            <w:gridSpan w:val="1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22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4.</w:t>
              </w:r>
            </w:hyperlink>
          </w:p>
        </w:tc>
        <w:tc>
          <w:tcPr>
            <w:tcW w:w="480" w:type="dxa"/>
            <w:vAlign w:val="bottom"/>
            <w:gridSpan w:val="2"/>
          </w:tcPr>
          <w:p>
            <w:pPr>
              <w:spacing w:after="0"/>
              <w:rPr>
                <w:sz w:val="20"/>
                <w:szCs w:val="20"/>
                <w:color w:val="auto"/>
              </w:rPr>
            </w:pPr>
          </w:p>
        </w:tc>
        <w:tc>
          <w:tcPr>
            <w:tcW w:w="4360" w:type="dxa"/>
            <w:vAlign w:val="bottom"/>
            <w:tcBorders>
              <w:top w:val="single" w:sz="8" w:color="0000FF"/>
            </w:tcBorders>
            <w:gridSpan w:val="1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43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980" w:type="dxa"/>
            <w:vAlign w:val="bottom"/>
            <w:gridSpan w:val="10"/>
          </w:tcPr>
          <w:p>
            <w:pPr>
              <w:jc w:val="center"/>
              <w:ind w:right="2740"/>
              <w:spacing w:after="0"/>
              <w:rPr>
                <w:rFonts w:ascii="Arial" w:cs="Arial" w:eastAsia="Arial" w:hAnsi="Arial"/>
                <w:sz w:val="18"/>
                <w:szCs w:val="18"/>
                <w:b w:val="1"/>
                <w:bCs w:val="1"/>
                <w:color w:val="0000FF"/>
                <w:w w:val="96"/>
              </w:rPr>
            </w:pPr>
            <w:hyperlink w:anchor="page45">
              <w:r>
                <w:rPr>
                  <w:rFonts w:ascii="Arial" w:cs="Arial" w:eastAsia="Arial" w:hAnsi="Arial"/>
                  <w:sz w:val="18"/>
                  <w:szCs w:val="18"/>
                  <w:b w:val="1"/>
                  <w:bCs w:val="1"/>
                  <w:color w:val="0000FF"/>
                  <w:w w:val="96"/>
                </w:rPr>
                <w:t>Part II. Other Information</w:t>
              </w:r>
            </w:hyperlink>
          </w:p>
        </w:tc>
        <w:tc>
          <w:tcPr>
            <w:tcW w:w="0" w:type="dxa"/>
            <w:vAlign w:val="bottom"/>
          </w:tcPr>
          <w:p>
            <w:pPr>
              <w:spacing w:after="0"/>
              <w:rPr>
                <w:sz w:val="1"/>
                <w:szCs w:val="1"/>
                <w:color w:val="auto"/>
              </w:rPr>
            </w:pPr>
          </w:p>
        </w:tc>
      </w:tr>
      <w:tr>
        <w:trPr>
          <w:trHeight w:val="257"/>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480" w:type="dxa"/>
            <w:vAlign w:val="bottom"/>
            <w:gridSpan w:val="2"/>
          </w:tcPr>
          <w:p>
            <w:pPr>
              <w:spacing w:after="0"/>
              <w:rPr>
                <w:sz w:val="22"/>
                <w:szCs w:val="22"/>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Legal Proceedings</w:t>
              </w:r>
            </w:hyperlink>
          </w:p>
        </w:tc>
        <w:tc>
          <w:tcPr>
            <w:tcW w:w="2480" w:type="dxa"/>
            <w:vAlign w:val="bottom"/>
            <w:gridSpan w:val="4"/>
          </w:tcPr>
          <w:p>
            <w:pPr>
              <w:spacing w:after="0"/>
              <w:rPr>
                <w:sz w:val="22"/>
                <w:szCs w:val="22"/>
                <w:color w:val="auto"/>
              </w:rPr>
            </w:pPr>
          </w:p>
        </w:tc>
        <w:tc>
          <w:tcPr>
            <w:tcW w:w="2040" w:type="dxa"/>
            <w:vAlign w:val="bottom"/>
            <w:tcBorders>
              <w:top w:val="single" w:sz="8" w:color="0000FF"/>
            </w:tcBorders>
            <w:gridSpan w:val="3"/>
          </w:tcPr>
          <w:p>
            <w:pPr>
              <w:spacing w:after="0"/>
              <w:rPr>
                <w:sz w:val="22"/>
                <w:szCs w:val="22"/>
                <w:color w:val="auto"/>
              </w:rPr>
            </w:pPr>
          </w:p>
        </w:tc>
        <w:tc>
          <w:tcPr>
            <w:tcW w:w="28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870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0" w:type="dxa"/>
            <w:vAlign w:val="bottom"/>
          </w:tcPr>
          <w:p>
            <w:pPr>
              <w:spacing w:after="0"/>
              <w:rPr>
                <w:sz w:val="1"/>
                <w:szCs w:val="1"/>
                <w:color w:val="auto"/>
              </w:rPr>
            </w:pPr>
          </w:p>
        </w:tc>
      </w:tr>
      <w:tr>
        <w:trPr>
          <w:trHeight w:val="23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6.</w:t>
              </w:r>
            </w:hyperlink>
          </w:p>
        </w:tc>
        <w:tc>
          <w:tcPr>
            <w:tcW w:w="1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Borders>
              <w:top w:val="single" w:sz="8" w:color="0000FF"/>
            </w:tcBorders>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780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940" w:type="dxa"/>
            <w:vAlign w:val="bottom"/>
            <w:gridSpan w:val="1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00" w:type="dxa"/>
            <w:vAlign w:val="bottom"/>
            <w:gridSpan w:val="1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1195705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p>
      <w:pPr>
        <w:spacing w:after="0" w:line="63"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23</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43</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43</w:t>
        </w:r>
      </w:hyperlink>
    </w:p>
    <w:p>
      <w:pPr>
        <w:spacing w:after="0" w:line="356" w:lineRule="exact"/>
        <w:rPr>
          <w:sz w:val="20"/>
          <w:szCs w:val="20"/>
          <w:color w:val="auto"/>
        </w:rPr>
      </w:pPr>
    </w:p>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44</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44</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46</w:t>
        </w:r>
      </w:hyperlink>
    </w:p>
    <w:p>
      <w:pPr>
        <w:sectPr>
          <w:pgSz w:w="11900" w:h="16838" w:orient="portrait"/>
          <w:cols w:equalWidth="0" w:num="2">
            <w:col w:w="10160" w:space="720"/>
            <w:col w:w="180"/>
          </w:cols>
          <w:pgMar w:left="320" w:top="368" w:right="5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I.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par value)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40" w:type="dxa"/>
            <w:vAlign w:val="bottom"/>
          </w:tcPr>
          <w:p>
            <w:pPr>
              <w:ind w:left="14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Accounts receivable—less allowance for doubtful accounts of $974 and $902, respectively</w:t>
            </w:r>
          </w:p>
        </w:tc>
        <w:tc>
          <w:tcPr>
            <w:tcW w:w="3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53,940</w:t>
            </w:r>
          </w:p>
        </w:tc>
        <w:tc>
          <w:tcPr>
            <w:tcW w:w="0" w:type="dxa"/>
            <w:vAlign w:val="bottom"/>
          </w:tcPr>
          <w:p>
            <w:pPr>
              <w:spacing w:after="0"/>
              <w:rPr>
                <w:sz w:val="1"/>
                <w:szCs w:val="1"/>
                <w:color w:val="auto"/>
              </w:rPr>
            </w:pPr>
          </w:p>
        </w:tc>
      </w:tr>
      <w:tr>
        <w:trPr>
          <w:trHeight w:val="27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75,841</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300,997</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and other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74,265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indefinite-lived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0" w:type="dxa"/>
            <w:vAlign w:val="bottom"/>
          </w:tcPr>
          <w:p>
            <w:pPr>
              <w:spacing w:after="0"/>
              <w:rPr>
                <w:sz w:val="1"/>
                <w:szCs w:val="1"/>
                <w:color w:val="auto"/>
              </w:rPr>
            </w:pP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530,297</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w:t>
            </w: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Accrued wages and related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23,480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liabilities—current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21,484</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Long-term operating lease liabilities—less current portion</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244,620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287,753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 net</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51,372</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416,053</w:t>
            </w:r>
          </w:p>
        </w:tc>
        <w:tc>
          <w:tcPr>
            <w:tcW w:w="0" w:type="dxa"/>
            <w:vAlign w:val="bottom"/>
          </w:tcPr>
          <w:p>
            <w:pPr>
              <w:spacing w:after="0"/>
              <w:rPr>
                <w:sz w:val="1"/>
                <w:szCs w:val="1"/>
                <w:color w:val="auto"/>
              </w:rPr>
            </w:pPr>
          </w:p>
        </w:tc>
      </w:tr>
      <w:tr>
        <w:trPr>
          <w:trHeight w:val="209"/>
        </w:trPr>
        <w:tc>
          <w:tcPr>
            <w:tcW w:w="71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140"/>
              <w:spacing w:after="0" w:line="176" w:lineRule="exact"/>
              <w:rPr>
                <w:sz w:val="20"/>
                <w:szCs w:val="20"/>
                <w:color w:val="auto"/>
              </w:rPr>
            </w:pPr>
            <w:r>
              <w:rPr>
                <w:rFonts w:ascii="Arial" w:cs="Arial" w:eastAsia="Arial" w:hAnsi="Arial"/>
                <w:sz w:val="18"/>
                <w:szCs w:val="18"/>
                <w:color w:val="auto"/>
                <w:w w:val="91"/>
              </w:rPr>
              <w:t>Common stock, $0.001 par value; 100,000 shares authorized; 28,886 and 28,601 shares issued</w:t>
            </w: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140"/>
              <w:spacing w:after="0" w:line="176" w:lineRule="exact"/>
              <w:rPr>
                <w:sz w:val="20"/>
                <w:szCs w:val="20"/>
                <w:color w:val="auto"/>
              </w:rPr>
            </w:pPr>
            <w:r>
              <w:rPr>
                <w:rFonts w:ascii="Arial" w:cs="Arial" w:eastAsia="Arial" w:hAnsi="Arial"/>
                <w:sz w:val="18"/>
                <w:szCs w:val="18"/>
                <w:color w:val="auto"/>
                <w:w w:val="96"/>
              </w:rPr>
              <w:t>and outstanding, respectively, at June 30, 2022; and 28,826 and 28,499 shares issued and</w:t>
            </w:r>
          </w:p>
        </w:tc>
        <w:tc>
          <w:tcPr>
            <w:tcW w:w="30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outstanding, respectively, at December 31, 2021</w:t>
            </w:r>
          </w:p>
        </w:tc>
        <w:tc>
          <w:tcPr>
            <w:tcW w:w="30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95,595</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14,641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3 shares at June 30, 2022 and December 31, 2021</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Pennant Group, Inc. stockholders’ equity</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110,199</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530,297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for per-share amounts)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216,008</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182,978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170,289</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Rent—cost of services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18,071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Loss on asset dispositions and impairment,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231,015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210,826</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55"/>
        </w:trPr>
        <w:tc>
          <w:tcPr>
            <w:tcW w:w="496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Net (loss) income and other comprehensive (loss) income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attributable to The Pennant Group, Inc.</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28,324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30,785</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84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Arial" w:cs="Arial" w:eastAsia="Arial" w:hAnsi="Arial"/>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114,244</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Non-</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Net loss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Non-</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117,987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780" w:type="dxa"/>
            <w:vAlign w:val="bottom"/>
          </w:tcPr>
          <w:p>
            <w:pPr>
              <w:spacing w:after="0"/>
              <w:rPr>
                <w:sz w:val="24"/>
                <w:szCs w:val="24"/>
                <w:color w:val="auto"/>
              </w:rPr>
            </w:pPr>
          </w:p>
        </w:tc>
        <w:tc>
          <w:tcPr>
            <w:tcW w:w="184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Arial" w:cs="Arial" w:eastAsia="Arial" w:hAnsi="Arial"/>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101,172</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104,719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8"/>
              </w:rPr>
              <w:t>Net income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109,982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3,382</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income to net cash provided by (used in)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2,345</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4,820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4,915</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 net of acquisitions: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(7,049)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(7,221)</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obligations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wages and related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Other accrued liabilities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7,832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2,328</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Contract liabilities (CARES Act advance payments)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long-term liabilities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r>
      <w:tr>
        <w:trPr>
          <w:trHeight w:val="212"/>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4,899</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(11,806)</w:t>
            </w:r>
          </w:p>
        </w:tc>
      </w:tr>
      <w:tr>
        <w:trPr>
          <w:trHeight w:val="19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Cash payments for business acquisitions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(12,800)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06"/>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(15,477)</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41,000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70,500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Revolving Credit Facility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(39,500)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(39,500)</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Payments for deferred financing costs</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(1,394)</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upon the exercise of options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30,119</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beginning of period</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Cash paid during the period for: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240"/>
              <w:spacing w:after="0"/>
              <w:rPr>
                <w:sz w:val="20"/>
                <w:szCs w:val="20"/>
                <w:color w:val="auto"/>
              </w:rPr>
            </w:pPr>
            <w:r>
              <w:rPr>
                <w:rFonts w:ascii="Arial" w:cs="Arial" w:eastAsia="Arial" w:hAnsi="Arial"/>
                <w:sz w:val="16"/>
                <w:szCs w:val="16"/>
                <w:color w:val="auto"/>
              </w:rPr>
              <w:t>Income taxes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140"/>
              <w:spacing w:after="0"/>
              <w:rPr>
                <w:sz w:val="20"/>
                <w:szCs w:val="20"/>
                <w:color w:val="auto"/>
              </w:rPr>
            </w:pPr>
            <w:r>
              <w:rPr>
                <w:rFonts w:ascii="Arial" w:cs="Arial" w:eastAsia="Arial" w:hAnsi="Arial"/>
                <w:sz w:val="16"/>
                <w:szCs w:val="16"/>
                <w:color w:val="auto"/>
              </w:rPr>
              <w:t>Right-of-use assets obtained in exchange for new operating lease obligations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Non-cash adjustment to right-of-use assets and lease liabilities from lease modifications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140"/>
              <w:spacing w:after="0"/>
              <w:rPr>
                <w:sz w:val="20"/>
                <w:szCs w:val="20"/>
                <w:color w:val="auto"/>
              </w:rPr>
            </w:pPr>
            <w:r>
              <w:rPr>
                <w:rFonts w:ascii="Arial" w:cs="Arial" w:eastAsia="Arial" w:hAnsi="Arial"/>
                <w:sz w:val="16"/>
                <w:szCs w:val="16"/>
                <w:color w:val="auto"/>
              </w:rPr>
              <w:t>Non-cash adjustment to right-of-use assets and lease liabilities from lease terminations and assignments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(42,515)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investing activity:</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8180" w:type="dxa"/>
            <w:vAlign w:val="bottom"/>
          </w:tcPr>
          <w:p>
            <w:pPr>
              <w:ind w:left="240"/>
              <w:spacing w:after="0"/>
              <w:rPr>
                <w:sz w:val="20"/>
                <w:szCs w:val="20"/>
                <w:color w:val="auto"/>
              </w:rPr>
            </w:pPr>
            <w:r>
              <w:rPr>
                <w:rFonts w:ascii="Arial" w:cs="Arial" w:eastAsia="Arial" w:hAnsi="Arial"/>
                <w:sz w:val="16"/>
                <w:szCs w:val="16"/>
                <w:color w:val="auto"/>
              </w:rPr>
              <w:t>Capital expenditures in accounts payable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June 30, 2022, the Company’s subsidiaries operated 89 home health, hospice and home care agencies and 48 senior living communities located in Arizona, California, Colorado, Idaho, Iowa, Montana, Nevada, Oklahoma, Oregon, Texas, Utah, Washington, Wisconsin and Wyoming.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unaudited condensed consolidated financial statements of the Company (the “Interim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Condensed Consolidated Balance Sheet as of December 31, 2021 is derived from the Company’s annual audited Consolidated Financial Statements for the fiscal year ended December 31, 2021,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significant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(loss) income that is attributable to the Company and the noncontrolling interest in its Condensed Consolidated Statements of Income.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quarter amounts have been reclassified for consistency with the current period presentation. These reclassifications had no effect on the reported results of operations in the current period or prior period.</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Interim Financial Statements in conformity with GAAP requires management to make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The Coronavirus Aid, Relief, and Economic Security Act (the “CARES Act”) was enacted on March 27, 2020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CARES Act allowed for deferred payment of the employer-paid portion of social security taxes through the end of 2020, with 50% due on December 31, 2021 and the remainder due on December 31, 2022. The Company deferred approximately $7,836 of the employer-paid portion of social security taxes, of which $4,129 remains as of June 30, 2022 and is included in current liabilities in accrued wages and related liabilities. The CARES Act also expanded the Centers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Medicare &amp; Medicaid Services’ (“CMS”) ability to provide accelerated/advance payments intended to increase the cash flow of healthcare providers and suppliers impacted by COVID-19. During 2020, the Company applied for and received $27,997 in funds under the Accelerated and Advance Payment (“AAP”) Program, all of which has been recouped as of since the start of repayment in 2021 through June 30,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TRANSACTIONS WITH ENSIGN</w:t>
      </w:r>
    </w:p>
    <w:p>
      <w:pPr>
        <w:spacing w:after="0" w:line="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 2019, The Ensign Group, Inc. (“Ensign”) completed the separation of Pennant (the “Spin-Off”). In connection with the Spin-Off, Pennant entered into several agreements with Ensign that set forth the principal actions taken or to be taken in connection with the Spin-Off and govern the relationship of the parties following the Spin-Off. The Transitions Services Agreement with Ensign (the “Transition Services Agreement”) provided Pennant primarily administrative support. The Transitions Services Agreement expired two years from the Spin-Off date. The Company incurred costs of $458 and $1,101 for the three and six months ended June 30, 2022 and $747 and $1,735 for the three and six months ended June 30, 2021, respectively that related primarily to shared administrative support and other services at proximate operations.</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Services included in cost of services were $648 and $1,223 for the three and six months ended June 30, 2022 and $749 and $1,617 for the three and six months ended June 30, 2021, respectively, that related primarily to room and board charges at skilled nursing facilities for hospice patients. Additionally, the Company’s independent operating subsidiaries leased 29 and 31 communities from subsidiaries of Ensign under a master lease arrangement as of June 30, 2022 and June 30, 2021, respectively. See further discussion below at Note 8,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January 27, 2022, affiliates of the Company, entered into certain operations transfer agreements (collectively, the “Transfer Agreements”) with affiliates of Ensign, providing for the transfer of the operations of five senior living communities (the “Transaction”). The Transfer Agreements require one of the transferors to place in escrow $6.5 million to cover post-closing capital expenditures and operating losses related to one of the communities, such escrow is funded by an initial payment by the transferor at closing followed by eight equal monthly installments. The Transaction closed in April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COMPUTATION OF NET (LOSS) INCOME PER COMMON SHARE</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(loss) income per share is computed by dividing net (loss) income attributable to stockholders of the Company by the weighted average number of outstanding common shares for the period. The computation of diluted net (loss) income per share is similar to the computation of basic net (loss)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following table sets forth the computation of basic and diluted net (loss) income per share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Three Months Ended June 30,</w:t>
            </w:r>
          </w:p>
        </w:tc>
        <w:tc>
          <w:tcPr>
            <w:tcW w:w="140" w:type="dxa"/>
            <w:vAlign w:val="bottom"/>
          </w:tcPr>
          <w:p>
            <w:pPr>
              <w:spacing w:after="0"/>
              <w:rPr>
                <w:sz w:val="20"/>
                <w:szCs w:val="20"/>
                <w:color w:val="auto"/>
              </w:rPr>
            </w:pPr>
          </w:p>
        </w:tc>
        <w:tc>
          <w:tcPr>
            <w:tcW w:w="23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6260" w:type="dxa"/>
            <w:vAlign w:val="bottom"/>
          </w:tcPr>
          <w:p>
            <w:pPr>
              <w:ind w:left="480"/>
              <w:spacing w:after="0"/>
              <w:rPr>
                <w:sz w:val="20"/>
                <w:szCs w:val="20"/>
                <w:color w:val="auto"/>
              </w:rPr>
            </w:pPr>
            <w:r>
              <w:rPr>
                <w:rFonts w:ascii="Arial" w:cs="Arial" w:eastAsia="Arial" w:hAnsi="Arial"/>
                <w:sz w:val="18"/>
                <w:szCs w:val="18"/>
                <w:color w:val="auto"/>
              </w:rPr>
              <w:t>Net (loss) income attributable to The Pennant Group, Inc.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for basic net (loss)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0" w:type="dxa"/>
            <w:vAlign w:val="bottom"/>
          </w:tcPr>
          <w:p>
            <w:pPr>
              <w:spacing w:after="0"/>
              <w:rPr>
                <w:sz w:val="1"/>
                <w:szCs w:val="1"/>
                <w:color w:val="auto"/>
              </w:rPr>
            </w:pPr>
          </w:p>
        </w:tc>
      </w:tr>
      <w:tr>
        <w:trPr>
          <w:trHeight w:val="176"/>
        </w:trPr>
        <w:tc>
          <w:tcPr>
            <w:tcW w:w="6260" w:type="dxa"/>
            <w:vAlign w:val="bottom"/>
          </w:tcPr>
          <w:p>
            <w:pPr>
              <w:ind w:left="140"/>
              <w:spacing w:after="0" w:line="176" w:lineRule="exact"/>
              <w:rPr>
                <w:sz w:val="20"/>
                <w:szCs w:val="20"/>
                <w:color w:val="auto"/>
              </w:rPr>
            </w:pPr>
            <w:r>
              <w:rPr>
                <w:rFonts w:ascii="Arial" w:cs="Arial" w:eastAsia="Arial" w:hAnsi="Arial"/>
                <w:sz w:val="18"/>
                <w:szCs w:val="18"/>
                <w:color w:val="auto"/>
                <w:w w:val="90"/>
              </w:rPr>
              <w:t>Plus: assumed incremental shares from exercise of options and assumed conversion</w:t>
            </w:r>
          </w:p>
        </w:tc>
        <w:tc>
          <w:tcPr>
            <w:tcW w:w="26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line="230" w:lineRule="exact"/>
              <w:rPr>
                <w:sz w:val="20"/>
                <w:szCs w:val="20"/>
                <w:color w:val="auto"/>
              </w:rPr>
            </w:pPr>
            <w:r>
              <w:rPr>
                <w:rFonts w:ascii="Arial" w:cs="Arial" w:eastAsia="Arial" w:hAnsi="Arial"/>
                <w:sz w:val="18"/>
                <w:szCs w:val="18"/>
                <w:color w:val="auto"/>
              </w:rPr>
              <w:t>or vesting of restricted stock</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260" w:type="dxa"/>
            <w:vAlign w:val="bottom"/>
            <w:tcBorders>
              <w:top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w w:val="92"/>
              </w:rPr>
              <w:t>Adjusted weighted average common shares outstanding for diluted income per</w:t>
            </w: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28,605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30,647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28,589</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30,785</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Basic net (loss)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net (loss) income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80" w:right="40" w:hanging="454"/>
        <w:spacing w:after="0" w:line="273" w:lineRule="auto"/>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diluted per share amounts do not reflect common equivalent shares outstanding of 3,832 and 3,806 for the three and six months ended June 30, 2022 and 484 and 380 for the three and six months ended June 30, 2021, respectively, because of their anti-dilutive effect.</w:t>
      </w:r>
    </w:p>
    <w:p>
      <w:pPr>
        <w:spacing w:after="0" w:line="120" w:lineRule="exact"/>
        <w:rPr>
          <w:rFonts w:ascii="Arial" w:cs="Arial" w:eastAsia="Arial" w:hAnsi="Arial"/>
          <w:sz w:val="14"/>
          <w:szCs w:val="14"/>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ACCOUNTS RECEIVABLE</w:t>
      </w:r>
    </w:p>
    <w:p>
      <w:pPr>
        <w:spacing w:after="0" w:line="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is recognized when services are provided to the patients at the amount that reflects the consideration to which the Company expects to be entitled from patients and third-party payors, including Medicaid, Medicare and managed care programs (Commercial, Medicare Advantage and Managed Medicaid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the Medicare and Medicaid programs accounted for 62.8% and 62.4% of the Company’s revenue, for the three and six months ended June 30, 2022, and 61.7% and 62.8% for the three and six months ended June 30, 2021,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Revenue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Non-Medicare Revenue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Episodic Based Revenue - </w:t>
      </w:r>
      <w:r>
        <w:rPr>
          <w:rFonts w:ascii="Arial" w:cs="Arial" w:eastAsia="Arial" w:hAnsi="Arial"/>
          <w:sz w:val="17"/>
          <w:szCs w:val="17"/>
          <w:color w:val="auto"/>
        </w:rPr>
        <w:t>The Company recognizes revenue in a similar manner as it recognizes Medicare revenue for episodic-based rates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paid by other insurance carriers, including Medicare Advantage programs. These rates can vary based upon the negotiated terms.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Non-episodic Based Revenue - </w:t>
      </w:r>
      <w:r>
        <w:rPr>
          <w:rFonts w:ascii="Arial" w:cs="Arial" w:eastAsia="Arial" w:hAnsi="Arial"/>
          <w:sz w:val="18"/>
          <w:szCs w:val="18"/>
          <w:color w:val="auto"/>
        </w:rPr>
        <w:t>Revenue is recognized on an accrual basis based upon the date of service at amounts equal to its established 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per visit rates, as applicable.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Revenue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Living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elected the lessor practical expedient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for its senior residency agreements, for which it has determined that the non-lease components of such residency agreements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component of each such contract.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three months ended June 30, 2022 and 2021,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180"/>
              <w:spacing w:after="0"/>
              <w:rPr>
                <w:sz w:val="20"/>
                <w:szCs w:val="20"/>
                <w:color w:val="auto"/>
              </w:rPr>
            </w:pPr>
            <w:r>
              <w:rPr>
                <w:rFonts w:ascii="Arial" w:cs="Arial" w:eastAsia="Arial" w:hAnsi="Arial"/>
                <w:sz w:val="18"/>
                <w:szCs w:val="18"/>
                <w:b w:val="1"/>
                <w:bCs w:val="1"/>
                <w:color w:val="auto"/>
              </w:rPr>
              <w:t>Three Months Ended June 30, 2022</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57,698</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73,041</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27,862</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Private and other payors in the Company’s home health and hospice services segment includes revenue from all payors generated in the Company’s home care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1160"/>
              <w:spacing w:after="0"/>
              <w:rPr>
                <w:sz w:val="20"/>
                <w:szCs w:val="20"/>
                <w:color w:val="auto"/>
              </w:rPr>
            </w:pPr>
            <w:r>
              <w:rPr>
                <w:rFonts w:ascii="Arial" w:cs="Arial" w:eastAsia="Arial" w:hAnsi="Arial"/>
                <w:sz w:val="18"/>
                <w:szCs w:val="18"/>
                <w:b w:val="1"/>
                <w:bCs w:val="1"/>
                <w:color w:val="auto"/>
              </w:rPr>
              <w:t>Three Months Ended June 30, 2021</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53,801</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68,038</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80" w:hanging="454"/>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Private and other payors in the Company’s home health and hospice services segment includes revenue from all payors generated in the Company’s home care operations.</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six months ended June 30, 2022 and 2021,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280"/>
              <w:spacing w:after="0"/>
              <w:rPr>
                <w:sz w:val="20"/>
                <w:szCs w:val="20"/>
                <w:color w:val="auto"/>
              </w:rPr>
            </w:pPr>
            <w:r>
              <w:rPr>
                <w:rFonts w:ascii="Arial" w:cs="Arial" w:eastAsia="Arial" w:hAnsi="Arial"/>
                <w:sz w:val="18"/>
                <w:szCs w:val="18"/>
                <w:b w:val="1"/>
                <w:bCs w:val="1"/>
                <w:color w:val="auto"/>
              </w:rPr>
              <w:t>Six Months Ended June 30, 2022</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44,821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67,955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112,776</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75,079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143,513</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57,264</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80" w:hanging="454"/>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Private and other payors in the Company’s home health and hospice services segment includes revenue from all payors generated in the Company’s home care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1280"/>
              <w:spacing w:after="0"/>
              <w:rPr>
                <w:sz w:val="20"/>
                <w:szCs w:val="20"/>
                <w:color w:val="auto"/>
              </w:rPr>
            </w:pPr>
            <w:r>
              <w:rPr>
                <w:rFonts w:ascii="Arial" w:cs="Arial" w:eastAsia="Arial" w:hAnsi="Arial"/>
                <w:sz w:val="18"/>
                <w:szCs w:val="18"/>
                <w:b w:val="1"/>
                <w:bCs w:val="1"/>
                <w:color w:val="auto"/>
              </w:rPr>
              <w:t>Six Months Ended June 30, 2021</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40,828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66,712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107,540</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135,630</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56,399</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Private and other payors in the Company’s home health and hospice services segment includes revenue from all payors generated in the Company’s home care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as of June 30, 2022 and December 31, 2021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December 31, 2021</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Medicaid</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10,225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11,793</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and other</w:t>
            </w:r>
          </w:p>
        </w:tc>
        <w:tc>
          <w:tcPr>
            <w:tcW w:w="1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gross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54,842</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780" w:type="dxa"/>
            <w:vAlign w:val="bottom"/>
            <w:tcBorders>
              <w:bottom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Credit Risk</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75.0% and 78.6% of its total gross accounts receivable as of June 30, 2022 and December 31, 2021, respectively. Revenue from reimbursement under the Medicare and Medicaid programs accounted for 62.8% and 62.4% for the three and six months ended June 30, 2022, and 61.7% and 62.8% of the Company’s revenue for the three and six months ended June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6"/>
          <w:szCs w:val="16"/>
          <w:i w:val="1"/>
          <w:iCs w:val="1"/>
          <w:color w:val="auto"/>
        </w:rPr>
        <w:t>Other Assets and Deferred Costs</w:t>
      </w:r>
      <w:r>
        <w:rPr>
          <w:rFonts w:ascii="Arial" w:cs="Arial" w:eastAsia="Arial" w:hAnsi="Arial"/>
          <w:sz w:val="16"/>
          <w:szCs w:val="16"/>
          <w:color w:val="auto"/>
        </w:rPr>
        <w:t xml:space="preserve"> (“ASC 340”), and all incremental customer contract acquisition costs are expensed as they are incurred because the amortization period would have been one year or less.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reports an “all other” category that includes general and administrative expense from the Company’s Service Center.</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2022, the Company provided services through 89 affiliated home health, hospice and home care agencies, and 48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(5) the loss related to senior living operations transferred to Ensign, and (6) net income (loss) attributable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The following tables present certain financial information regarding the Company’s reportable segments, general and administrative expenses are not allocated to the reportable segments and are included in “All Other” for the three and six months ended June 30, 2022 and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9"/>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85,344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30,972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116,316</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165,819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64,407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230,226</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31,863</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(12,466)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34,842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following table provides a reconciliation of Segment Adjusted EBITDAR from Operations to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180" w:type="dxa"/>
            <w:vAlign w:val="bottom"/>
          </w:tcPr>
          <w:p>
            <w:pPr>
              <w:spacing w:after="0"/>
              <w:rPr>
                <w:sz w:val="20"/>
                <w:szCs w:val="20"/>
                <w:color w:val="auto"/>
              </w:rPr>
            </w:pPr>
          </w:p>
        </w:tc>
        <w:tc>
          <w:tcPr>
            <w:tcW w:w="24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5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16,629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34,842</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29"/>
        </w:trPr>
        <w:tc>
          <w:tcPr>
            <w:tcW w:w="5940" w:type="dxa"/>
            <w:vAlign w:val="bottom"/>
          </w:tcPr>
          <w:p>
            <w:pPr>
              <w:ind w:left="480"/>
              <w:spacing w:after="0"/>
              <w:rPr>
                <w:sz w:val="20"/>
                <w:szCs w:val="20"/>
                <w:color w:val="auto"/>
              </w:rPr>
            </w:pPr>
            <w:r>
              <w:rPr>
                <w:rFonts w:ascii="Arial" w:cs="Arial" w:eastAsia="Arial" w:hAnsi="Arial"/>
                <w:sz w:val="18"/>
                <w:szCs w:val="18"/>
                <w:color w:val="auto"/>
              </w:rPr>
              <w:t>Rent—cost of services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20,121</w:t>
            </w:r>
          </w:p>
        </w:tc>
      </w:tr>
      <w:tr>
        <w:trPr>
          <w:trHeight w:val="230"/>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5940" w:type="dxa"/>
            <w:vAlign w:val="bottom"/>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4,915</w:t>
            </w:r>
          </w:p>
        </w:tc>
      </w:tr>
      <w:tr>
        <w:trPr>
          <w:trHeight w:val="230"/>
        </w:trPr>
        <w:tc>
          <w:tcPr>
            <w:tcW w:w="59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940" w:type="dxa"/>
            <w:vAlign w:val="bottom"/>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59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Loss related to senior living operations transferred to Ensign</w:t>
            </w:r>
            <w:r>
              <w:rPr>
                <w:rFonts w:ascii="Arial" w:cs="Arial" w:eastAsia="Arial" w:hAnsi="Arial"/>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Net income (loss) attributable to noncontrolling interest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(Loss) Income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related costs related to business combinations during the periods.</w:t>
      </w:r>
    </w:p>
    <w:p>
      <w:pPr>
        <w:spacing w:after="0" w:line="55" w:lineRule="exact"/>
        <w:rPr>
          <w:sz w:val="20"/>
          <w:szCs w:val="20"/>
          <w:color w:val="auto"/>
        </w:rPr>
      </w:pPr>
    </w:p>
    <w:p>
      <w:pPr>
        <w:jc w:val="both"/>
        <w:ind w:left="480" w:right="360" w:hanging="323"/>
        <w:spacing w:after="0" w:line="257" w:lineRule="auto"/>
        <w:rPr>
          <w:sz w:val="20"/>
          <w:szCs w:val="20"/>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$458 and $1,101 for the three and six months ended June 30, 2022, and $747 and $1,735 for the three and six months ended June 30, 2021.</w:t>
      </w:r>
    </w:p>
    <w:p>
      <w:pPr>
        <w:spacing w:after="0" w:line="23" w:lineRule="exact"/>
        <w:rPr>
          <w:sz w:val="20"/>
          <w:szCs w:val="20"/>
          <w:color w:val="auto"/>
        </w:rPr>
      </w:pPr>
    </w:p>
    <w:p>
      <w:pPr>
        <w:jc w:val="both"/>
        <w:ind w:left="480" w:right="340" w:hanging="323"/>
        <w:spacing w:after="0" w:line="247" w:lineRule="auto"/>
        <w:rPr>
          <w:sz w:val="20"/>
          <w:szCs w:val="20"/>
          <w:color w:val="auto"/>
        </w:rPr>
      </w:pPr>
      <w:r>
        <w:rPr>
          <w:rFonts w:ascii="Arial" w:cs="Arial" w:eastAsia="Arial" w:hAnsi="Arial"/>
          <w:sz w:val="14"/>
          <w:szCs w:val="14"/>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three and six months ended June 30, 2022 to cover post-closing capital expenditures and operating losses related to one of the communities transferred on April 1, 2022. The amount above also includes $191 and $(566) for the three and six months ended June 30, 2022, respectively, for the related net impact on revenue and cost of service attributable to the transferred entities. This amount excludes rent and depreciation and amortization expense related to such operations.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5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2022, the Company expanded its operations with the addition of one home health agency. The purchase price for this acquisition was $775.</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fair value of assets for the Company’s home health acquisition was mostly concentrated in goodwill and intangible assets and as such, this transaction was classified as business combination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The purchase price for the business combination was $775, which consisted of equipment and other assets of $11, goodwill of $520, and indefinite-lived intangible assets of $244 related to Medicare and Medicaid licenses. The Company anticipates that the total goodwill recognized will be fully deductible for tax purposes. There were no material acquisition costs that were expensed related to the business combination during the six months ended 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2021, the Company expanded its operations with the addition of five home health and three hospice and two home care agencies. The aggregate purchase price for these acquisitions was $13,385. A subsidiary of the Company entered into a separate operations transfer agreement with the prior operator of each acquired operation as part of each transaction.</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fair value of assets for home health, hospice, home care acquisitions were mostly concentrated in goodwill and intangible assets and as such, these transactions were classified as business combinations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The purchase price for the business combinations was $12,800, which consisted of equipment and other assets of $64, goodwill of $6,920, and indefinite-lived intangible assets of $5,816 related to Medicare and Medicaid licenses. The Company anticipates that the total goodwill recognized will be fully deductible for tax purposes. There were no material acquisition costs that were expensed related to the business combinations during the six months ended June 30, 2021.</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Two of the hospice agencies were acquired Medicare licenses and are considered asset acquisitions. The fair value of assets for the hospice licenses acquired totaled $585 and was allocated to indefinite-lived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Subsequent to June 30, 2022, the Company entered into a long-term lease and operation service agreement to operate a senior living community in Boise, Idaho. The addition of this operation added a total of 100 operational senior living units to be operated by one of the Company’s independent operating subsidiaries.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660"/>
              <w:spacing w:after="0"/>
              <w:rPr>
                <w:sz w:val="20"/>
                <w:szCs w:val="20"/>
                <w:color w:val="auto"/>
              </w:rPr>
            </w:pPr>
            <w:r>
              <w:rPr>
                <w:rFonts w:ascii="Arial" w:cs="Arial" w:eastAsia="Arial" w:hAnsi="Arial"/>
                <w:sz w:val="18"/>
                <w:szCs w:val="18"/>
                <w:color w:val="auto"/>
              </w:rPr>
              <w:t>Property and equipment, net consist of the following:</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11,660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r>
      <w:tr>
        <w:trPr>
          <w:trHeight w:val="223"/>
        </w:trPr>
        <w:tc>
          <w:tcPr>
            <w:tcW w:w="7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35,274</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(18,486)</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expense was $1,264 and $2,396 for the three and six months ended June 30, 2022 and $1,167 and $2,338 for the three and six months ended June 30, 2021, respectively.</w:t>
      </w:r>
    </w:p>
    <w:p>
      <w:pPr>
        <w:spacing w:after="0" w:line="184"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The Company acquired one building and related assets during the six months ended June 30, 2022 associated with an existing senior living community operation. The total acquisition price of the land, building and related equipment was $2,007.</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Management has evaluated its long-lived assets and determined there was no impairment during the three and six months ended June 30, 2022 and 2021.</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activity in goodwill by segment for the six months ended June 30,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Home Health and</w:t>
            </w:r>
          </w:p>
        </w:tc>
        <w:tc>
          <w:tcPr>
            <w:tcW w:w="20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9"/>
              </w:rPr>
              <w:t>Senior Living Services</w:t>
            </w:r>
          </w:p>
        </w:tc>
        <w:tc>
          <w:tcPr>
            <w:tcW w:w="180" w:type="dxa"/>
            <w:vAlign w:val="bottom"/>
          </w:tcPr>
          <w:p>
            <w:pPr>
              <w:spacing w:after="0"/>
              <w:rPr>
                <w:sz w:val="18"/>
                <w:szCs w:val="18"/>
                <w:color w:val="auto"/>
              </w:rPr>
            </w:pPr>
          </w:p>
        </w:tc>
        <w:tc>
          <w:tcPr>
            <w:tcW w:w="176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Hospice Services</w:t>
            </w:r>
          </w:p>
        </w:tc>
        <w:tc>
          <w:tcPr>
            <w:tcW w:w="20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74,265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June 30,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74,785</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660"/>
              <w:spacing w:after="0"/>
              <w:rPr>
                <w:sz w:val="20"/>
                <w:szCs w:val="20"/>
                <w:color w:val="auto"/>
              </w:rPr>
            </w:pPr>
            <w:r>
              <w:rPr>
                <w:rFonts w:ascii="Arial" w:cs="Arial" w:eastAsia="Arial" w:hAnsi="Arial"/>
                <w:sz w:val="18"/>
                <w:szCs w:val="18"/>
                <w:color w:val="auto"/>
                <w:w w:val="92"/>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 2022</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52,375</w:t>
            </w: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goodwill or intangible asset impairments were recorded during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6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Refunds payable</w:t>
            </w:r>
          </w:p>
        </w:tc>
        <w:tc>
          <w:tcPr>
            <w:tcW w:w="1620" w:type="dxa"/>
            <w:vAlign w:val="bottom"/>
          </w:tcPr>
          <w:p>
            <w:pPr>
              <w:jc w:val="right"/>
              <w:ind w:right="14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3,095</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Contract liabilities (CARES Act advance payments)</w:t>
            </w:r>
          </w:p>
        </w:tc>
        <w:tc>
          <w:tcPr>
            <w:tcW w:w="16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6,211</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 deposits</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 liabilities</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Accrued fee for transfer of senior living community</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r>
      <w:tr>
        <w:trPr>
          <w:trHeight w:val="223"/>
        </w:trPr>
        <w:tc>
          <w:tcPr>
            <w:tcW w:w="676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62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23,043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21,484</w:t>
            </w:r>
          </w:p>
        </w:tc>
      </w:tr>
      <w:tr>
        <w:trPr>
          <w:trHeight w:val="20"/>
        </w:trPr>
        <w:tc>
          <w:tcPr>
            <w:tcW w:w="67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11. DEBT</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6"/>
        </w:trPr>
        <w:tc>
          <w:tcPr>
            <w:tcW w:w="6640" w:type="dxa"/>
            <w:vAlign w:val="bottom"/>
          </w:tcPr>
          <w:p>
            <w:pPr>
              <w:ind w:left="660"/>
              <w:spacing w:after="0"/>
              <w:rPr>
                <w:sz w:val="20"/>
                <w:szCs w:val="20"/>
                <w:color w:val="auto"/>
              </w:rPr>
            </w:pPr>
            <w:r>
              <w:rPr>
                <w:rFonts w:ascii="Arial" w:cs="Arial" w:eastAsia="Arial" w:hAnsi="Arial"/>
                <w:sz w:val="18"/>
                <w:szCs w:val="18"/>
                <w:color w:val="auto"/>
              </w:rPr>
              <w:t>Long-term debt, net consists of the following:</w:t>
            </w:r>
          </w:p>
        </w:tc>
        <w:tc>
          <w:tcPr>
            <w:tcW w:w="1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7"/>
        </w:trPr>
        <w:tc>
          <w:tcPr>
            <w:tcW w:w="664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ind w:left="1440"/>
              <w:spacing w:after="0"/>
              <w:rPr>
                <w:sz w:val="20"/>
                <w:szCs w:val="20"/>
                <w:color w:val="auto"/>
              </w:rPr>
            </w:pPr>
            <w:r>
              <w:rPr>
                <w:rFonts w:ascii="Arial" w:cs="Arial" w:eastAsia="Arial" w:hAnsi="Arial"/>
                <w:sz w:val="18"/>
                <w:szCs w:val="18"/>
                <w:color w:val="auto"/>
                <w:w w:val="98"/>
              </w:rPr>
              <w:t>53,500</w:t>
            </w:r>
          </w:p>
        </w:tc>
      </w:tr>
      <w:tr>
        <w:trPr>
          <w:trHeight w:val="229"/>
        </w:trPr>
        <w:tc>
          <w:tcPr>
            <w:tcW w:w="66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Less: unamortized debt issuance costs</w:t>
            </w:r>
            <w:r>
              <w:rPr>
                <w:rFonts w:ascii="Arial" w:cs="Arial" w:eastAsia="Arial" w:hAnsi="Arial"/>
                <w:sz w:val="23"/>
                <w:szCs w:val="23"/>
                <w:color w:val="auto"/>
                <w:vertAlign w:val="superscript"/>
              </w:rPr>
              <w:t>(a)</w:t>
            </w: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(1,869)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4"/>
              </w:rPr>
              <w:t>(2,128)</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53,131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8"/>
              </w:rPr>
              <w:t>51,372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480" w:right="20" w:hanging="454"/>
        <w:spacing w:after="0" w:line="273"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expense for debt issuance costs was $130 and $260 for three and six months ended June 30, 2022 and $142 and $229 for the three and six months ended June 30, 2021, respectively, and is recorded in interest expense, net on the Condensed Consolidated Statements of Income.</w:t>
      </w:r>
    </w:p>
    <w:p>
      <w:pPr>
        <w:spacing w:after="0" w:line="3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The interest rates applicable to loans under the Revolving Credit Facility are, at the Company’s election, either (i) Adjusted LIBOR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June 30, 2022, the Company’s weighted average interest rate on its outstanding debt was 4.67%. As of June 30, 2022, the Company had available borrowing on the Revolving Credit Facility of $90,814, which is net of outstanding letters of credit of $4,186.</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covenants require compliance with certain levels of leverage ratios that impact the amount of interest. As of June 30, 2022, the Company was compliant with all such financial covenants.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OPTIONS AND AWARDS</w:t>
      </w:r>
    </w:p>
    <w:p>
      <w:pPr>
        <w:spacing w:after="0" w:line="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 xml:space="preserve">Outstanding options held by employees of the Company under the </w:t>
      </w:r>
      <w:r>
        <w:rPr>
          <w:rFonts w:ascii="Arial" w:cs="Arial" w:eastAsia="Arial" w:hAnsi="Arial"/>
          <w:sz w:val="18"/>
          <w:szCs w:val="18"/>
          <w:color w:val="000000"/>
        </w:rPr>
        <w:t>Ensign stock plans (collectively the “Ensign Plans”) and outstanding options</w:t>
      </w:r>
      <w:r>
        <w:rPr>
          <w:rFonts w:ascii="Arial" w:cs="Arial" w:eastAsia="Arial" w:hAnsi="Arial"/>
          <w:sz w:val="18"/>
          <w:szCs w:val="18"/>
          <w:color w:val="212529"/>
        </w:rPr>
        <w:t xml:space="preserve"> </w:t>
      </w:r>
      <w:r>
        <w:rPr>
          <w:rFonts w:ascii="Arial" w:cs="Arial" w:eastAsia="Arial" w:hAnsi="Arial"/>
          <w:sz w:val="18"/>
          <w:szCs w:val="18"/>
          <w:color w:val="000000"/>
        </w:rPr>
        <w:t xml:space="preserve">and restricted stock awards under the Company Subsidiary Equity Plan (together with the Ensign Plans the “Pre-Spin Plans”) </w:t>
      </w:r>
      <w:r>
        <w:rPr>
          <w:rFonts w:ascii="Arial" w:cs="Arial" w:eastAsia="Arial" w:hAnsi="Arial"/>
          <w:sz w:val="18"/>
          <w:szCs w:val="18"/>
          <w:color w:val="212529"/>
        </w:rPr>
        <w:t>were modified and replaced</w:t>
      </w:r>
      <w:r>
        <w:rPr>
          <w:rFonts w:ascii="Arial" w:cs="Arial" w:eastAsia="Arial" w:hAnsi="Arial"/>
          <w:sz w:val="18"/>
          <w:szCs w:val="18"/>
          <w:color w:val="000000"/>
        </w:rPr>
        <w:t xml:space="preserve"> </w:t>
      </w:r>
      <w:r>
        <w:rPr>
          <w:rFonts w:ascii="Arial" w:cs="Arial" w:eastAsia="Arial" w:hAnsi="Arial"/>
          <w:sz w:val="18"/>
          <w:szCs w:val="18"/>
          <w:color w:val="212529"/>
        </w:rPr>
        <w:t xml:space="preserve">with Pennant awards under the Pennant Plans at the Spin-Off date. Additionally, in connection with the Spin-Off, the Company issued new options and restricted stock awards to Pennant and Ensign employees under the 2019 Omnibus Incentive Plan (the </w:t>
      </w:r>
      <w:r>
        <w:rPr>
          <w:rFonts w:ascii="Arial" w:cs="Arial" w:eastAsia="Arial" w:hAnsi="Arial"/>
          <w:sz w:val="18"/>
          <w:szCs w:val="18"/>
          <w:color w:val="000000"/>
        </w:rPr>
        <w:t>“</w:t>
      </w:r>
      <w:r>
        <w:rPr>
          <w:rFonts w:ascii="Arial" w:cs="Arial" w:eastAsia="Arial" w:hAnsi="Arial"/>
          <w:sz w:val="18"/>
          <w:szCs w:val="18"/>
          <w:color w:val="212529"/>
        </w:rPr>
        <w:t>OIP</w:t>
      </w:r>
      <w:r>
        <w:rPr>
          <w:rFonts w:ascii="Arial" w:cs="Arial" w:eastAsia="Arial" w:hAnsi="Arial"/>
          <w:sz w:val="18"/>
          <w:szCs w:val="18"/>
          <w:color w:val="000000"/>
        </w:rPr>
        <w:t>”</w:t>
      </w:r>
      <w:r>
        <w:rPr>
          <w:rFonts w:ascii="Arial" w:cs="Arial" w:eastAsia="Arial" w:hAnsi="Arial"/>
          <w:sz w:val="18"/>
          <w:szCs w:val="18"/>
          <w:color w:val="212529"/>
        </w:rPr>
        <w:t xml:space="preserve">) and Long-Term Incentive Plan (the </w:t>
      </w:r>
      <w:r>
        <w:rPr>
          <w:rFonts w:ascii="Arial" w:cs="Arial" w:eastAsia="Arial" w:hAnsi="Arial"/>
          <w:sz w:val="18"/>
          <w:szCs w:val="18"/>
          <w:color w:val="000000"/>
        </w:rPr>
        <w:t>“</w:t>
      </w:r>
      <w:r>
        <w:rPr>
          <w:rFonts w:ascii="Arial" w:cs="Arial" w:eastAsia="Arial" w:hAnsi="Arial"/>
          <w:sz w:val="18"/>
          <w:szCs w:val="18"/>
          <w:color w:val="212529"/>
        </w:rPr>
        <w:t>LTIP</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together referred to as the “Pennant Plans”</w:t>
      </w:r>
      <w:r>
        <w:rPr>
          <w:rFonts w:ascii="Arial" w:cs="Arial" w:eastAsia="Arial" w:hAnsi="Arial"/>
          <w:sz w:val="18"/>
          <w:szCs w:val="18"/>
          <w:color w:val="212529"/>
        </w:rPr>
        <w: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Ensign Plans and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Ensign and Pennant Plans.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for all Plans for the three and six months ended June 30, 2022 and 2021 was: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40" w:type="dxa"/>
            <w:vAlign w:val="bottom"/>
          </w:tcPr>
          <w:p>
            <w:pPr>
              <w:spacing w:after="0"/>
              <w:rPr>
                <w:sz w:val="20"/>
                <w:szCs w:val="20"/>
                <w:color w:val="auto"/>
              </w:rPr>
            </w:pPr>
          </w:p>
        </w:tc>
        <w:tc>
          <w:tcPr>
            <w:tcW w:w="23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176"/>
        </w:trPr>
        <w:tc>
          <w:tcPr>
            <w:tcW w:w="6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Share-based compensation expense related to Restricted Stock to non-employee</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240"/>
              <w:spacing w:after="0"/>
              <w:rPr>
                <w:sz w:val="20"/>
                <w:szCs w:val="20"/>
                <w:color w:val="auto"/>
              </w:rPr>
            </w:pPr>
            <w:r>
              <w:rPr>
                <w:rFonts w:ascii="Arial" w:cs="Arial" w:eastAsia="Arial" w:hAnsi="Arial"/>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future periods, the Company estimates it will recognize the following share-based compensation expense for unvested stock options and unvested Restricted Stock as of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Recognition Period (in</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Compensation Expense</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On July 25, 2022 the Company modified certain outstanding RSUs granted in connection with the spin-off. All the RSUs had an original vesting date of October 1, 2022. The modification resulted in the forfeiture of 250,000 outstanding RSUs and accelerated the vesting on the remaining 942,842 RSUs from October 1, 2022 to July 31, 2022. Additionally, the Company granted 250,000 RSAs to certain executives and employees on July 25, 2022 under The Pennant Group, Inc. 2019 Omnibus Incentive Plan. The RSAs vest in five equal annual installments beginning on the first anniversary of the date of the grant.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each option is estimated on the grant date using a Black-Scholes option-pricing model with the following weighted average assumptions for stock options granted as of June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Risk-Free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Expected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6"/>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Expected Life</w:t>
            </w:r>
            <w:r>
              <w:rPr>
                <w:rFonts w:ascii="Arial" w:cs="Arial" w:eastAsia="Arial" w:hAnsi="Arial"/>
                <w:sz w:val="23"/>
                <w:szCs w:val="23"/>
                <w:b w:val="1"/>
                <w:bCs w:val="1"/>
                <w:color w:val="auto"/>
                <w:w w:val="97"/>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29"/>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8"/>
              </w:rPr>
              <w:t>Volatility</w:t>
            </w:r>
            <w:r>
              <w:rPr>
                <w:rFonts w:ascii="Arial" w:cs="Arial" w:eastAsia="Arial" w:hAnsi="Arial"/>
                <w:sz w:val="23"/>
                <w:szCs w:val="23"/>
                <w:b w:val="1"/>
                <w:bCs w:val="1"/>
                <w:color w:val="auto"/>
                <w:w w:val="88"/>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7"/>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80" w:right="20" w:hanging="454"/>
        <w:spacing w:after="0" w:line="271"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14" w:lineRule="exact"/>
        <w:rPr>
          <w:rFonts w:ascii="Arial" w:cs="Arial" w:eastAsia="Arial" w:hAnsi="Arial"/>
          <w:sz w:val="14"/>
          <w:szCs w:val="14"/>
          <w:color w:val="auto"/>
        </w:rPr>
      </w:pPr>
    </w:p>
    <w:p>
      <w:pPr>
        <w:ind w:left="480" w:hanging="454"/>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employee stock option activity during the six months ended June 30,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4"/>
                <w:szCs w:val="14"/>
                <w:color w:val="auto"/>
              </w:rPr>
            </w:pPr>
          </w:p>
        </w:tc>
        <w:tc>
          <w:tcPr>
            <w:tcW w:w="1200" w:type="dxa"/>
            <w:vAlign w:val="bottom"/>
          </w:tcPr>
          <w:p>
            <w:pPr>
              <w:jc w:val="center"/>
              <w:ind w:right="56"/>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9"/>
              </w:rPr>
              <w:t>of Options</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Exercise Price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Options Vested</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83"/>
              </w:rPr>
              <w:t>Vested</w:t>
            </w: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June 30,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Pennant’s non-vested Restricted Stock, and changes during the six months ended June 30, 2022, is presented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w w:val="92"/>
              </w:rPr>
              <w:t>Non-Vested Restricted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Weighted Average</w:t>
            </w:r>
          </w:p>
        </w:tc>
      </w:tr>
      <w:tr>
        <w:trPr>
          <w:trHeight w:val="213"/>
        </w:trPr>
        <w:tc>
          <w:tcPr>
            <w:tcW w:w="78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Grant Date Fair Value</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13.48</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independent operating subsidiaries lease 48 senior living communities and its administrative offices under non-cancelable operating leases, most of which have initial lease terms ranging from five to 21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Company’s independent operating subsidiaries leased 31 communities from subsidiaries of Ensign (the “Ensign Leases”) under a master lease arrangement as of June 30, 2022 and June 30, 2021. Each of the leases have a initial term of between 14 and 20 years from the lease commencement date. The total amount of rent expense included in rent - cost of services paid to subsidiaries of Ensign was $3,006 and $6,490 for the three and six months ended June 30, 2022, respectively, and $3,173 and $6,246 for the three and six months ended June 30, 2021, respectively. In addition to rent, each of the operating companies are required to pay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Twelve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27, 2022, affiliates of the Company, entered into Transfer Agreements with affiliates of Ensign, providing for the transfer of the operations of senior living communities. The closing of the Transaction was completed in two phases with the transfer of two operations on March 1, 2022 and the remainder transferred on April 1, 2022. As a result of the lease terminations, the Company reduced both the right of use assets and the lease liabilities by $42,515. Four of the terminated leases were part of master lease agreements. As a result of the transferred leases being removed from a master lease arrangements, the remaining lease components under the master lease arrangements were modified which resulted in a net increase to the lease liability and ROU asset balance of $6,522 for the six months ended 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660"/>
              <w:spacing w:after="0"/>
              <w:rPr>
                <w:sz w:val="20"/>
                <w:szCs w:val="20"/>
                <w:color w:val="auto"/>
              </w:rPr>
            </w:pPr>
            <w:r>
              <w:rPr>
                <w:rFonts w:ascii="Arial" w:cs="Arial" w:eastAsia="Arial" w:hAnsi="Arial"/>
                <w:sz w:val="18"/>
                <w:szCs w:val="18"/>
                <w:color w:val="auto"/>
              </w:rPr>
              <w:t>The components of operating lease cost, are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9"/>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June 30,</w:t>
            </w:r>
          </w:p>
        </w:tc>
        <w:tc>
          <w:tcPr>
            <w:tcW w:w="180" w:type="dxa"/>
            <w:vAlign w:val="bottom"/>
          </w:tcPr>
          <w:p>
            <w:pPr>
              <w:spacing w:after="0"/>
              <w:rPr>
                <w:sz w:val="24"/>
                <w:szCs w:val="24"/>
                <w:color w:val="auto"/>
              </w:rPr>
            </w:pPr>
          </w:p>
        </w:tc>
        <w:tc>
          <w:tcPr>
            <w:tcW w:w="24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5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Community Rent—cost of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7,837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16,626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17,792</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Rent—cost of services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Rent—cost of services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20,121</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5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r>
    </w:tbl>
    <w:p>
      <w:pPr>
        <w:spacing w:after="0" w:line="130" w:lineRule="exact"/>
        <w:rPr>
          <w:sz w:val="20"/>
          <w:szCs w:val="20"/>
          <w:color w:val="auto"/>
        </w:rPr>
      </w:pPr>
    </w:p>
    <w:p>
      <w:pPr>
        <w:ind w:left="480" w:right="40" w:hanging="454"/>
        <w:spacing w:after="0" w:line="273"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the Company’s triple net lease, and which is included in cost of services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660"/>
              <w:spacing w:after="0"/>
              <w:rPr>
                <w:sz w:val="20"/>
                <w:szCs w:val="20"/>
                <w:color w:val="auto"/>
              </w:rPr>
            </w:pPr>
            <w:r>
              <w:rPr>
                <w:rFonts w:ascii="Arial" w:cs="Arial" w:eastAsia="Arial" w:hAnsi="Arial"/>
                <w:sz w:val="18"/>
                <w:szCs w:val="18"/>
                <w:color w:val="auto"/>
                <w:w w:val="91"/>
              </w:rPr>
              <w:t>The following table shows the lease maturity analysis for all leases as of June 30, 2022, for the years ended December 31:</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9"/>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33,276</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32,748</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31,560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267,054</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412,869</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(152,587)</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260,282</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(15,662)</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244,620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June 30, 2022, the weighted average remaining lease term is 13.1 years and the weighted average discount rate is 7.6%.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recorded income tax benefit of $1,375 and $833 or 34.6% and 36.7% of earnings before income taxes for the three and six months ended June 30, 2022, and income tax expense of $604 and $944 or 19.7% and 21.8% of earnings before income taxes for the three and six months ended June 30, 2021, respectively. The effective tax rate for both three and six month periods includes excess tax benefits from share-based compensation which were offset by non-deductible expenses including non-deductible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Regulatory Matters - </w:t>
      </w:r>
      <w:r>
        <w:rPr>
          <w:rFonts w:ascii="Arial" w:cs="Arial" w:eastAsia="Arial" w:hAnsi="Arial"/>
          <w:sz w:val="17"/>
          <w:szCs w:val="17"/>
          <w:color w:val="auto"/>
        </w:rPr>
        <w:t>The Company provides services in complex and highly regulated industries. The Company’s compliance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Cost-Containment Measures - </w:t>
      </w:r>
      <w:r>
        <w:rPr>
          <w:rFonts w:ascii="Arial" w:cs="Arial" w:eastAsia="Arial" w:hAnsi="Arial"/>
          <w:sz w:val="18"/>
          <w:szCs w:val="18"/>
          <w:color w:val="auto"/>
        </w:rPr>
        <w:t>Government and third-party payors have instituted cost-containment measures designed to limit payments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of healthcare services, may propose future cost-containment measures, and there can be no assurance that future measures designed to limit payments made to providers will not adversely affect the Company.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2" w:lineRule="exact"/>
        <w:rPr>
          <w:sz w:val="20"/>
          <w:szCs w:val="20"/>
          <w:color w:val="auto"/>
        </w:rPr>
      </w:pPr>
    </w:p>
    <w:p>
      <w:pPr>
        <w:jc w:val="both"/>
        <w:ind w:firstLine="8"/>
        <w:spacing w:after="0" w:line="281" w:lineRule="auto"/>
        <w:tabs>
          <w:tab w:leader="none" w:pos="2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agreements with management, directors and employees, under which the subsidiaries of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The Company’s businesses involve a significant risk of liability given the age and health of the patients and residents served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do business. As such, the Company could face increased scrutiny, potential liability and legal expenses and costs based on claims under state false claims acts in markets in which it conducts business.</w:t>
      </w:r>
    </w:p>
    <w:p>
      <w:pPr>
        <w:spacing w:after="0" w:line="19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Medicare Revenue Recoupments - </w:t>
      </w:r>
      <w:r>
        <w:rPr>
          <w:rFonts w:ascii="Arial" w:cs="Arial" w:eastAsia="Arial" w:hAnsi="Arial"/>
          <w:sz w:val="18"/>
          <w:szCs w:val="18"/>
          <w:color w:val="auto"/>
        </w:rPr>
        <w:t>The Company is subject to probe reviews relating to Medicare services, billings and potential overpayments by</w:t>
      </w:r>
      <w:r>
        <w:rPr>
          <w:rFonts w:ascii="Arial" w:cs="Arial" w:eastAsia="Arial" w:hAnsi="Arial"/>
          <w:sz w:val="18"/>
          <w:szCs w:val="18"/>
          <w:i w:val="1"/>
          <w:iCs w:val="1"/>
          <w:color w:val="auto"/>
        </w:rPr>
        <w:t xml:space="preserve"> </w:t>
      </w:r>
      <w:r>
        <w:rPr>
          <w:rFonts w:ascii="Arial" w:cs="Arial" w:eastAsia="Arial" w:hAnsi="Arial"/>
          <w:sz w:val="18"/>
          <w:szCs w:val="18"/>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June 30, 2022, eight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June 30, 2022,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June 2021 to May 2022, one hospice provider number was subject to a Medicare payment suspension imposed by a Uniform Program Integrity Contractor (UPIC). As of June 30, 2022, the total amount due from the government payor impacted by the suspension was $4,885 and was recorded in long-term other assets. The amounts suspended represent all Medicare payments due to the provider number during the suspension.</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2022, the Company received communication that the Medicare payment suspension was terminated and the UPIC’s review was complete. The UPIC reviewed 107 patient records covering a 10-month period to determine whether, in its view, a Medicare overpayment was made. Based on the results of the review, the UPIC has alleged sampled and extrapolated overpayments of $5,165, and will withhold up to that amount through continued recoupment of Medicare payments. The Company is evaluating the findings and will vigorously pursue its appeal rights through the administrative appeals process which include contesting the methodology used by the UPIC to perform statistical extrapolation. At this stage of the review, based on the information currently available to the Company, the Company cannot predict the timing or the outcome of this review. As of June 30, 2022, we have an accrued liability that is immaterial for this review which was recorded as an offset to revenue.</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The Company retains risk for a substantial portion of potential claims for general and professional liability,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January 1, 2022 the Company is self-insured for claims related to employee health, dental, and vision care. To protect itself against loss exposure, the Company has purchased individual stop-loss insurance coverage that insures individual health claims that exceed $325 for each covered person for fiscal year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2021 (the “2021 Annual Report”), which discusses our business and related risks in greater detail, as well as subsequent reports we may file from time to time on Form 10-K, Form 10-Q and 8-K, for additional information. The section entitled “Risk Factors” filed within our 2021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69" w:lineRule="auto"/>
        <w:rPr>
          <w:sz w:val="20"/>
          <w:szCs w:val="20"/>
          <w:color w:val="auto"/>
        </w:rPr>
      </w:pPr>
      <w:r>
        <w:rPr>
          <w:rFonts w:ascii="Arial" w:cs="Arial" w:eastAsia="Arial" w:hAnsi="Arial"/>
          <w:sz w:val="17"/>
          <w:szCs w:val="17"/>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 Additionally, many of these risks and uncertainties are currently amplified by and will continue to be amplified by, or in the future may be amplified by, the COVID-19 outbreak. The developments with respect to the spread of COVID-19 and its impacts have occurred rapidly, and because of the unprecedented nature of the pandemic, we are unable to predict the extent and duration of the adverse financial impact of COVID-19 on our business, financial condition and results of operations.</w:t>
      </w:r>
    </w:p>
    <w:p>
      <w:pPr>
        <w:spacing w:after="0" w:line="209" w:lineRule="exact"/>
        <w:rPr>
          <w:sz w:val="20"/>
          <w:szCs w:val="20"/>
          <w:color w:val="auto"/>
        </w:rPr>
      </w:pPr>
    </w:p>
    <w:p>
      <w:pPr>
        <w:jc w:val="both"/>
        <w:ind w:firstLine="257"/>
        <w:spacing w:after="0" w:line="263" w:lineRule="auto"/>
        <w:rPr>
          <w:sz w:val="20"/>
          <w:szCs w:val="20"/>
          <w:color w:val="auto"/>
        </w:rPr>
      </w:pPr>
      <w:r>
        <w:rPr>
          <w:rFonts w:ascii="Arial" w:cs="Arial" w:eastAsia="Arial" w:hAnsi="Arial"/>
          <w:sz w:val="18"/>
          <w:szCs w:val="18"/>
          <w:color w:val="auto"/>
        </w:rPr>
        <w:t>The risk factors discussed in this Quarterly Report and the 2021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related to the lingering effect of the COVID-19 pandemic;</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complying with state and federal vaccination mandates, which widely vary, and the potential effects of such vaccine mandates on our business, including our ability to retain and hire staff and maintain residents of our senior living communities;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related to the end of the COVID-19 public health emergency declared by federal and state authorities, and the expiration of certain waivers granted during that emergency;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changes to, or delays receiving, reimbursement and other aspects of Medicaid and Medicare;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regulations affecting the healthcare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proposed changes to payment models and reimbursement amounts within the Medicare and Medicaid fee schedules for future calendar years;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additional regulation affecting the ownership and staffing of businesses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federal income tax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and increased cost of acquisition or retention for, or a shortage of, skilled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reviews, audits and investigations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federal and state employment related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state and federal employment, immigration, licensing and other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other healthcare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of national labor unions;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leases of our affiliated senior living communities;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complete future community or business acquisitions and failure to successfully integrate acquired communities and businesses into our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including inflation and increasing interest rates, which raise the costs of goods and borrowing capital;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breaches and other cyber security incidents;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the financial and credit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our ability to obtain financing or the terms of such financing.</w:t>
      </w:r>
    </w:p>
    <w:p>
      <w:pPr>
        <w:spacing w:after="0" w:line="252" w:lineRule="exact"/>
        <w:rPr>
          <w:sz w:val="20"/>
          <w:szCs w:val="20"/>
          <w:color w:val="auto"/>
        </w:rPr>
      </w:pPr>
    </w:p>
    <w:p>
      <w:pPr>
        <w:jc w:val="both"/>
        <w:ind w:firstLine="237"/>
        <w:spacing w:after="0" w:line="311"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June 30, 2022, our home health and hospice business provided home health, hospice and home care services from 89 agencies operating across these 14 states, and our senior living business operated 48 senior living communities throughout six states.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affiliated home health and hospice agencies and senior living communities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agencies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Senior living communities</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living units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Total number of home health, hospice, and</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senior living operations</w:t>
            </w: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been, and we expect to continue to be, impacted by several factors related to the viral disease known as COVID-19 (“COVID-19”) that may cause actual results to differ from our historical results or current expectations. Due to the COVID-19 pandemic, the results presented in this report are not necessarily indicative of future operating results. The situation surrounding COVID-19 remains fluid. We are actively managing our response in collaboration with government officials, team members and business partners, and we are assessing potential impacts to our financial position and operating results, as well as adverse developments in our business.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Home Health and Hospice</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During the second quarter of 2022, the labor challenges experienced throughout the past year continued with some moderation. For the second quarter of 2022, hospice average discharged length of stay was impacted slightly as a result of a shift of patient referrals from more acute settings, resulting in a modest decline in hospice average length of stay despite an incremental improvement in hospice admissions.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Living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COVID-19 continues to impact all aspects of our senior living business and geographies, including impacts on our residents, team members, vendors and business partners. While our overall senior living occupancy has decreased since the onset of the COVID-19 pandemic due to a greater number of move outs net of move ins, during the second quarter of 2022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experienced modest improvement in occupancy. We cannot be sure if or when the occupancy levels in our senior living communities will improve over multiple measurement periods or return to pre-pandemic levels.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Labor</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experienced and expect to continue to see increased wages rates in response to staffing shortages as is occurring throughout the nation and the healthcare industry, in particular. We are monitoring the ongoing impact of COVID-19 on labor costs due to increased overtime, premium pay, and temporary labor to supplement existing staffing as well as the impact of our response actions on our revenue and expenses, including labor acquisition, retention, and turnover costs that may be imposed by existing and anticipated state and federal vaccination mandates imposed for skilled workers in home health agencies, senior living communities and other health care service providers. However, the extent to which COVID-19 will continue to impact our operations will depend on future developments, which remain uncertain and cannot be predicted with confidence, including the pace of spread and impact of the predominant variant in the US, Omicron BA.5 (this is currently causing an estimated 78% of cases), other Omicron Variants and strains, the Delta variant, other potential existing or future variant strains, and the actions taken to contain COVID-19 or treat its impact, among others. Fortunately the Omicron strain and related variants, including BA.5, are proving to be a more mild version of the virus causing lower hospitalizations and severe disease than previous strains.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Activities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six months ended June 30, 2022, we expanded our operations with the addition of one home health agency. We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 separate operation transfer agreement with the prior operator as a part of the transaction. The purchase price for the acquisitions was $0.8 million. Subsequent to June 30, 2022, the Company entered into a long-term lease and operation service agreement to operate a senior living community in Boise Idaho. The addition of this operation added a total of 100 operational senior living units to be operated by one of the Company’s independent operating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the pandemic began and throughout the 2021 fiscal year, we experienced a steady decline in senior living occupancy as move-ins declined relative to move-outs due to the pandemic. We have experienced modest senior living occupancy improvement through the second quarter, partly as a result of improving COVID-19 case trends and renewed consideration of senior living communities as a home based care setting. We cannot be sure when the occupancy levels in our senior living communities will return to pre-pandemic levels. As uncertainty regarding the COVID-19 pandemic persists, if there is a resurgence in cases, or if variant strains aggressively emerge, we could see a more prolonged recovery.</w:t>
      </w:r>
    </w:p>
    <w:p>
      <w:pPr>
        <w:spacing w:after="0" w:line="2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disclosed under the heading “Government Regulation” in the 2021 Annual Report a summary of regulations that we believe materially affect our business, financial condition or results of operations. Since the time of the filing of the 2021 Annual Report, the following regulations have been updated.</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Coronavirus Aid, Relief, and Economic Security Act (the “CARES Act”) was enacted on March 27, 2020 in the United States and subsequent regulatory actions. The CARES Act contained provisions for accelerated or advance Medicare payments (“AAP”) to provide supporting cash flow to providers and suppliers combating the effects of the COVID-19 pandemic. We applied for and received $28.0 million in 2020. These funds were subject to automatic recoupment through offsets to new claims beginning one year after payment were issued. In April, 2021, CMS began to automatically recoup 25% of Medicare payments, which continued for 11 months. At the end of the 11 months, assuming full repayment has not occurred, recoupment will increase to 50% for another six months. Any balance outstanding after these two recoupment periods was subject to repayment at a 4% interest rate. CMS has recouped all of the $28.0 million of the AAP received by the Company as of June 30, 2022; no further balance remains payable by the Company.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CARES Act payroll tax deferral program allowed employers to defer the deposit and payment of the employer’s portion of social security taxes that otherwise would be due between March 27, 2020, and December 31, 2020. The CARES Act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permits employers to deposit half of these deferred payments by the end of 2021 and the other half by the end of 2022. The Company deferred approximately $7.8 million of the employer-paid portion of social security taxes, of which $4.1 million remains unpaid as of June 30, 2022 and is included in current liabilities in accrued wages and related liabilities.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described in our most recent Annual Report on Form 10-K, Item 1A, Risks Related to COVID-19, CMS issued, and the United States Supreme Court upheld, an interim final rule requiring workers of Medicare- or Medicaid-reimbursed operations to be fully vaccinated or subject to an appropriate exemption. The application of this interim final rule has been extended to all 50 states after litigation before various courts, including the United States Supreme Court. The deadline for compliance with this mandate ranged from February 28, 2022 to March 21, 2022, based on the state of operation. In addition, several states in which our independent operating subsidiaries are located issued their own vaccine requirements, most notably California, Colorado, Oregon, and Washington. In some of the states where our independent operating subsidiaries are located, state requirements for vaccination of healthcare workers have been updated to address the availability and necessity of vaccine boosters after receiving an initial one- or two-injection course of vaccination. Still other states, such as Texas, have prohibited COVID-19 vaccines from being required as a matter of state law, although the interim final rule requires employees of Medicare-participating health care facilities to receive the COVID-19 vaccination. Compliance with the relevant federal and state vaccine mandates or laws is challenging, due to both legal challenges and differing requirements.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30, 2022, our independent operating subsidiaries are substantially in compliance with these mandates. While the mandates have contributed to industry-wide staffing shortages and increased competition for qualified employees, increasing our employee costs, those impacts have been felt across the health care industry and are not unique to our operations. The various federal and state mandates have also created ongoing testing, tracking and other administrative obligations and expenses, which may persist as long as the mandates are in place.</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27, 2022, CMS issued the 2023 Hospice Payment Rate Update final rule (“Hospice Payment Final Rule”). The Final Rule provides that a hospice’s wage index (one component of its payment rate) will not be reduced more than 5.0% year-over-year. In other words, a hospice’s wage index each fiscal year will be no less than 95.0% of its prior fiscal year wage index. This will help protect hospices against large annual wage-based reimbursement decreases. This change is permanent and will not automatically expire or require renewal. Subject to this wage index change, the Hospice Payment Final Rule adopts a 3.8% increase in payments made for hospice services, including the cap amount, which the rule increases from $31,297.61 to $32,486.92. The Hospice Payment Final Rule also outlines reductions in payment ranging from two percent (2.0%) to four percent (4.0%), beginning in 2024, for hospices that fail to meet quality reporting requirements.</w:t>
      </w:r>
    </w:p>
    <w:p>
      <w:pPr>
        <w:spacing w:after="0" w:line="2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17, 2022, the CMS issued the 2023 Home Health Prospective Payment System Rate Update proposed rule. The proposed rule would apply a permanent decrease of 7.7% to the home health 30-day period standard payment rate for assumed behavior changes resulting from implementation of the Patient Driven Grouping Model (“PDGM”), except for low utilization payment adjustments (“LUPAs”). Additionally, CMS proposes a temporary adjustment of payments to recover as soon as 2024 $2.0 billion in overpayments made in the PDGM program. Aside from these adjustments, CMS proposes a 2.9% basket increase for the home health payment update in calendar year 2023. Under the proposed rule, CMS would also recalibrate case-mix weights and low utilization payment adjustment thresholds using 2021 data. Additionally, the proposed rule would apply a permanent 5.0% cap on decreases in the wage index, meaning a facility’s wage index for any future year would not be less than 95.0% of the final wage index for the preceding year. For home health agencies that do not report required quality reporting data to CMS, their increase in payment would only be 0.9%, rather than the full 2.9% contemplated in the proposed rule. Overall, the proposed rule estimates that Medicare payments to all home health agencies would decrease in the aggregate by 4.2%, or $810 million, based on its contents. This proposed rule may change, even significantly, prior to adoption as a final rule. The final rule for the 2023 Home Health Prospective Payment System Rate Update is expected in the third or fourth quarter of 2022 and would be effective beginning January 1,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two reportable segments: (1) home health and hospice services, which includes our home health, home care and hospice businesses; and</w:t>
      </w:r>
    </w:p>
    <w:p>
      <w:pPr>
        <w:spacing w:after="0" w:line="46" w:lineRule="exact"/>
        <w:rPr>
          <w:sz w:val="20"/>
          <w:szCs w:val="20"/>
          <w:color w:val="auto"/>
        </w:rPr>
      </w:pPr>
    </w:p>
    <w:p>
      <w:pPr>
        <w:jc w:val="both"/>
        <w:ind w:firstLine="8"/>
        <w:spacing w:after="0" w:line="255" w:lineRule="auto"/>
        <w:tabs>
          <w:tab w:leader="none" w:pos="2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the fiscal aspects of our business by monitoring key performance indicators that affect our financial performance. These indicators and their definitions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40" w:lineRule="exact"/>
        <w:rPr>
          <w:rFonts w:ascii="Arial" w:cs="Arial" w:eastAsia="Arial" w:hAnsi="Arial"/>
          <w:sz w:val="16"/>
          <w:szCs w:val="16"/>
          <w:i w:val="1"/>
          <w:iCs w:val="1"/>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Total Medicare home health admissions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admissions of home health patients, who are receiving care under Medicare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including new acquisitions, new admissions and readmissions.</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Average Medicare revenue per completed 60-day home health episode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amount of revenue for each completed 60-day home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episode generated from patients who are receiving care under Medicare reimbursement programs.</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Total hospice admissions</w:t>
      </w:r>
      <w:r>
        <w:rPr>
          <w:rFonts w:ascii="Arial" w:cs="Arial" w:eastAsia="Arial" w:hAnsi="Arial"/>
          <w:sz w:val="18"/>
          <w:szCs w:val="18"/>
          <w:color w:val="auto"/>
        </w:rPr>
        <w:t>. Total admissions of hospice patients, including new acquisitions, new admissions and recertifications.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Average hospice daily census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number of patients who are receiving hospice care during any measurement period divided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days during such measurement period.</w:t>
      </w:r>
    </w:p>
    <w:p>
      <w:pPr>
        <w:spacing w:after="0" w:line="6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Hospice Medicare revenue per day</w:t>
      </w:r>
      <w:r>
        <w:rPr>
          <w:rFonts w:ascii="Arial" w:cs="Arial" w:eastAsia="Arial" w:hAnsi="Arial"/>
          <w:sz w:val="18"/>
          <w:szCs w:val="18"/>
          <w:color w:val="auto"/>
        </w:rPr>
        <w:t>. The average daily Medicare revenue recorded during any measurement period for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hospice patients.</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overall home health and hospice statistics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Total home health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19,166</w:t>
            </w: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Medicare home health admissions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r>
      <w:tr>
        <w:trPr>
          <w:trHeight w:val="229"/>
        </w:trPr>
        <w:tc>
          <w:tcPr>
            <w:tcW w:w="6100" w:type="dxa"/>
            <w:vAlign w:val="bottom"/>
          </w:tcPr>
          <w:p>
            <w:pPr>
              <w:ind w:left="220"/>
              <w:spacing w:after="0" w:line="230" w:lineRule="exact"/>
              <w:rPr>
                <w:sz w:val="20"/>
                <w:szCs w:val="20"/>
                <w:color w:val="auto"/>
              </w:rPr>
            </w:pPr>
            <w:r>
              <w:rPr>
                <w:rFonts w:ascii="Arial" w:cs="Arial" w:eastAsia="Arial" w:hAnsi="Arial"/>
                <w:sz w:val="18"/>
                <w:szCs w:val="18"/>
                <w:color w:val="auto"/>
              </w:rPr>
              <w:t>Average Medicare revenue per 60-day completed episode</w:t>
            </w:r>
            <w:r>
              <w:rPr>
                <w:rFonts w:ascii="Arial" w:cs="Arial" w:eastAsia="Arial" w:hAnsi="Arial"/>
                <w:sz w:val="23"/>
                <w:szCs w:val="23"/>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3,394</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Total hospice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4,201</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hospice daily census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Hospice Medicare revenue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129" w:lineRule="exact"/>
        <w:rPr>
          <w:sz w:val="20"/>
          <w:szCs w:val="20"/>
          <w:color w:val="auto"/>
        </w:rPr>
      </w:pPr>
    </w:p>
    <w:p>
      <w:pPr>
        <w:ind w:left="480" w:hanging="454"/>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year to date average Medicare revenue per 60-day completed episode includes post period claim adjustments for prior quarters.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Occupancy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of actual number of days our units are occupied during any measurement period to the number of units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during such measurement period.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Average monthly revenue per occupied unit</w:t>
      </w:r>
      <w:r>
        <w:rPr>
          <w:rFonts w:ascii="Arial" w:cs="Arial" w:eastAsia="Arial" w:hAnsi="Arial"/>
          <w:sz w:val="17"/>
          <w:szCs w:val="17"/>
          <w:color w:val="auto"/>
        </w:rPr>
        <w:t>. The room and board revenue for senior living services during any measurement period divided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actual occupied senior living units for such measurement period divided by the number of months for such measurement period.</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following table summarizes our senior living statistics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25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57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Home Health. </w:t>
      </w:r>
      <w:r>
        <w:rPr>
          <w:rFonts w:ascii="Arial" w:cs="Arial" w:eastAsia="Arial" w:hAnsi="Arial"/>
          <w:sz w:val="16"/>
          <w:szCs w:val="16"/>
          <w:color w:val="auto"/>
        </w:rPr>
        <w:t>We derive the majority of our home health revenue from Medicare and managed care. The Medicare payment is adjusted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differences between estimated and actual payment amounts, an inability to obtain appropriate billing documentation or authorizations acceptable to the payor and other reasons unrelated to credit risk. Net service revenue is recognized in accordance with the under the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For further detail regarding PDGM see the </w:t>
      </w:r>
      <w:r>
        <w:rPr>
          <w:rFonts w:ascii="Arial" w:cs="Arial" w:eastAsia="Arial" w:hAnsi="Arial"/>
          <w:sz w:val="16"/>
          <w:szCs w:val="16"/>
          <w:i w:val="1"/>
          <w:iCs w:val="1"/>
          <w:color w:val="auto"/>
        </w:rPr>
        <w:t>Government Regulation</w:t>
      </w:r>
      <w:r>
        <w:rPr>
          <w:rFonts w:ascii="Arial" w:cs="Arial" w:eastAsia="Arial" w:hAnsi="Arial"/>
          <w:sz w:val="16"/>
          <w:szCs w:val="16"/>
          <w:color w:val="auto"/>
        </w:rPr>
        <w:t xml:space="preserve"> section of our 2021 Annual Report.</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Hospice. </w:t>
      </w:r>
      <w:r>
        <w:rPr>
          <w:rFonts w:ascii="Arial" w:cs="Arial" w:eastAsia="Arial" w:hAnsi="Arial"/>
          <w:sz w:val="18"/>
          <w:szCs w:val="18"/>
          <w:color w:val="auto"/>
        </w:rPr>
        <w:t>We derive the majority of our hospice business revenue from Medicare reimbursement. The estimated payment rates are calculated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14"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Routine Home Care (“RHC”). </w:t>
      </w:r>
      <w:r>
        <w:rPr>
          <w:rFonts w:ascii="Arial" w:cs="Arial" w:eastAsia="Arial" w:hAnsi="Arial"/>
          <w:sz w:val="18"/>
          <w:szCs w:val="18"/>
          <w:color w:val="auto"/>
        </w:rPr>
        <w:t>Care that is not classified under any of the other levels of care, such as the work of nurses, social workers or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aides.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Inpatient Care. </w:t>
      </w:r>
      <w:r>
        <w:rPr>
          <w:rFonts w:ascii="Arial" w:cs="Arial" w:eastAsia="Arial" w:hAnsi="Arial"/>
          <w:sz w:val="18"/>
          <w:szCs w:val="18"/>
          <w:color w:val="auto"/>
        </w:rPr>
        <w:t>Pain control or acute or chronic symptom management that cannot be managed in a setting other than an inpatient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Medicare-certified facility, such as a hospital, skilled nursing facility or hospice inpatient facility.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Home Care. </w:t>
      </w:r>
      <w:r>
        <w:rPr>
          <w:rFonts w:ascii="Arial" w:cs="Arial" w:eastAsia="Arial" w:hAnsi="Arial"/>
          <w:sz w:val="18"/>
          <w:szCs w:val="18"/>
          <w:color w:val="auto"/>
        </w:rPr>
        <w:t>Care for patients experiencing a medical crisis that requires nursing services to achieve palliation and symptom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agency provides a minimum of eight hours of care within a 24-hour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2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Senior Living 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June 30, 2022, we provided assisted living, independent living and memory care services in 48 communities.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living operations, we generate revenue primarily from private pay sources, with a portion earned from Medicaid or other state-specific programs.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Expense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Cost of Services (excluding rent, general and administrative expense and depreciation and amortization)</w:t>
      </w:r>
      <w:r>
        <w:rPr>
          <w:rFonts w:ascii="Arial" w:cs="Arial" w:eastAsia="Arial" w:hAnsi="Arial"/>
          <w:sz w:val="18"/>
          <w:szCs w:val="18"/>
          <w:color w:val="auto"/>
        </w:rPr>
        <w:t>. Our cost of services represents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of operating our independent operating subsidiaries, which primarily consists of payroll and related benefits, supplies, purchased services, and ancillary expenses such as the cost of pharmacy and therapy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to patients. Cost of services also includes the cost of general and professional liability insurance and other general cost of services specifically attributable to our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Rent—Cost of Services</w:t>
      </w:r>
      <w:r>
        <w:rPr>
          <w:rFonts w:ascii="Arial" w:cs="Arial" w:eastAsia="Arial" w:hAnsi="Arial"/>
          <w:sz w:val="18"/>
          <w:szCs w:val="18"/>
          <w:color w:val="auto"/>
        </w:rPr>
        <w:t>. Rent—cost of services consists solely of base minimum rent amounts payable under lease agreements to our landlords.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Property and equipment are recorded at their original historical cost. Depreciation is computed using the straight-line method over the estimated useful lives of the depreciable assets (ranging from three to 15 years). Leasehold improvements are amortized on a straight-line basis over the shorter of their estimated useful lives or the remaining lease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revenue,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7"/>
          <w:szCs w:val="17"/>
          <w:i w:val="1"/>
          <w:iCs w:val="1"/>
          <w:color w:val="auto"/>
        </w:rPr>
        <w:t>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and Summary of Significant Accounting Policies</w:t>
      </w:r>
      <w:r>
        <w:rPr>
          <w:rFonts w:ascii="Arial" w:cs="Arial" w:eastAsia="Arial" w:hAnsi="Arial"/>
          <w:sz w:val="17"/>
          <w:szCs w:val="17"/>
          <w:color w:val="auto"/>
        </w:rPr>
        <w:t>, within the 2021 Annual Report for further information on our critical accounting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policies, which are as follows:</w:t>
      </w:r>
    </w:p>
    <w:p>
      <w:pPr>
        <w:spacing w:after="0" w:line="209" w:lineRule="exact"/>
        <w:rPr>
          <w:sz w:val="20"/>
          <w:szCs w:val="20"/>
          <w:color w:val="auto"/>
        </w:rPr>
      </w:pPr>
    </w:p>
    <w:p>
      <w:pPr>
        <w:ind w:left="660" w:right="60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Self-insurance reserves </w:t>
      </w:r>
      <w:r>
        <w:rPr>
          <w:rFonts w:ascii="Arial" w:cs="Arial" w:eastAsia="Arial" w:hAnsi="Arial"/>
          <w:sz w:val="17"/>
          <w:szCs w:val="17"/>
          <w:color w:val="auto"/>
        </w:rPr>
        <w:t>- The valuation methods and assumptions used in estimating costs up to retention amounts to settle open claims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insureds and an estimate of the cost of insured claims up to retention amounts that have been incurred but not reported;</w:t>
      </w:r>
    </w:p>
    <w:p>
      <w:pPr>
        <w:spacing w:after="0" w:line="38" w:lineRule="exact"/>
        <w:rPr>
          <w:rFonts w:ascii="Arial" w:cs="Arial" w:eastAsia="Arial" w:hAnsi="Arial"/>
          <w:sz w:val="17"/>
          <w:szCs w:val="17"/>
          <w:color w:val="auto"/>
        </w:rPr>
      </w:pPr>
    </w:p>
    <w:p>
      <w:pPr>
        <w:ind w:left="660" w:right="520" w:hanging="328"/>
        <w:spacing w:after="0" w:line="308" w:lineRule="auto"/>
        <w:tabs>
          <w:tab w:leader="none" w:pos="655"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The estimate of variable considerations to arrive at the transaction price, including methods and assumptions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settlements with Medicare and Medicaid payors or retroactive adjustments due to audits and reviews;</w:t>
      </w:r>
    </w:p>
    <w:p>
      <w:pPr>
        <w:spacing w:after="0" w:line="38" w:lineRule="exact"/>
        <w:rPr>
          <w:rFonts w:ascii="Arial" w:cs="Arial" w:eastAsia="Arial" w:hAnsi="Arial"/>
          <w:sz w:val="17"/>
          <w:szCs w:val="17"/>
          <w:b w:val="1"/>
          <w:bCs w:val="1"/>
          <w:i w:val="1"/>
          <w:iCs w:val="1"/>
          <w:color w:val="auto"/>
        </w:rPr>
      </w:pPr>
    </w:p>
    <w:p>
      <w:pPr>
        <w:ind w:left="660" w:right="4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use our estimated incremental borrowing rate based on the information available at lease commencement date in determining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value of future lease payments;</w:t>
      </w:r>
    </w:p>
    <w:p>
      <w:pPr>
        <w:spacing w:after="0" w:line="58" w:lineRule="exact"/>
        <w:rPr>
          <w:rFonts w:ascii="Arial" w:cs="Arial" w:eastAsia="Arial" w:hAnsi="Arial"/>
          <w:sz w:val="18"/>
          <w:szCs w:val="18"/>
          <w:color w:val="auto"/>
        </w:rPr>
      </w:pPr>
    </w:p>
    <w:p>
      <w:pPr>
        <w:ind w:left="660" w:right="180" w:hanging="328"/>
        <w:spacing w:after="0" w:line="28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accountin</w:t>
      </w:r>
      <w:r>
        <w:rPr>
          <w:rFonts w:ascii="Arial" w:cs="Arial" w:eastAsia="Arial" w:hAnsi="Arial"/>
          <w:sz w:val="18"/>
          <w:szCs w:val="18"/>
          <w:b w:val="1"/>
          <w:bCs w:val="1"/>
          <w:color w:val="auto"/>
        </w:rPr>
        <w: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 assumptions used to allocate the purchase price paid for assets acquired and liabilities assumed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acquisitions; and</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estimation of valuation allowance or the need for and magnitude of liabilities for uncertain tax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40" w:firstLine="180"/>
        <w:spacing w:after="0" w:line="277" w:lineRule="auto"/>
        <w:rPr>
          <w:sz w:val="20"/>
          <w:szCs w:val="20"/>
          <w:color w:val="auto"/>
        </w:rPr>
      </w:pPr>
      <w:r>
        <w:rPr>
          <w:rFonts w:ascii="Arial" w:cs="Arial" w:eastAsia="Arial" w:hAnsi="Arial"/>
          <w:sz w:val="18"/>
          <w:szCs w:val="18"/>
          <w:color w:val="auto"/>
        </w:rPr>
        <w:t xml:space="preserve">Information concerning recently issued accounting pronouncements are included in Note 2, </w:t>
      </w:r>
      <w:r>
        <w:rPr>
          <w:rFonts w:ascii="Arial" w:cs="Arial" w:eastAsia="Arial" w:hAnsi="Arial"/>
          <w:sz w:val="18"/>
          <w:szCs w:val="18"/>
          <w:i w:val="1"/>
          <w:iCs w:val="1"/>
          <w:color w:val="auto"/>
        </w:rPr>
        <w:t>Basis of Presentation and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the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details of our revenue, expenses and earnings as a percentage of total revenue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7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7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8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78.8</w:t>
            </w:r>
          </w:p>
        </w:tc>
      </w:tr>
      <w:tr>
        <w:trPr>
          <w:trHeight w:val="229"/>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Rent—cost of services</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8.4</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Loss on asset dispositions and impairment, net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expenses</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280" w:type="dxa"/>
            <w:vAlign w:val="bottom"/>
          </w:tcPr>
          <w:p>
            <w:pPr>
              <w:ind w:left="7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2.4</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23"/>
        </w:trPr>
        <w:tc>
          <w:tcPr>
            <w:tcW w:w="5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expense, net</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r>
      <w:tr>
        <w:trPr>
          <w:trHeight w:val="223"/>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income</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(loss) income attributable to noncontrolling interest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income attributable to Pennant</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4"/>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4"/>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consolidated GAAP Financial measures for the three and six months ended June 30, 2022 and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GAAP Financial Measures: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116,316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110,345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230,226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216,008</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210,826</w:t>
            </w:r>
          </w:p>
        </w:tc>
      </w:tr>
      <w:tr>
        <w:trPr>
          <w:trHeight w:val="224"/>
        </w:trPr>
        <w:tc>
          <w:tcPr>
            <w:tcW w:w="61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2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30,972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116,316</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15,728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(7,870)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16,629</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78,105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32,240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110,345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4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64,407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230,226</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29,676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18,203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(16,016)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31,863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152,712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63,296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216,008</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18,586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provides a reconciliation of Segment Adjusted EBITDAR from Operations to Condensed Consolidated Income from operations: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Adjusted EBITDAR from Operations</w:t>
            </w:r>
            <w:r>
              <w:rPr>
                <w:rFonts w:ascii="Arial" w:cs="Arial" w:eastAsia="Arial" w:hAnsi="Arial"/>
                <w:sz w:val="23"/>
                <w:szCs w:val="23"/>
                <w:color w:val="auto"/>
                <w:vertAlign w:val="superscript"/>
              </w:rPr>
              <w:t>(a)</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34,842</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Less: Depreciation and amortization</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Rent—cost of services</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0" w:type="dxa"/>
            <w:vAlign w:val="bottom"/>
          </w:tcPr>
          <w:p>
            <w:pPr>
              <w:spacing w:after="0"/>
              <w:rPr>
                <w:sz w:val="1"/>
                <w:szCs w:val="1"/>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(d)</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line="230" w:lineRule="exact"/>
              <w:rPr>
                <w:sz w:val="20"/>
                <w:szCs w:val="20"/>
                <w:color w:val="auto"/>
              </w:rPr>
            </w:pPr>
            <w:r>
              <w:rPr>
                <w:rFonts w:ascii="Arial" w:cs="Arial" w:eastAsia="Arial" w:hAnsi="Arial"/>
                <w:sz w:val="18"/>
                <w:szCs w:val="18"/>
                <w:color w:val="auto"/>
                <w:w w:val="96"/>
              </w:rPr>
              <w:t>Loss related to senior living operations transferred to Ensign</w:t>
            </w:r>
            <w:r>
              <w:rPr>
                <w:rFonts w:ascii="Arial" w:cs="Arial" w:eastAsia="Arial" w:hAnsi="Arial"/>
                <w:sz w:val="23"/>
                <w:szCs w:val="23"/>
                <w:color w:val="auto"/>
                <w:w w:val="96"/>
                <w:vertAlign w:val="superscript"/>
              </w:rPr>
              <w:t>(f)</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income (loss) attributable to noncontrolling interest</w:t>
            </w:r>
          </w:p>
        </w:tc>
        <w:tc>
          <w:tcPr>
            <w:tcW w:w="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Condensed Consolidated (Loss) Income from Operations</w:t>
            </w:r>
          </w:p>
        </w:tc>
        <w:tc>
          <w:tcPr>
            <w:tcW w:w="8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right="260" w:hanging="580"/>
        <w:spacing w:after="0" w:line="270" w:lineRule="auto"/>
        <w:tabs>
          <w:tab w:leader="none" w:pos="337"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(5) the loss related to senior living operations transferred to Ensign, and (6) net income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17"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55" w:lineRule="exact"/>
        <w:rPr>
          <w:rFonts w:ascii="Arial" w:cs="Arial" w:eastAsia="Arial" w:hAnsi="Arial"/>
          <w:sz w:val="14"/>
          <w:szCs w:val="14"/>
          <w:color w:val="auto"/>
        </w:rPr>
      </w:pPr>
    </w:p>
    <w:p>
      <w:pPr>
        <w:ind w:left="320" w:hanging="320"/>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55" w:lineRule="exact"/>
        <w:rPr>
          <w:rFonts w:ascii="Arial" w:cs="Arial" w:eastAsia="Arial" w:hAnsi="Arial"/>
          <w:sz w:val="14"/>
          <w:szCs w:val="14"/>
          <w:color w:val="auto"/>
        </w:rPr>
      </w:pPr>
    </w:p>
    <w:p>
      <w:pPr>
        <w:ind w:left="320" w:hanging="317"/>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Acquisition related costs related to business combinations during the periods.</w:t>
      </w:r>
    </w:p>
    <w:p>
      <w:pPr>
        <w:spacing w:after="0" w:line="55" w:lineRule="exact"/>
        <w:rPr>
          <w:sz w:val="20"/>
          <w:szCs w:val="20"/>
          <w:color w:val="auto"/>
        </w:rPr>
      </w:pPr>
    </w:p>
    <w:p>
      <w:pPr>
        <w:ind w:left="580" w:right="280" w:hanging="580"/>
        <w:spacing w:after="0" w:line="257" w:lineRule="auto"/>
        <w:tabs>
          <w:tab w:leader="none" w:pos="337"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$458 and $1,101 for the three and six months ended June 30, 2022, and $747 and $1,735 for the three and six months ended June 30, 2021.</w:t>
      </w:r>
    </w:p>
    <w:p>
      <w:pPr>
        <w:spacing w:after="0" w:line="23" w:lineRule="exact"/>
        <w:rPr>
          <w:sz w:val="20"/>
          <w:szCs w:val="20"/>
          <w:color w:val="auto"/>
        </w:rPr>
      </w:pPr>
    </w:p>
    <w:p>
      <w:pPr>
        <w:ind w:left="580" w:right="260" w:hanging="580"/>
        <w:spacing w:after="0" w:line="247" w:lineRule="auto"/>
        <w:tabs>
          <w:tab w:leader="none" w:pos="3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three and six months ended June 30, 2022 to cover post-closing capital expenditures and operating losses related to one of the communities transferred on April 1, 2022. The amount above also includes $191 and $(566) for the three and six months ended June 30, 2022, respectively, for the related net impact on revenue and cost of service attributable to the transferred entities. This amount excludes rent and depreciation and amortization expense related to such operations.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Performance and Valuation Measures:</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620" w:type="dxa"/>
            <w:vAlign w:val="bottom"/>
            <w:gridSpan w:val="5"/>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Non-GAAP Financial Measures: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Performance Metrics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7,608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14,920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Metric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16,629</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31,863</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34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620" w:type="dxa"/>
            <w:vAlign w:val="bottom"/>
            <w:gridSpan w:val="5"/>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Segment Non-GAAP Measures: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health and hospice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14,534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27,244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26,642</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Senior living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744</w:t>
            </w:r>
          </w:p>
        </w:tc>
      </w:tr>
    </w:tbl>
    <w:p>
      <w:pPr>
        <w:spacing w:after="0" w:line="115" w:lineRule="exact"/>
        <w:rPr>
          <w:sz w:val="20"/>
          <w:szCs w:val="20"/>
          <w:color w:val="auto"/>
        </w:rPr>
      </w:pPr>
    </w:p>
    <w:p>
      <w:pPr>
        <w:ind w:left="580" w:hanging="454"/>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and administrative expenses are not allocated to any segment for purposes of determining segment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tables below reconcile Consolidated Net Income (loss) to the consolidated Non-GAAP financial measures, Consolidated EBITDA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Adjusted EBITDA, and to the Non-GAAP valuation measure, Consolidated Adjusted EBITDAR, for the periods presented: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(loss)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Provision for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7,721</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Consolidated EBITDA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line="230" w:lineRule="exact"/>
              <w:rPr>
                <w:sz w:val="20"/>
                <w:szCs w:val="20"/>
                <w:color w:val="auto"/>
              </w:rPr>
            </w:pPr>
            <w:r>
              <w:rPr>
                <w:rFonts w:ascii="Arial" w:cs="Arial" w:eastAsia="Arial" w:hAnsi="Arial"/>
                <w:sz w:val="18"/>
                <w:szCs w:val="18"/>
                <w:color w:val="auto"/>
              </w:rPr>
              <w:t>Add: Costs at start-up operations</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61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r>
      <w:tr>
        <w:trPr>
          <w:trHeight w:val="230"/>
        </w:trPr>
        <w:tc>
          <w:tcPr>
            <w:tcW w:w="610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1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6100" w:type="dxa"/>
            <w:vAlign w:val="bottom"/>
          </w:tcPr>
          <w:p>
            <w:pPr>
              <w:ind w:left="480"/>
              <w:spacing w:after="0" w:line="230" w:lineRule="exact"/>
              <w:rPr>
                <w:sz w:val="20"/>
                <w:szCs w:val="20"/>
                <w:color w:val="auto"/>
              </w:rPr>
            </w:pPr>
            <w:r>
              <w:rPr>
                <w:rFonts w:ascii="Arial" w:cs="Arial" w:eastAsia="Arial" w:hAnsi="Arial"/>
                <w:sz w:val="18"/>
                <w:szCs w:val="18"/>
                <w:color w:val="auto"/>
              </w:rPr>
              <w:t>Loss related to senior living operations transferred to Ensign</w:t>
            </w:r>
            <w:r>
              <w:rPr>
                <w:rFonts w:ascii="Arial" w:cs="Arial" w:eastAsia="Arial" w:hAnsi="Arial"/>
                <w:sz w:val="23"/>
                <w:szCs w:val="23"/>
                <w:color w:val="auto"/>
                <w:vertAlign w:val="superscript"/>
              </w:rPr>
              <w: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items (a) and (e) above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14,920</w:t>
            </w:r>
          </w:p>
        </w:tc>
      </w:tr>
      <w:tr>
        <w:trPr>
          <w:trHeight w:val="223"/>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Rent—cost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w:t>
            </w:r>
          </w:p>
        </w:tc>
      </w:tr>
      <w:tr>
        <w:trPr>
          <w:trHeight w:val="229"/>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Rent related to items (a) and (e) above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rent—cost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19,922</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0" w:lineRule="exact"/>
        <w:rPr>
          <w:sz w:val="20"/>
          <w:szCs w:val="20"/>
          <w:color w:val="auto"/>
        </w:rPr>
      </w:pPr>
    </w:p>
    <w:p>
      <w:pPr>
        <w:ind w:left="480" w:hanging="454"/>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55" w:lineRule="exact"/>
        <w:rPr>
          <w:rFonts w:ascii="Arial" w:cs="Arial" w:eastAsia="Arial" w:hAnsi="Arial"/>
          <w:sz w:val="14"/>
          <w:szCs w:val="14"/>
          <w:color w:val="auto"/>
        </w:rPr>
      </w:pPr>
    </w:p>
    <w:p>
      <w:pPr>
        <w:ind w:left="480" w:hanging="454"/>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55" w:lineRule="exact"/>
        <w:rPr>
          <w:rFonts w:ascii="Arial" w:cs="Arial" w:eastAsia="Arial" w:hAnsi="Arial"/>
          <w:sz w:val="14"/>
          <w:szCs w:val="14"/>
          <w:color w:val="auto"/>
        </w:rPr>
      </w:pPr>
    </w:p>
    <w:p>
      <w:pPr>
        <w:ind w:left="480" w:hanging="454"/>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Acquisition related costs related to business combinations during the periods.</w:t>
      </w:r>
    </w:p>
    <w:p>
      <w:pPr>
        <w:spacing w:after="0" w:line="55" w:lineRule="exact"/>
        <w:rPr>
          <w:rFonts w:ascii="Arial" w:cs="Arial" w:eastAsia="Arial" w:hAnsi="Arial"/>
          <w:sz w:val="14"/>
          <w:szCs w:val="14"/>
          <w:color w:val="auto"/>
        </w:rPr>
      </w:pPr>
    </w:p>
    <w:p>
      <w:pPr>
        <w:jc w:val="both"/>
        <w:ind w:left="480" w:right="20" w:hanging="454"/>
        <w:spacing w:after="0" w:line="257" w:lineRule="auto"/>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$458 and $1,101 for the three and six months ended June 30, 2022, and $747 and $1,735 for the three and six months ended June 30, 2021.</w:t>
      </w:r>
    </w:p>
    <w:p>
      <w:pPr>
        <w:spacing w:after="0" w:line="22" w:lineRule="exact"/>
        <w:rPr>
          <w:rFonts w:ascii="Arial" w:cs="Arial" w:eastAsia="Arial" w:hAnsi="Arial"/>
          <w:sz w:val="14"/>
          <w:szCs w:val="14"/>
          <w:color w:val="auto"/>
        </w:rPr>
      </w:pPr>
    </w:p>
    <w:p>
      <w:pPr>
        <w:jc w:val="both"/>
        <w:ind w:left="480" w:right="20" w:hanging="454"/>
        <w:spacing w:after="0" w:line="247" w:lineRule="auto"/>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three and six months ended June 30, 2022 to cover post-closing capital expenditures and operating losses related to one of the communities transferred on April 1, 2022. The amount above also includes $191 and $(566) for the three and six months ended June 30, 2022, respectively, for the related net impact on revenue and cost of service attributable to the transferred entities. This amount excludes rent and depreciation and amortization expense related to such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tables below reconcile Segment Adjusted EBITDAR from Operations to Segment Adjusted EBITDA from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8,957</w:t>
            </w:r>
          </w:p>
        </w:tc>
      </w:tr>
      <w:tr>
        <w:trPr>
          <w:trHeight w:val="229"/>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and transferred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8"/>
        </w:trPr>
        <w:tc>
          <w:tcPr>
            <w:tcW w:w="6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0"/>
              </w:rPr>
              <w:t>Six Months Ended June 30,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17,792</w:t>
            </w:r>
          </w:p>
        </w:tc>
      </w:tr>
      <w:tr>
        <w:trPr>
          <w:trHeight w:val="229"/>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and transferred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these Non-GAAP Financial Measures are useful to investors and other external users of our financial statements regarding our results of operations because:</w:t>
      </w:r>
    </w:p>
    <w:p>
      <w:pPr>
        <w:spacing w:after="0" w:line="197" w:lineRule="exact"/>
        <w:rPr>
          <w:sz w:val="20"/>
          <w:szCs w:val="20"/>
          <w:color w:val="auto"/>
        </w:rPr>
      </w:pPr>
    </w:p>
    <w:p>
      <w:pPr>
        <w:jc w:val="both"/>
        <w:ind w:left="660" w:hanging="328"/>
        <w:spacing w:after="0" w:line="311"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they help investors evaluate and compare the results of our operations from period to period by removing the impact of our asset base and capital structure from our operating results;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Adjusted EBITDAR is used by investors and analysts in our industry to value the companies in our industry without regard to capital structures.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use Non-GAAP Financial Measures: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assess the value of a potential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assess the value of a transformed operation’s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establish compensation programs and bonuses for our leaders that are partially based upon the achievement of Consolidated Adjusted EBITDAR targets.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1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do not reflect our current or future cash requirements for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Consolidated Adjusted EBITDAR, it does not reflect rent expenses, which are normal and recurring operating expenses that are necessary to operate our leased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do not reflect any income tax payments we may be required to make;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companies in our industry may calculate the same Non-GAAP Financial Measures differently than we do, which may limit their usefulness as comparative measures.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compensate for these limitations by using Non-GAAP Financial Measures only to supplement net (loss) income on a basis prepared in accordance with GAAP in order to provide a more complete understanding of the factors and trends affecting our business.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the Interim Financial Statements and related notes included elsewhere in this Quarterly Report.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EBITDA</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Consolidated EBITDA as net (loss) income, adjusted for net income (loss) attributable to noncontrolling interest prior to the Spin-Off, before (a) interest expense (b) provision for income taxes and (c)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(loss) income is beneficial to an investor’s complete understanding of our operating performance.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Consolidated Adjusted EBITDA by adjusting Consolidated EBITDA to exclude the effects of non-core business items, which for the reported periods includes, to the extent applicable:</w:t>
      </w:r>
    </w:p>
    <w:p>
      <w:pPr>
        <w:spacing w:after="0" w:line="19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at start-up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 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redundant or nonrecurring costs incurred as part of the Transition Services Agreement;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related to senior living operations and assets transferred to Ensign.</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Adjusted EBITDA from Operations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Measure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790"/>
        </w:trPr>
        <w:tc>
          <w:tcPr>
            <w:tcW w:w="802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Three Months Ended June 30, 2022 Compared to the Three Months Ended June 30, 2021</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 June 30,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Home health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40,669</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35,287</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32.0 %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33.4</w:t>
            </w:r>
          </w:p>
        </w:tc>
      </w:tr>
      <w:tr>
        <w:trPr>
          <w:trHeight w:val="229"/>
        </w:trPr>
        <w:tc>
          <w:tcPr>
            <w:tcW w:w="4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5,316</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5,980</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5.4</w:t>
            </w:r>
          </w:p>
        </w:tc>
      </w:tr>
      <w:tr>
        <w:trPr>
          <w:trHeight w:val="223"/>
        </w:trPr>
        <w:tc>
          <w:tcPr>
            <w:tcW w:w="47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73.4</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70.8</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Senior living services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30,972</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32,240</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29.2</w:t>
            </w:r>
          </w:p>
        </w:tc>
      </w:tr>
      <w:tr>
        <w:trPr>
          <w:trHeight w:val="248"/>
        </w:trPr>
        <w:tc>
          <w:tcPr>
            <w:tcW w:w="47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80" w:hanging="454"/>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3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total revenue increased $6.0 million, or 5.4% during the three months ended June 30, 2022. We experienced growth of $7.2 million from increased operational performance in our Home Health and Hospice segment as detailed below. The growth in Home Health and Hospice segment revenue was offset by a decrease in Senior Living segment revenue of $1.3 million driven primarily by the transfer of senior living communities to Ensign on March 1, 2022 and April 1,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Health and Hospice Services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June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Home health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35,287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5,382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15.3 %</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r>
      <w:tr>
        <w:trPr>
          <w:trHeight w:val="229"/>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Home care and other</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44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(11.1)</w:t>
            </w: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June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Total home health admissions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7"/>
              </w:rPr>
              <w:t>6.3</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Average Medicare revenue per 60-day completed episode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340" w:type="dxa"/>
            <w:vAlign w:val="bottom"/>
          </w:tcPr>
          <w:p>
            <w:pPr>
              <w:jc w:val="center"/>
              <w:ind w:left="590"/>
              <w:spacing w:after="0"/>
              <w:rPr>
                <w:sz w:val="20"/>
                <w:szCs w:val="20"/>
                <w:color w:val="auto"/>
              </w:rPr>
            </w:pPr>
            <w:r>
              <w:rPr>
                <w:rFonts w:ascii="Arial" w:cs="Arial" w:eastAsia="Arial" w:hAnsi="Arial"/>
                <w:sz w:val="18"/>
                <w:szCs w:val="18"/>
                <w:color w:val="auto"/>
                <w:w w:val="87"/>
              </w:rPr>
              <w:t>7.1</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Total hospice admissions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340" w:type="dxa"/>
            <w:vAlign w:val="bottom"/>
          </w:tcPr>
          <w:p>
            <w:pPr>
              <w:jc w:val="center"/>
              <w:ind w:left="590"/>
              <w:spacing w:after="0"/>
              <w:rPr>
                <w:sz w:val="20"/>
                <w:szCs w:val="20"/>
                <w:color w:val="auto"/>
              </w:rPr>
            </w:pPr>
            <w:r>
              <w:rPr>
                <w:rFonts w:ascii="Arial" w:cs="Arial" w:eastAsia="Arial" w:hAnsi="Arial"/>
                <w:sz w:val="18"/>
                <w:szCs w:val="18"/>
                <w:color w:val="auto"/>
                <w:w w:val="87"/>
              </w:rPr>
              <w:t>3.5</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(0.5)</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Hospice Medicare revenue per day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40" w:type="dxa"/>
            <w:vAlign w:val="bottom"/>
          </w:tcPr>
          <w:p>
            <w:pPr>
              <w:jc w:val="center"/>
              <w:ind w:left="590"/>
              <w:spacing w:after="0"/>
              <w:rPr>
                <w:sz w:val="20"/>
                <w:szCs w:val="20"/>
                <w:color w:val="auto"/>
              </w:rPr>
            </w:pPr>
            <w:r>
              <w:rPr>
                <w:rFonts w:ascii="Arial" w:cs="Arial" w:eastAsia="Arial" w:hAnsi="Arial"/>
                <w:sz w:val="18"/>
                <w:szCs w:val="18"/>
                <w:color w:val="auto"/>
                <w:w w:val="87"/>
              </w:rPr>
              <w:t>2.9</w:t>
            </w:r>
          </w:p>
        </w:tc>
      </w:tr>
      <w:tr>
        <w:trPr>
          <w:trHeight w:val="23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7"/>
              </w:rPr>
              <w:t>3.5</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Home health and hospice revenue increased $7.2 million, or 9.3%. Revenue grew due to an increase in certain key performance indicators, including an increase of 7.1% in average Medicare revenue per 60-day completed episode, an increase of 6.3% in Medicare home health admissions, an increase of 3.5% in total hospice admissions, and an increase of 2.9%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7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90"/>
        </w:trPr>
        <w:tc>
          <w:tcPr>
            <w:tcW w:w="3760" w:type="dxa"/>
            <w:vAlign w:val="bottom"/>
            <w:gridSpan w:val="2"/>
          </w:tcPr>
          <w:p>
            <w:pPr>
              <w:spacing w:after="0"/>
              <w:rPr>
                <w:sz w:val="20"/>
                <w:szCs w:val="20"/>
                <w:color w:val="auto"/>
              </w:rPr>
            </w:pPr>
            <w:r>
              <w:rPr>
                <w:rFonts w:ascii="Arial" w:cs="Arial" w:eastAsia="Arial" w:hAnsi="Arial"/>
                <w:sz w:val="18"/>
                <w:szCs w:val="18"/>
                <w:color w:val="auto"/>
              </w:rPr>
              <w:t>hospice  Medicare  revenue  per  day,  during</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the  three  months  ended</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June  30,</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2022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in  comparison</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to  the  prior</w:t>
            </w:r>
          </w:p>
        </w:tc>
        <w:tc>
          <w:tcPr>
            <w:tcW w:w="1240" w:type="dxa"/>
            <w:vAlign w:val="bottom"/>
          </w:tcPr>
          <w:p>
            <w:pPr>
              <w:jc w:val="right"/>
              <w:spacing w:after="0"/>
              <w:rPr>
                <w:sz w:val="20"/>
                <w:szCs w:val="20"/>
                <w:color w:val="auto"/>
              </w:rPr>
            </w:pPr>
            <w:r>
              <w:rPr>
                <w:rFonts w:ascii="Arial" w:cs="Arial" w:eastAsia="Arial" w:hAnsi="Arial"/>
                <w:sz w:val="18"/>
                <w:szCs w:val="18"/>
                <w:color w:val="auto"/>
              </w:rPr>
              <w:t>year’s  quarter.</w:t>
            </w:r>
          </w:p>
        </w:tc>
      </w:tr>
      <w:tr>
        <w:trPr>
          <w:trHeight w:val="257"/>
        </w:trPr>
        <w:tc>
          <w:tcPr>
            <w:tcW w:w="12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2022</w:t>
            </w: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Change</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12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22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30,972</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Number of communities at period end</w:t>
            </w:r>
          </w:p>
        </w:tc>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(11.1)</w:t>
            </w:r>
          </w:p>
        </w:tc>
      </w:tr>
      <w:tr>
        <w:trPr>
          <w:trHeight w:val="22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76.5 %</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2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3,470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9.3</w:t>
            </w:r>
          </w:p>
        </w:tc>
      </w:tr>
    </w:tbl>
    <w:p>
      <w:pPr>
        <w:spacing w:after="0" w:line="3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Senior living revenue decreased $1.3 million, or 3.9%, for the three months ended June 30, 2022 compared to the same period in the prior year due primarily to the loss revenue from senior living communities transferred to Ensign, offset by occupancy growth of 3.8% and a 9.3% increase in average monthly revenue per occupied unit between June 30, 2021 and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total cost of services by each of our reportable segments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1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c>
          <w:tcPr>
            <w:tcW w:w="172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w w:val="94"/>
              </w:rPr>
              <w:t>% Change</w:t>
            </w:r>
          </w:p>
        </w:tc>
        <w:tc>
          <w:tcPr>
            <w:tcW w:w="200" w:type="dxa"/>
            <w:vAlign w:val="bottom"/>
            <w:tcBorders>
              <w:bottom w:val="single" w:sz="8" w:color="auto"/>
            </w:tcBorders>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3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Home Health and Hospice</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8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5"/>
              </w:rPr>
              <w:t>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3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Senior Living</w:t>
            </w: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820" w:type="dxa"/>
            <w:vAlign w:val="bottom"/>
            <w:tcBorders>
              <w:bottom w:val="single" w:sz="8" w:color="CCEEFF"/>
            </w:tcBorders>
            <w:gridSpan w:val="2"/>
          </w:tcPr>
          <w:p>
            <w:pPr>
              <w:jc w:val="center"/>
              <w:ind w:left="150"/>
              <w:spacing w:after="0"/>
              <w:rPr>
                <w:sz w:val="20"/>
                <w:szCs w:val="20"/>
                <w:color w:val="auto"/>
              </w:rPr>
            </w:pPr>
            <w:r>
              <w:rPr>
                <w:rFonts w:ascii="Arial" w:cs="Arial" w:eastAsia="Arial" w:hAnsi="Arial"/>
                <w:sz w:val="18"/>
                <w:szCs w:val="18"/>
                <w:color w:val="auto"/>
                <w:w w:val="91"/>
              </w:rPr>
              <w:t>(0.6)</w:t>
            </w:r>
          </w:p>
        </w:tc>
        <w:tc>
          <w:tcPr>
            <w:tcW w:w="200" w:type="dxa"/>
            <w:vAlign w:val="bottom"/>
            <w:tcBorders>
              <w:bottom w:val="single" w:sz="8" w:color="CCEEFF"/>
            </w:tcBorders>
          </w:tcPr>
          <w:p>
            <w:pPr>
              <w:spacing w:after="0"/>
              <w:rPr>
                <w:sz w:val="19"/>
                <w:szCs w:val="19"/>
                <w:color w:val="auto"/>
              </w:rPr>
            </w:pPr>
          </w:p>
        </w:tc>
      </w:tr>
      <w:tr>
        <w:trPr>
          <w:trHeight w:val="248"/>
        </w:trPr>
        <w:tc>
          <w:tcPr>
            <w:tcW w:w="32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cost of services</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182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5"/>
              </w:rPr>
              <w:t>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consolidated cost of services increased $6.0 million or 7.0% for the three months ended June 30, 2022 when compared to the three months ended June 30, 2021. Cost of services as a percentage of revenue increased by 1.2% from 78.5% to 79.7% for the three months ended June 30, 2022 when compared to the three months ended June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70,301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6,194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82.4 %</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services related to our Home Health and Hospice services segment increased $6.2 million, or 9.7%, primarily due to increased volume of services provided and increased labor costs. Cost of services as a percentage of revenue for the three months ended June 30, 2022 increased 0.3% from 82.1% to 82.4% for the three months ended June 30, 2022 when compared to the three months ended June 30, 2021, primarily due to wage rate increases.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22,415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72.4 %</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services related to our Senior Living services segment decreased $0.1 million, or 0.6%. As a percentage of revenue, costs of service increased by 2.3% from 70.0% to 72.4% for the three months ended June 30, 2022 when compared to the three months ended June 30, 2021, due primarily to increased wages rates.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Rent—Cost of Services</w:t>
      </w:r>
      <w:r>
        <w:rPr>
          <w:rFonts w:ascii="Arial" w:cs="Arial" w:eastAsia="Arial" w:hAnsi="Arial"/>
          <w:sz w:val="17"/>
          <w:szCs w:val="17"/>
          <w:color w:val="auto"/>
        </w:rPr>
        <w:t>. Rent expense decreased 10.6% from $10.2 million to $9.1 million in the three months ended June 30,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2021, primarily as a result of the transfer of senior living communities to Ensign. Rent as a percentage of total revenue decreased 1.4% from 9.2% to 7.8% for the three months ended June 30, 2022 compared to the three months ended June 30, 2021.</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Our general and administrative expense increased $1.0 million or 10.9% from $8.8 million to $9.7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June 30, 2022 when compared to the three months ended June 30, 2021. General and administrative expense as a percentage of revenue increased 0.4% from 8.0% to 8.4%. The primary driver of the increase in general and administrative expense was an increase of 14.9% in wage and benefits related to increased headcount and wage rates and included implementation costs for process enhancing financial and accounting systems during the three months ended June 30, 2022 when compared to the three months ended June 30, 2021.</w:t>
      </w:r>
    </w:p>
    <w:p>
      <w:pPr>
        <w:spacing w:after="0" w:line="20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was essentially flat as a percentage of total revenue. The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capital expenditures on depreciation was offset by the prior year impairment of assets that were transferred to Ensign during the current year.</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Loss on transfer of senior living communities. </w:t>
      </w:r>
      <w:r>
        <w:rPr>
          <w:rFonts w:ascii="Arial" w:cs="Arial" w:eastAsia="Arial" w:hAnsi="Arial"/>
          <w:sz w:val="18"/>
          <w:szCs w:val="18"/>
          <w:color w:val="auto"/>
        </w:rPr>
        <w:t>The loss on transfer of senior living communities includes a transaction fee of $6.5 million for post-closing capital expenditures and operating losses related to one of the communities transferred to Ensign as well as asset impairment for the three months ended June 30, 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income tax benefit of $1.4 million representing and effective tax rate of 34.6%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compared to income tax expense of $0.6 million representing 19.7% for the three months ended June 30, 2021. See Note 14</w:t>
      </w:r>
      <w:r>
        <w:rPr>
          <w:rFonts w:ascii="Arial" w:cs="Arial" w:eastAsia="Arial" w:hAnsi="Arial"/>
          <w:sz w:val="18"/>
          <w:szCs w:val="18"/>
          <w:i w:val="1"/>
          <w:iCs w:val="1"/>
          <w:color w:val="auto"/>
        </w:rPr>
        <w:t>, Income Taxes</w:t>
      </w:r>
      <w:r>
        <w:rPr>
          <w:rFonts w:ascii="Arial" w:cs="Arial" w:eastAsia="Arial" w:hAnsi="Arial"/>
          <w:sz w:val="18"/>
          <w:szCs w:val="18"/>
          <w:color w:val="auto"/>
        </w:rPr>
        <w:t>, to the Interim Financial Statements included elsewhere in this Quarterly Report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the Six Months Ended June 30,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Six Months Ended June 30,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Home health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78,089</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33.9 %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68,491</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31.7 %</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77,182</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34.1</w:t>
            </w:r>
          </w:p>
        </w:tc>
      </w:tr>
      <w:tr>
        <w:trPr>
          <w:trHeight w:val="230"/>
        </w:trPr>
        <w:tc>
          <w:tcPr>
            <w:tcW w:w="4700" w:type="dxa"/>
            <w:vAlign w:val="bottom"/>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10,548</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10,469</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4.9</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64,407</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63,296</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29.3</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230,226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total revenue increased $14.2 million, or 6.6%, during the six months ended June 30, 2022. The increase in revenue was driven by increases in all key home health metrics, hospice admissions, hospice revenue per day, senior living occupancy, and senior living revenue per occupied room, partially offset by a decrease in hospice average daily census.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90"/>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 June 30,</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Home health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78,089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68,491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29"/>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Home care and 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0.8</w:t>
            </w:r>
          </w:p>
        </w:tc>
      </w:tr>
      <w:tr>
        <w:trPr>
          <w:trHeight w:val="248"/>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447"/>
        </w:trPr>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 June 30,</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Total home health admissions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30"/>
        </w:trPr>
        <w:tc>
          <w:tcPr>
            <w:tcW w:w="582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Average Medicare revenue per 60-day completed episode</w:t>
            </w:r>
            <w:r>
              <w:rPr>
                <w:rFonts w:ascii="Arial" w:cs="Arial" w:eastAsia="Arial" w:hAnsi="Arial"/>
                <w:sz w:val="23"/>
                <w:szCs w:val="23"/>
                <w:color w:val="auto"/>
                <w:vertAlign w:val="superscript"/>
              </w:rPr>
              <w:t>(a)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4.9</w:t>
            </w:r>
          </w:p>
        </w:tc>
      </w:tr>
      <w:tr>
        <w:trPr>
          <w:trHeight w:val="22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Total hospice admissions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7.8</w:t>
            </w:r>
          </w:p>
        </w:tc>
      </w:tr>
      <w:tr>
        <w:trPr>
          <w:trHeight w:val="229"/>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Hospice Medicare revenue per day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23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r>
    </w:tbl>
    <w:p>
      <w:pPr>
        <w:spacing w:after="0" w:line="116" w:lineRule="exact"/>
        <w:rPr>
          <w:sz w:val="20"/>
          <w:szCs w:val="20"/>
          <w:color w:val="auto"/>
        </w:rPr>
      </w:pPr>
    </w:p>
    <w:p>
      <w:pPr>
        <w:ind w:left="480" w:hanging="454"/>
        <w:spacing w:after="0"/>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year to date average for Medicare revenue per 60-day completed episode includes post period claim adjustments for prior periods.</w:t>
      </w: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Home health and hospice revenue increased $13.1 million, or 8.6% during the six months ended June 30, 2022. Revenue grew primarily due to an increase of 7.8% in total hospice admissions, an increase of 5.6% in home health admissions (inclusive of an increase in total Medicare home health admissions of 4.6%), offset by a decrease of 1.8% in hospice average daily census during the six months ended June 30, 2022 when compared to the six months ended June 30,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00"/>
        </w:trPr>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4"/>
          </w:tcPr>
          <w:p>
            <w:pPr>
              <w:ind w:left="14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4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64,407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1.8 %</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2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(11.1)</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3,418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0"/>
                <w:szCs w:val="20"/>
                <w:color w:val="auto"/>
              </w:rPr>
            </w:pPr>
          </w:p>
        </w:tc>
        <w:tc>
          <w:tcPr>
            <w:tcW w:w="1360" w:type="dxa"/>
            <w:vAlign w:val="bottom"/>
          </w:tcPr>
          <w:p>
            <w:pPr>
              <w:ind w:left="920"/>
              <w:spacing w:after="0"/>
              <w:rPr>
                <w:sz w:val="20"/>
                <w:szCs w:val="20"/>
                <w:color w:val="auto"/>
              </w:rPr>
            </w:pPr>
            <w:r>
              <w:rPr>
                <w:rFonts w:ascii="Arial" w:cs="Arial" w:eastAsia="Arial" w:hAnsi="Arial"/>
                <w:sz w:val="18"/>
                <w:szCs w:val="18"/>
                <w:color w:val="auto"/>
              </w:rPr>
              <w:t>7.5</w:t>
            </w:r>
          </w:p>
        </w:tc>
      </w:tr>
    </w:tbl>
    <w:p>
      <w:pPr>
        <w:spacing w:after="0" w:line="3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living revenue increased $1.1 million, or 1.8%, for the six months ended June 30, 2022 compared to the same period in the prior year primarily due to an increase of 7.5% in average monthly revenue per occupied unit and an addition of 2.0% in the occupancy rate between June 30, 2021 and June 30, 2022. The increases were partially offset by the loss of revenue from the senior living communities transferred to Ensign.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w w:val="89"/>
              </w:rPr>
              <w:t>Cost of Services</w:t>
            </w:r>
          </w:p>
        </w:tc>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1"/>
              </w:rPr>
              <w:t>9.3 %</w:t>
            </w:r>
          </w:p>
        </w:tc>
      </w:tr>
      <w:tr>
        <w:trPr>
          <w:trHeight w:val="230"/>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Living</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480" w:type="dxa"/>
            <w:vAlign w:val="bottom"/>
            <w:tcBorders>
              <w:bottom w:val="single" w:sz="8" w:color="CCEEFF"/>
            </w:tcBorders>
            <w:gridSpan w:val="2"/>
          </w:tcPr>
          <w:p>
            <w:pPr>
              <w:ind w:left="1040"/>
              <w:spacing w:after="0"/>
              <w:rPr>
                <w:sz w:val="20"/>
                <w:szCs w:val="20"/>
                <w:color w:val="auto"/>
              </w:rPr>
            </w:pPr>
            <w:r>
              <w:rPr>
                <w:rFonts w:ascii="Arial" w:cs="Arial" w:eastAsia="Arial" w:hAnsi="Arial"/>
                <w:sz w:val="18"/>
                <w:szCs w:val="18"/>
                <w:color w:val="auto"/>
              </w:rPr>
              <w:t>2.3</w:t>
            </w:r>
          </w:p>
        </w:tc>
      </w:tr>
      <w:tr>
        <w:trPr>
          <w:trHeight w:val="248"/>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 of services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1"/>
              </w:rPr>
              <w:t>7.5 %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Consolidated cost of services increased $12.7 million or 7.5% during the six months ended June 30, 2022. Cost of services as a percentage of revenue for the six months ended June 30, 2022 increased by 0.7% to 79.5% from 78.8% compared to the six months ended June 30,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137,232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125,593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11,639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82.8 %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services related to our Home Health and Hospice services segment increased $11.6 million, or 9.3%, primarily due to the increased volume of services from growth in admissions. Cost of services as a percentage of revenue for the six months ended June 30, 2022 increased by 0.6% compared to the six months ended June 30, 2021 primarily due to increased wage rates offset by a slight decrease in employee benefit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9"/>
        </w:trPr>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45,746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44,696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1,050</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services related to our Senior Living services segment increased $1.1 million, or 2.3% during the six months ended June 30, 2022 in response to higher occupancy and wage rate increases. As a percentage of revenue, costs of service increased by 0.4% from 70.6% to 71.0% during the six months ended June 30, 2022 when compared to the six months ended June 30, 2021, due primarily to increased wages driven by overtime expenses.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Rent—Cost of Services</w:t>
      </w:r>
      <w:r>
        <w:rPr>
          <w:rFonts w:ascii="Arial" w:cs="Arial" w:eastAsia="Arial" w:hAnsi="Arial"/>
          <w:sz w:val="18"/>
          <w:szCs w:val="18"/>
          <w:color w:val="auto"/>
        </w:rPr>
        <w:t>. Rent decreased 4.9% from $20.1 million to $19.1 million in the six months ended June 30, 2022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the prior year, primarily as a result of the transfer of senior living communities to Ensign. As a percentage of revenue, rent</w:t>
      </w:r>
      <w:r>
        <w:rPr>
          <w:rFonts w:ascii="Arial" w:cs="Arial" w:eastAsia="Arial" w:hAnsi="Arial"/>
          <w:sz w:val="18"/>
          <w:szCs w:val="18"/>
          <w:i w:val="1"/>
          <w:iCs w:val="1"/>
          <w:color w:val="auto"/>
        </w:rPr>
        <w:t>—</w:t>
      </w:r>
      <w:r>
        <w:rPr>
          <w:rFonts w:ascii="Arial" w:cs="Arial" w:eastAsia="Arial" w:hAnsi="Arial"/>
          <w:sz w:val="18"/>
          <w:szCs w:val="18"/>
          <w:color w:val="auto"/>
        </w:rPr>
        <w:t>cost of services decreased 1.0% when compared to the six months ended June 30, 2021.</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Our general and administrative expense increased $1.7 million or 9.4% from $18.1 million to $19.8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2022 when compared to the six months ended June 30, 2021. The increase in general and administrative expense was primarily due to an increase of $1.4 million in wage and benefits included implementation costs for process enhancing financial and accounting systems during the six months ended June 30, 2022 when compared to the six months ended June 30, 2021.</w:t>
      </w:r>
    </w:p>
    <w:p>
      <w:pPr>
        <w:spacing w:after="0" w:line="19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increased slightly as a percentage of total revenue due the impairment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at December 31, 2021 that were transferred to Ensign on March 1, 2022 and April 1, 2022,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Loss on transfer of senior living communities. </w:t>
      </w:r>
      <w:r>
        <w:rPr>
          <w:rFonts w:ascii="Arial" w:cs="Arial" w:eastAsia="Arial" w:hAnsi="Arial"/>
          <w:sz w:val="18"/>
          <w:szCs w:val="18"/>
          <w:color w:val="auto"/>
        </w:rPr>
        <w:t>The loss on transfer of senior living communities includes a transaction fee of $6.5 million for post-closing capital expenditures and operating losses related to one of the communities transferred to Ensign as well as asset impairment for the six months ended June 30, 2022.</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Our income tax benefit of $0.8 million represents an effective tax rate of 36.7%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compared to income tax expense of $0.9 million representing 21.8% for the six months ended June 30, 2021. The change in effective rate is primarily driven by the change in earnings before income taxes and a decrease in excess tax benefits from share-based compensation. See Note 14</w:t>
      </w:r>
      <w:r>
        <w:rPr>
          <w:rFonts w:ascii="Arial" w:cs="Arial" w:eastAsia="Arial" w:hAnsi="Arial"/>
          <w:sz w:val="17"/>
          <w:szCs w:val="17"/>
          <w:i w:val="1"/>
          <w:iCs w:val="1"/>
          <w:color w:val="auto"/>
        </w:rPr>
        <w:t>, Income Taxes</w:t>
      </w:r>
      <w:r>
        <w:rPr>
          <w:rFonts w:ascii="Arial" w:cs="Arial" w:eastAsia="Arial" w:hAnsi="Arial"/>
          <w:sz w:val="17"/>
          <w:szCs w:val="17"/>
          <w:color w:val="auto"/>
        </w:rPr>
        <w:t>, to the Interim Financial Statements included elsewhere in this Quarterly Report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sources of liquidity are net cash provided by borrowings under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pacing w:after="0" w:line="21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June 30, 2022, the Company was compliant with all such financial covenants.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252525"/>
        </w:rPr>
        <w:t xml:space="preserve">As of </w:t>
      </w:r>
      <w:r>
        <w:rPr>
          <w:rFonts w:ascii="Arial" w:cs="Arial" w:eastAsia="Arial" w:hAnsi="Arial"/>
          <w:sz w:val="18"/>
          <w:szCs w:val="18"/>
          <w:color w:val="000000"/>
        </w:rPr>
        <w:t>June 30, 2022, we had $3.2 million of cash and $90.8 million of available borrowing capacity on our Revolving Credit Facility.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existing cash, generated through operations and our access to financing facilities, together with funding through third-party sources such as commercial banks, will be sufficient to fund our operating activities and growth needs, and provide adequate liquidity for the next twelve months.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data from our Condensed Consolidated Statement of Cash Flows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0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7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9"/>
                <w:szCs w:val="19"/>
                <w:color w:val="auto"/>
              </w:rPr>
            </w:pPr>
          </w:p>
        </w:tc>
      </w:tr>
      <w:tr>
        <w:trPr>
          <w:trHeight w:val="230"/>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8"/>
              </w:rPr>
              <w:t>4,899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r>
      <w:tr>
        <w:trPr>
          <w:trHeight w:val="230"/>
        </w:trPr>
        <w:tc>
          <w:tcPr>
            <w:tcW w:w="700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auto"/>
                <w:w w:val="91"/>
              </w:rPr>
              <w:t>(8,750)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(15,477)</w:t>
            </w:r>
          </w:p>
        </w:tc>
      </w:tr>
      <w:tr>
        <w:trPr>
          <w:trHeight w:val="230"/>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8"/>
              </w:rPr>
              <w:t>1,861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30,119</w:t>
            </w:r>
          </w:p>
        </w:tc>
      </w:tr>
      <w:tr>
        <w:trPr>
          <w:trHeight w:val="223"/>
        </w:trPr>
        <w:tc>
          <w:tcPr>
            <w:tcW w:w="7000" w:type="dxa"/>
            <w:vAlign w:val="bottom"/>
          </w:tcPr>
          <w:p>
            <w:pPr>
              <w:ind w:left="880"/>
              <w:spacing w:after="0"/>
              <w:rPr>
                <w:sz w:val="20"/>
                <w:szCs w:val="20"/>
                <w:color w:val="auto"/>
              </w:rPr>
            </w:pPr>
            <w:r>
              <w:rPr>
                <w:rFonts w:ascii="Arial" w:cs="Arial" w:eastAsia="Arial" w:hAnsi="Arial"/>
                <w:sz w:val="18"/>
                <w:szCs w:val="18"/>
                <w:color w:val="auto"/>
              </w:rPr>
              <w:t>Net (decrease) increase in cash</w:t>
            </w:r>
          </w:p>
        </w:tc>
        <w:tc>
          <w:tcPr>
            <w:tcW w:w="960" w:type="dxa"/>
            <w:vAlign w:val="bottom"/>
          </w:tcPr>
          <w:p>
            <w:pPr>
              <w:spacing w:after="0"/>
              <w:rPr>
                <w:sz w:val="19"/>
                <w:szCs w:val="19"/>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auto"/>
                <w:w w:val="91"/>
              </w:rPr>
              <w:t>(1,990)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2,836</w:t>
            </w:r>
          </w:p>
        </w:tc>
      </w:tr>
      <w:tr>
        <w:trPr>
          <w:trHeight w:val="230"/>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at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8"/>
              </w:rPr>
              <w:t>5,190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000" w:type="dxa"/>
            <w:vAlign w:val="bottom"/>
          </w:tcPr>
          <w:p>
            <w:pPr>
              <w:ind w:left="880"/>
              <w:spacing w:after="0"/>
              <w:rPr>
                <w:sz w:val="20"/>
                <w:szCs w:val="20"/>
                <w:color w:val="auto"/>
              </w:rPr>
            </w:pPr>
            <w:r>
              <w:rPr>
                <w:rFonts w:ascii="Arial" w:cs="Arial" w:eastAsia="Arial" w:hAnsi="Arial"/>
                <w:sz w:val="18"/>
                <w:szCs w:val="18"/>
                <w:color w:val="auto"/>
              </w:rPr>
              <w:t>Cash at end of period</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8"/>
              </w:rPr>
              <w:t>3,200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r>
      <w:tr>
        <w:trPr>
          <w:trHeight w:val="20"/>
        </w:trPr>
        <w:tc>
          <w:tcPr>
            <w:tcW w:w="7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the Six Months Ended June 30, 2021</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net cash flow from operating activities for the six months ended June 30, 2022 increased by $16.7 million when compared to the six months ended June 30, 2021. The primary driver of this difference can be attributed to the $5.8 million increase in cash flows related to accounts receivable due to improved cash collections. Additionally, there was a $5.5 million increase in other accrued liabilities driven by our becoming self-insured for claims related to employee health, dental, and vision care in 2022, and a $5.0 million change in cash flows related to the decrease in accrued wages and benefits due to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decrease in the incentives amounts paid to our employees. Other factors that contributed to the net cash provided by operating activities were an increase of $3.3 million in cash inflows due to accounts payable offset by a decrease of $4.8 million in net (loss) income. Exclusive of the repayment of AAP, our net cash flow from operations would have been $11.1 million positive for the six months ended June 30, 2022.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cash used in investing activities for the six months ended June 30, 2022 decreased by $6.7 million compared to the six months ended June 30, 2021, primarily due to a decrease in cash payments paid for business acquisitions of $12.0 million, offset by an increase of $5.5 million in capital expenditures during the period from June 30, 2021 to June 30, 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cash provided by financing activities decreased by approximately $28.3 million for the six months ended June 30, 2022 compared to the six months ended June 30, 2021. The decrease was primarily due to less borrowings during the six months ended June 30, 2022 compared to the six months ended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Other than certain draws and payments made on our Revolving Credit Facility, as described in Note 11, </w:t>
      </w:r>
      <w:r>
        <w:rPr>
          <w:rFonts w:ascii="Arial" w:cs="Arial" w:eastAsia="Arial" w:hAnsi="Arial"/>
          <w:sz w:val="18"/>
          <w:szCs w:val="18"/>
          <w:i w:val="1"/>
          <w:iCs w:val="1"/>
          <w:color w:val="auto"/>
        </w:rPr>
        <w:t>Debt</w:t>
      </w:r>
      <w:r>
        <w:rPr>
          <w:rFonts w:ascii="Arial" w:cs="Arial" w:eastAsia="Arial" w:hAnsi="Arial"/>
          <w:sz w:val="18"/>
          <w:szCs w:val="18"/>
          <w:color w:val="auto"/>
        </w:rPr>
        <w:t>, to the Interim Financial Statements in Part I of this Quarterly Report, there have been no material changes to our total obligations during the period covered by this Quarterly Report outside of the normal course of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are exposed to risks associated with market changes in interest rates. Our Revolving Credit Facility exposes us to variability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interest payments due to changes in LIBOR. We manage our exposure to this market risk by monitoring available financing alternatives.</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LIBOR Phase-Out. </w:t>
      </w:r>
      <w:r>
        <w:rPr>
          <w:rFonts w:ascii="Arial" w:cs="Arial" w:eastAsia="Arial" w:hAnsi="Arial"/>
          <w:sz w:val="18"/>
          <w:szCs w:val="18"/>
          <w:color w:val="auto"/>
        </w:rPr>
        <w:t>LIBOR is in the process of being wound down. The Overnight and the 1-, 3-, 6- and 12-Months USD LIBOR settings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until June 2023. We are required to pay interest on borrowings under our Credit Facility at floating rates based on the 1-month LIBOR and we do not expect to transition away from the LIBOR benchmark until June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Interim Financial Statements for a description of claims and legal actions arising in the ordinary course of our business.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We have disclosed under the heading “Risk Factors” in the 2021 Annual Report risk factors that materially affect our business, financial condition or results of operations. You should carefully consider the risk factors set forth in the 2021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Since the filing of our 2021 Annual Report on February 28, 2022, the following additions have been made to the risk factors previously disclosed.</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212529"/>
        </w:rPr>
        <w:t xml:space="preserve">A Medicare Payment Suspension of one of our Independent Operating Subsidiary could result in a material loss. </w:t>
      </w:r>
      <w:r>
        <w:rPr>
          <w:rFonts w:ascii="Arial" w:cs="Arial" w:eastAsia="Arial" w:hAnsi="Arial"/>
          <w:sz w:val="17"/>
          <w:szCs w:val="17"/>
          <w:color w:val="212529"/>
        </w:rPr>
        <w:t>From June 2021 to May 2022, a</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000000"/>
        </w:rPr>
        <w:t>UPIC</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000000"/>
        </w:rPr>
        <w:t>suspended one of our independent operating subsidiary’s rights to submit claims to and obtain reimbursement from Medicare for its hospice agency services. The suspension concluded in May 2022. The payments suspended as of June 30, 2022 total $4,885 and represent all Medicare payments due to that independent operating subsidiary’s provider number during the suspension. During the suspension, the UPIC reviewed 107 patient records from a 10-month period to determine whether a Medicare overpayment was made to this independent operating subsidiary and whether repayment of any identified overpayment is due. Based on the results of it claim review, the UPIC has alleged sampled and extrapolated overpayments of $5,165. The Company is evaluating these finding and preparing to contest them.</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suspension and overpayment allegation may increase the likely that this or other of our independent operating subsidiaries may be subjected to additional scrutiny in the future. Additionally, the UPIC may review patient records from one or more of our other independent operating subsidiaries, which may lead to other of our independent operating subsidiaries’ hospice agencies having their Medicare payments suspended, whether temporarily or on an indefinite or permanent basis, potentially leading to their closure and resulting adverse impacts on our revenues and profits.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212529"/>
        </w:rPr>
        <w:t>The expiration of COVID-19 Emergency Waivers could result in increased expenses.</w:t>
      </w:r>
      <w:r>
        <w:rPr>
          <w:rFonts w:ascii="Arial" w:cs="Arial" w:eastAsia="Arial" w:hAnsi="Arial"/>
          <w:sz w:val="18"/>
          <w:szCs w:val="18"/>
          <w:color w:val="000000"/>
        </w:rPr>
        <w:t>On April 6, 2022, HHS announced the expiration of seven</w:t>
      </w:r>
      <w:r>
        <w:rPr>
          <w:rFonts w:ascii="Arial" w:cs="Arial" w:eastAsia="Arial" w:hAnsi="Arial"/>
          <w:sz w:val="18"/>
          <w:szCs w:val="18"/>
          <w:b w:val="1"/>
          <w:bCs w:val="1"/>
          <w:i w:val="1"/>
          <w:iCs w:val="1"/>
          <w:color w:val="212529"/>
        </w:rPr>
        <w:t xml:space="preserve"> </w:t>
      </w:r>
      <w:r>
        <w:rPr>
          <w:rFonts w:ascii="Arial" w:cs="Arial" w:eastAsia="Arial" w:hAnsi="Arial"/>
          <w:sz w:val="18"/>
          <w:szCs w:val="18"/>
          <w:color w:val="000000"/>
        </w:rPr>
        <w:t>Emergency Waivers as of May 7, 2022, followed by the expiration of nine additional Emergency Waivers on June 6, 2022. The Emergency Waiver allowing physicians and other practitioners to conduct their visits remotely while being eligible for telehealth reimbursement expired on May 7, 2022 and may have a material impact on our revenues and profitability. Similarly, the Emergency Waivers that expired on June 6, 2022, regarding inspections of facilities and equipment; life safety code requirements for inspection, testing, and maintenance; the requirement for sleeping rooms to contain exterior doors or windows; and life safety code requirements for conducting fire drills and constructing temporary walls and barriers, may also affect our operations. Specifically, the expiration of the Emergency Waivers terminating in June of 2022 may materially affect our expenses incurred for inspection, testing, and maintenance of equipment, our occupancy and lodging of residents and patients, and ultimately the revenues and profits we derive from our operations.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257"/>
        </w:trPr>
        <w:tc>
          <w:tcPr>
            <w:tcW w:w="1080" w:type="dxa"/>
            <w:vAlign w:val="bottom"/>
            <w:gridSpan w:val="5"/>
          </w:tcPr>
          <w:p>
            <w:pPr>
              <w:ind w:left="220"/>
              <w:spacing w:after="0"/>
              <w:rPr>
                <w:sz w:val="20"/>
                <w:szCs w:val="20"/>
                <w:color w:val="auto"/>
              </w:rPr>
            </w:pPr>
            <w:r>
              <w:rPr>
                <w:rFonts w:ascii="Arial" w:cs="Arial" w:eastAsia="Arial" w:hAnsi="Arial"/>
                <w:sz w:val="18"/>
                <w:szCs w:val="18"/>
                <w:color w:val="auto"/>
              </w:rPr>
              <w:t>Exhibit</w:t>
            </w:r>
          </w:p>
        </w:tc>
        <w:tc>
          <w:tcPr>
            <w:tcW w:w="101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23"/>
        </w:trPr>
        <w:tc>
          <w:tcPr>
            <w:tcW w:w="940" w:type="dxa"/>
            <w:vAlign w:val="bottom"/>
            <w:tcBorders>
              <w:top w:val="single" w:sz="8" w:color="auto"/>
            </w:tcBorders>
            <w:gridSpan w:val="3"/>
          </w:tcPr>
          <w:p>
            <w:pPr>
              <w:jc w:val="right"/>
              <w:spacing w:after="0"/>
              <w:rPr>
                <w:rFonts w:ascii="Arial" w:cs="Arial" w:eastAsia="Arial" w:hAnsi="Arial"/>
                <w:sz w:val="18"/>
                <w:szCs w:val="18"/>
                <w:color w:val="0000FF"/>
              </w:rPr>
            </w:pPr>
            <w:hyperlink r:id="rId59">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Form of Operations Transfer Agreement, dated as of January 27, 2022, entered into by affiliates of the Company and affiliates of Ensign</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Pr>
          <w:p>
            <w:pPr>
              <w:spacing w:after="0" w:line="142" w:lineRule="exact"/>
              <w:rPr>
                <w:sz w:val="20"/>
                <w:szCs w:val="20"/>
                <w:color w:val="auto"/>
              </w:rPr>
            </w:pPr>
            <w:r>
              <w:rPr>
                <w:rFonts w:ascii="Arial" w:cs="Arial" w:eastAsia="Arial" w:hAnsi="Arial"/>
                <w:sz w:val="16"/>
                <w:szCs w:val="16"/>
                <w:color w:val="auto"/>
              </w:rPr>
              <w:t>for the transfer of five senior living communities (incorporated by reference to Exhibit 2.1 to The Pennant Group, Inc.’s Current Report on</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Form 8-K (File No. 001-38900) filed with the SEC on January 27, 2022).</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60">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of The Pennant Group, Inc., effective as of September 27, 2019 (incorporated by</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Pr>
          <w:p>
            <w:pPr>
              <w:spacing w:after="0" w:line="142" w:lineRule="exact"/>
              <w:rPr>
                <w:sz w:val="20"/>
                <w:szCs w:val="20"/>
                <w:color w:val="auto"/>
              </w:rPr>
            </w:pPr>
            <w:r>
              <w:rPr>
                <w:rFonts w:ascii="Arial" w:cs="Arial" w:eastAsia="Arial" w:hAnsi="Arial"/>
                <w:sz w:val="16"/>
                <w:szCs w:val="16"/>
                <w:color w:val="auto"/>
              </w:rPr>
              <w:t>reference to Exhibit 3.1 to The Pennant Group, Inc.’s Current Report on Form 8-K (File No. 001-38900) filed with the SEC on October 3,</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2019).</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61">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1"/>
              </w:rPr>
              <w:t>Second Amended and Restated By-laws of The Pennant Group, Inc. (incorporated by reference to Exhibit 3.1 to The Pennant Group, Inc.’s</w:t>
            </w: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Current Report on Form 8-K (File No. 001-38900) filed with the SEC on February 22, 2002)</w:t>
            </w:r>
          </w:p>
        </w:tc>
      </w:tr>
      <w:tr>
        <w:trPr>
          <w:trHeight w:val="229"/>
        </w:trPr>
        <w:tc>
          <w:tcPr>
            <w:tcW w:w="620" w:type="dxa"/>
            <w:vAlign w:val="bottom"/>
          </w:tcPr>
          <w:p>
            <w:pPr>
              <w:spacing w:after="0"/>
              <w:rPr>
                <w:sz w:val="19"/>
                <w:szCs w:val="19"/>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5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50"/>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101.INS</w:t>
            </w:r>
          </w:p>
        </w:tc>
        <w:tc>
          <w:tcPr>
            <w:tcW w:w="10100" w:type="dxa"/>
            <w:vAlign w:val="bottom"/>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101.SCH</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101.CAL</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101.DEF</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101.LAB</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4"/>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101.PRE</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53" w:lineRule="exact"/>
        <w:rPr>
          <w:sz w:val="20"/>
          <w:szCs w:val="20"/>
          <w:color w:val="auto"/>
        </w:rPr>
      </w:pPr>
    </w:p>
    <w:p>
      <w:pPr>
        <w:ind w:left="1120" w:hanging="461"/>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00" w:type="dxa"/>
            <w:vAlign w:val="bottom"/>
            <w:gridSpan w:val="2"/>
          </w:tcPr>
          <w:p>
            <w:pPr>
              <w:ind w:left="1960"/>
              <w:spacing w:after="0"/>
              <w:rPr>
                <w:sz w:val="20"/>
                <w:szCs w:val="20"/>
                <w:color w:val="auto"/>
              </w:rPr>
            </w:pPr>
            <w:r>
              <w:rPr>
                <w:rFonts w:ascii="Arial" w:cs="Arial" w:eastAsia="Arial" w:hAnsi="Arial"/>
                <w:sz w:val="18"/>
                <w:szCs w:val="18"/>
                <w:color w:val="auto"/>
              </w:rPr>
              <w:t>The Pennant Group, Inc.</w:t>
            </w:r>
          </w:p>
        </w:tc>
      </w:tr>
      <w:tr>
        <w:trPr>
          <w:trHeight w:val="283"/>
        </w:trPr>
        <w:tc>
          <w:tcPr>
            <w:tcW w:w="3600" w:type="dxa"/>
            <w:vAlign w:val="bottom"/>
          </w:tcPr>
          <w:p>
            <w:pPr>
              <w:spacing w:after="0"/>
              <w:rPr>
                <w:sz w:val="20"/>
                <w:szCs w:val="20"/>
                <w:color w:val="auto"/>
              </w:rPr>
            </w:pPr>
            <w:r>
              <w:rPr>
                <w:rFonts w:ascii="Arial" w:cs="Arial" w:eastAsia="Arial" w:hAnsi="Arial"/>
                <w:sz w:val="18"/>
                <w:szCs w:val="18"/>
                <w:color w:val="auto"/>
              </w:rPr>
              <w:t>Dated: August 8, 2022</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L. FREEMAN</w:t>
            </w:r>
          </w:p>
        </w:tc>
      </w:tr>
      <w:tr>
        <w:trPr>
          <w:trHeight w:val="224"/>
        </w:trPr>
        <w:tc>
          <w:tcPr>
            <w:tcW w:w="3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Jennifer L. Freeman</w:t>
            </w:r>
          </w:p>
        </w:tc>
      </w:tr>
    </w:tbl>
    <w:p>
      <w:pPr>
        <w:ind w:left="6380"/>
        <w:spacing w:after="0" w:line="220" w:lineRule="auto"/>
        <w:rPr>
          <w:sz w:val="20"/>
          <w:szCs w:val="20"/>
          <w:color w:val="auto"/>
        </w:rPr>
      </w:pPr>
      <w:r>
        <w:rPr>
          <w:rFonts w:ascii="Arial" w:cs="Arial" w:eastAsia="Arial" w:hAnsi="Arial"/>
          <w:sz w:val="18"/>
          <w:szCs w:val="18"/>
          <w:color w:val="auto"/>
        </w:rPr>
        <w:t>Chief Financial Officer (Principal Financial Officer and Duly</w:t>
      </w:r>
    </w:p>
    <w:p>
      <w:pPr>
        <w:ind w:left="63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Brent Guerisoli,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BRENT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2691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6360" w:val="left"/>
        </w:tabs>
        <w:rPr>
          <w:sz w:val="20"/>
          <w:szCs w:val="20"/>
          <w:color w:val="auto"/>
        </w:rPr>
      </w:pPr>
      <w:r>
        <w:rPr>
          <w:rFonts w:ascii="Arial" w:cs="Arial" w:eastAsia="Arial" w:hAnsi="Arial"/>
          <w:sz w:val="18"/>
          <w:szCs w:val="18"/>
          <w:color w:val="auto"/>
        </w:rPr>
        <w:t>Name:</w:t>
        <w:tab/>
        <w:t>Brent Guerisoli</w:t>
      </w:r>
    </w:p>
    <w:tbl>
      <w:tblPr>
        <w:tblLayout w:type="fixed"/>
        <w:tblInd w:w="558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200"/>
              <w:spacing w:after="0" w:line="199" w:lineRule="exact"/>
              <w:rPr>
                <w:sz w:val="20"/>
                <w:szCs w:val="20"/>
                <w:color w:val="auto"/>
              </w:rPr>
            </w:pPr>
            <w:r>
              <w:rPr>
                <w:rFonts w:ascii="Arial" w:cs="Arial" w:eastAsia="Arial" w:hAnsi="Arial"/>
                <w:sz w:val="18"/>
                <w:szCs w:val="18"/>
                <w:color w:val="auto"/>
                <w:w w:val="93"/>
              </w:rPr>
              <w:t>Chief Executive Officer (Principal Executive</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3440" w:type="dxa"/>
            <w:vAlign w:val="bottom"/>
            <w:vMerge w:val="restart"/>
          </w:tcPr>
          <w:p>
            <w:pPr>
              <w:ind w:left="2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3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Jennifer L. Freeman, certify that:</w:t>
      </w:r>
    </w:p>
    <w:p>
      <w:pPr>
        <w:spacing w:after="0" w:line="40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746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 (Principal Financial</w:t>
      </w:r>
    </w:p>
    <w:p>
      <w:pPr>
        <w:ind w:left="5660"/>
        <w:spacing w:after="0" w:line="203" w:lineRule="auto"/>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440"/>
        <w:spacing w:after="0"/>
        <w:rPr>
          <w:sz w:val="20"/>
          <w:szCs w:val="20"/>
          <w:color w:val="auto"/>
        </w:rPr>
      </w:pPr>
      <w:r>
        <w:rPr>
          <w:rFonts w:ascii="Arial" w:cs="Arial" w:eastAsia="Arial" w:hAnsi="Arial"/>
          <w:sz w:val="18"/>
          <w:szCs w:val="18"/>
          <w:i w:val="1"/>
          <w:iCs w:val="1"/>
          <w:color w:val="auto"/>
        </w:rPr>
        <w:t>Authorized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The Pennant Group, Inc. (the Company) on Form 10-Q for the period ended June 30, 2022, as filed with the Securities and Exchange Commission on the date hereof (the Report), I, Brent Guerisoli, Chief Executive Officer of the Company, certify, pursuant to 18 U.S.C. § 1350, as adopted pursuant to Section 906 of the Sarbanes-Oxley Act of 2002, that to my knowledge:</w:t>
      </w:r>
    </w:p>
    <w:p>
      <w:pPr>
        <w:spacing w:after="0" w:line="14" w:lineRule="exact"/>
        <w:rPr>
          <w:sz w:val="20"/>
          <w:szCs w:val="20"/>
          <w:color w:val="auto"/>
        </w:rPr>
      </w:pPr>
    </w:p>
    <w:p>
      <w:pPr>
        <w:ind w:left="700" w:hanging="35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BRENT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14605</wp:posOffset>
            </wp:positionV>
            <wp:extent cx="27857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580"/>
        <w:spacing w:after="0"/>
        <w:tabs>
          <w:tab w:leader="none" w:pos="6220" w:val="left"/>
        </w:tabs>
        <w:rPr>
          <w:sz w:val="20"/>
          <w:szCs w:val="20"/>
          <w:color w:val="auto"/>
        </w:rPr>
      </w:pPr>
      <w:r>
        <w:rPr>
          <w:rFonts w:ascii="Arial" w:cs="Arial" w:eastAsia="Arial" w:hAnsi="Arial"/>
          <w:sz w:val="18"/>
          <w:szCs w:val="18"/>
          <w:color w:val="auto"/>
        </w:rPr>
        <w:t>Name:</w:t>
        <w:tab/>
        <w:t>Brent Guerisoli</w:t>
      </w:r>
    </w:p>
    <w:tbl>
      <w:tblPr>
        <w:tblLayout w:type="fixed"/>
        <w:tblInd w:w="542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220"/>
              <w:spacing w:after="0" w:line="199" w:lineRule="exact"/>
              <w:rPr>
                <w:sz w:val="20"/>
                <w:szCs w:val="20"/>
                <w:color w:val="auto"/>
              </w:rPr>
            </w:pPr>
            <w:r>
              <w:rPr>
                <w:rFonts w:ascii="Arial" w:cs="Arial" w:eastAsia="Arial" w:hAnsi="Arial"/>
                <w:sz w:val="18"/>
                <w:szCs w:val="18"/>
                <w:color w:val="auto"/>
                <w:w w:val="93"/>
              </w:rPr>
              <w:t>Chief Executive Officer (Principal Executive</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3480" w:type="dxa"/>
            <w:vAlign w:val="bottom"/>
            <w:vMerge w:val="restart"/>
          </w:tcPr>
          <w:p>
            <w:pPr>
              <w:ind w:left="2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8"/>
        </w:trPr>
        <w:tc>
          <w:tcPr>
            <w:tcW w:w="4080" w:type="dxa"/>
            <w:vAlign w:val="bottom"/>
            <w:gridSpan w:val="2"/>
          </w:tcPr>
          <w:p>
            <w:pPr>
              <w:spacing w:after="0"/>
              <w:rPr>
                <w:sz w:val="20"/>
                <w:szCs w:val="20"/>
                <w:color w:val="auto"/>
              </w:rPr>
            </w:pPr>
            <w:r>
              <w:rPr>
                <w:rFonts w:ascii="Arial" w:cs="Arial" w:eastAsia="Arial" w:hAnsi="Arial"/>
                <w:sz w:val="18"/>
                <w:szCs w:val="18"/>
                <w:color w:val="auto"/>
              </w:rPr>
              <w:t>August 8, 2022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connection with the Annual Report of The Pennant Group, Inc. (the Company) on Form 10-Q for the period ended June 30, 2022,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2" w:lineRule="exact"/>
        <w:rPr>
          <w:sz w:val="20"/>
          <w:szCs w:val="20"/>
          <w:color w:val="auto"/>
        </w:rPr>
      </w:pPr>
    </w:p>
    <w:p>
      <w:pPr>
        <w:ind w:left="700" w:hanging="35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27686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 (Principal Financial</w:t>
      </w:r>
    </w:p>
    <w:p>
      <w:pPr>
        <w:ind w:left="5440"/>
        <w:spacing w:after="0" w:line="203" w:lineRule="auto"/>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240"/>
        <w:spacing w:after="0"/>
        <w:rPr>
          <w:sz w:val="20"/>
          <w:szCs w:val="20"/>
          <w:color w:val="auto"/>
        </w:rPr>
      </w:pPr>
      <w:r>
        <w:rPr>
          <w:rFonts w:ascii="Arial" w:cs="Arial" w:eastAsia="Arial" w:hAnsi="Arial"/>
          <w:sz w:val="18"/>
          <w:szCs w:val="18"/>
          <w:i w:val="1"/>
          <w:iCs w:val="1"/>
          <w:color w:val="auto"/>
        </w:rPr>
        <w:t>Authorized Officer)</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August 8, 2022</w:t>
      </w:r>
    </w:p>
    <w:p>
      <w:pPr>
        <w:spacing w:after="0" w:line="3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lvl w:ilvl="1">
      <w:lvlJc w:val="left"/>
      <w:lvlText w:val="(%2)"/>
      <w:numFmt w:val="lowerLetter"/>
      <w:start w:val="1"/>
    </w:lvl>
  </w:abstractNum>
  <w:abstractNum w:abstractNumId="4">
    <w:nsid w:val="6763845E"/>
    <w:multiLevelType w:val="hybridMultilevel"/>
    <w:lvl w:ilvl="0">
      <w:lvlJc w:val="left"/>
      <w:lvlText w:val="%1."/>
      <w:numFmt w:val="decimal"/>
      <w:start w:val="5"/>
    </w:lvl>
    <w:lvl w:ilvl="1">
      <w:lvlJc w:val="left"/>
      <w:lvlText w:val="%2"/>
      <w:numFmt w:val="lowerLetter"/>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Roman"/>
      <w:start w:val="2"/>
    </w:lvl>
  </w:abstractNum>
  <w:abstractNum w:abstractNumId="13">
    <w:nsid w:val="2CA88611"/>
    <w:multiLevelType w:val="hybridMultilevel"/>
    <w:lvl w:ilvl="0">
      <w:lvlJc w:val="left"/>
      <w:lvlText w:val="(%1)"/>
      <w:numFmt w:val="lowerRoman"/>
      <w:start w:val="4"/>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2"/>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104"/>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bullet"/>
      <w:start w:val="1"/>
    </w:lvl>
  </w:abstractNum>
  <w:abstractNum w:abstractNumId="39">
    <w:nsid w:val="153EA438"/>
    <w:multiLevelType w:val="hybridMultilevel"/>
    <w:lvl w:ilvl="0">
      <w:lvlJc w:val="left"/>
      <w:lvlText w:val="2"/>
      <w:numFmt w:val="bullet"/>
      <w:start w:val="1"/>
    </w:lvl>
  </w:abstractNum>
  <w:abstractNum w:abstractNumId="40">
    <w:nsid w:val="3855585C"/>
    <w:multiLevelType w:val="hybridMultilevel"/>
    <w:lvl w:ilvl="0">
      <w:lvlJc w:val="left"/>
      <w:lvlText w:val="1"/>
      <w:numFmt w:val="bullet"/>
      <w:start w:val="1"/>
    </w:lvl>
  </w:abstractNum>
  <w:abstractNum w:abstractNumId="41">
    <w:nsid w:val="70A64E2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9" Type="http://schemas.openxmlformats.org/officeDocument/2006/relationships/hyperlink" Target="https://www.sec.gov/Archives/edgar/data/1766400/000176640022000025/ota-form2022x01x27.htm" TargetMode="External"/><Relationship Id="rId60" Type="http://schemas.openxmlformats.org/officeDocument/2006/relationships/hyperlink" Target="https://www.sec.gov/Archives/edgar/data/1766400/000119312519235824/d693607dex31.htm" TargetMode="External"/><Relationship Id="rId61" Type="http://schemas.openxmlformats.org/officeDocument/2006/relationships/hyperlink" Target="https://www.sec.gov/Archives/edgar/data/1766400/000119312519260914/d81206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2022-08-09T02:57:39Z</dcterms:created>
  <dcterms:modified xsi:type="dcterms:W3CDTF">2022-08-09T02:57:39Z</dcterms:modified>
</cp:coreProperties>
</file>