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-229235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-619125</wp:posOffset>
            </wp:positionV>
            <wp:extent cx="57785" cy="6324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3950970</wp:posOffset>
            </wp:positionH>
            <wp:positionV relativeFrom="paragraph">
              <wp:posOffset>-619125</wp:posOffset>
            </wp:positionV>
            <wp:extent cx="57785" cy="6324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734060</wp:posOffset>
            </wp:positionV>
            <wp:extent cx="7047230" cy="47364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736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Cheney Kirk Sterling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1675 E. RIVERSIDE DR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Pennant Group,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PNTG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-7" w:right="660" w:firstLine="7"/>
        <w:spacing w:after="0" w:line="253" w:lineRule="auto"/>
        <w:tabs>
          <w:tab w:leader="none" w:pos="13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33"/>
        <w:spacing w:after="0"/>
        <w:tabs>
          <w:tab w:leader="none" w:pos="209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33"/>
        <w:spacing w:after="0"/>
        <w:tabs>
          <w:tab w:leader="none" w:pos="209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7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GC and Corp Secy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7" w:space="720"/>
            <w:col w:w="3353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0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03/12/2026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EAGLE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ID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83616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03/03/2026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 w:line="3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5"/>
                <w:vertAlign w:val="subscript"/>
              </w:rPr>
              <w:t>2,874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(1)(2)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19,794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33.3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03/05/2026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30,000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03/05/2027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03/05/2036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33.3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vest immediately on March 3, 2026.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amendment is being filed to correct the amount of securities beneficially owned as of the transaction date reported above.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vest in five equal annual installments beginning March 5, 2027.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Form 4 is being filed late due to inadvertent administrative error.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Kirk Cheney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04/17/2026</w:t>
            </w:r>
          </w:p>
        </w:tc>
      </w:tr>
      <w:tr>
        <w:trPr>
          <w:trHeight w:val="20"/>
        </w:trPr>
        <w:tc>
          <w:tcPr>
            <w:tcW w:w="1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/>
        <w:spacing w:after="0" w:line="332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2080298" TargetMode="External"/><Relationship Id="rId14" Type="http://schemas.openxmlformats.org/officeDocument/2006/relationships/hyperlink" Target="http://www.sec.gov/cgi-bin/browse-edgar?action=getcompany&amp;CIK=000176640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2026-04-17T18:03:58Z</dcterms:created>
  <dcterms:modified xsi:type="dcterms:W3CDTF">2026-04-17T18:03:58Z</dcterms:modified>
</cp:coreProperties>
</file>