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563880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_________________________________________________________________________________________________________________________________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57" w:lineRule="exact"/>
        <w:rPr>
          <w:sz w:val="24"/>
          <w:szCs w:val="24"/>
          <w:color w:val="auto"/>
        </w:rPr>
      </w:pPr>
    </w:p>
    <w:p>
      <w:pPr>
        <w:ind w:left="760" w:hanging="454"/>
        <w:spacing w:after="0"/>
        <w:tabs>
          <w:tab w:leader="none" w:pos="7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2023.</w:t>
      </w:r>
    </w:p>
    <w:p>
      <w:pPr>
        <w:spacing w:after="0" w:line="47" w:lineRule="exact"/>
        <w:rPr>
          <w:sz w:val="24"/>
          <w:szCs w:val="24"/>
          <w:color w:val="auto"/>
        </w:rPr>
      </w:pPr>
    </w:p>
    <w:p>
      <w:pPr>
        <w:ind w:left="760" w:hanging="454"/>
        <w:spacing w:after="0"/>
        <w:tabs>
          <w:tab w:leader="none" w:pos="7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460" w:type="dxa"/>
        <w:tblCellMar>
          <w:top w:w="0" w:type="dxa"/>
          <w:left w:w="0" w:type="dxa"/>
          <w:bottom w:w="0" w:type="dxa"/>
          <w:right w:w="0" w:type="dxa"/>
        </w:tblCellMar>
      </w:tblPr>
      <w:tr>
        <w:trPr>
          <w:trHeight w:val="172"/>
        </w:trPr>
        <w:tc>
          <w:tcPr>
            <w:tcW w:w="22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c>
          <w:tcPr>
            <w:tcW w:w="180" w:type="dxa"/>
            <w:vAlign w:val="bottom"/>
          </w:tcPr>
          <w:p>
            <w:pPr>
              <w:spacing w:after="0"/>
              <w:rPr>
                <w:sz w:val="15"/>
                <w:szCs w:val="15"/>
                <w:color w:val="auto"/>
              </w:rPr>
            </w:pPr>
          </w:p>
        </w:tc>
        <w:tc>
          <w:tcPr>
            <w:tcW w:w="3920" w:type="dxa"/>
            <w:vAlign w:val="bottom"/>
            <w:gridSpan w:val="2"/>
          </w:tcPr>
          <w:p>
            <w:pPr>
              <w:jc w:val="right"/>
              <w:ind w:right="3203"/>
              <w:spacing w:after="0"/>
              <w:rPr>
                <w:sz w:val="20"/>
                <w:szCs w:val="20"/>
                <w:color w:val="auto"/>
              </w:rPr>
            </w:pPr>
            <w:r>
              <w:rPr>
                <w:rFonts w:ascii="Times New Roman" w:cs="Times New Roman" w:eastAsia="Times New Roman" w:hAnsi="Times New Roman"/>
                <w:sz w:val="15"/>
                <w:szCs w:val="15"/>
                <w:b w:val="1"/>
                <w:bCs w:val="1"/>
                <w:color w:val="auto"/>
              </w:rPr>
              <w:t>.</w:t>
            </w:r>
          </w:p>
        </w:tc>
        <w:tc>
          <w:tcPr>
            <w:tcW w:w="3040" w:type="dxa"/>
            <w:vAlign w:val="bottom"/>
          </w:tcPr>
          <w:p>
            <w:pPr>
              <w:spacing w:after="0"/>
              <w:rPr>
                <w:sz w:val="15"/>
                <w:szCs w:val="15"/>
                <w:color w:val="auto"/>
              </w:rPr>
            </w:pPr>
          </w:p>
        </w:tc>
      </w:tr>
      <w:tr>
        <w:trPr>
          <w:trHeight w:val="20"/>
        </w:trPr>
        <w:tc>
          <w:tcPr>
            <w:tcW w:w="2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03"/>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 xml:space="preserve">Commission file number: </w:t>
            </w:r>
            <w:r>
              <w:rPr>
                <w:rFonts w:ascii="Times New Roman" w:cs="Times New Roman" w:eastAsia="Times New Roman" w:hAnsi="Times New Roman"/>
                <w:sz w:val="17"/>
                <w:szCs w:val="17"/>
                <w:color w:val="auto"/>
              </w:rPr>
              <w:t>001-38900</w:t>
            </w:r>
          </w:p>
        </w:tc>
        <w:tc>
          <w:tcPr>
            <w:tcW w:w="3040" w:type="dxa"/>
            <w:vAlign w:val="bottom"/>
          </w:tcPr>
          <w:p>
            <w:pPr>
              <w:spacing w:after="0"/>
              <w:rPr>
                <w:sz w:val="24"/>
                <w:szCs w:val="24"/>
                <w:color w:val="auto"/>
              </w:rPr>
            </w:pPr>
          </w:p>
        </w:tc>
      </w:tr>
      <w:tr>
        <w:trPr>
          <w:trHeight w:val="104"/>
        </w:trPr>
        <w:tc>
          <w:tcPr>
            <w:tcW w:w="2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20" w:type="dxa"/>
            <w:vAlign w:val="bottom"/>
            <w:gridSpan w:val="2"/>
          </w:tcPr>
          <w:p>
            <w:pPr>
              <w:jc w:val="center"/>
              <w:ind w:right="243"/>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_______________________________________________________________________________________________________________________________________</w:t>
            </w:r>
          </w:p>
        </w:tc>
        <w:tc>
          <w:tcPr>
            <w:tcW w:w="3040" w:type="dxa"/>
            <w:vAlign w:val="bottom"/>
          </w:tcPr>
          <w:p>
            <w:pPr>
              <w:spacing w:after="0"/>
              <w:rPr>
                <w:sz w:val="9"/>
                <w:szCs w:val="9"/>
                <w:color w:val="auto"/>
              </w:rPr>
            </w:pPr>
          </w:p>
        </w:tc>
      </w:tr>
      <w:tr>
        <w:trPr>
          <w:trHeight w:val="464"/>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60" w:type="dxa"/>
            <w:vAlign w:val="bottom"/>
            <w:gridSpan w:val="6"/>
          </w:tcPr>
          <w:p>
            <w:pPr>
              <w:jc w:val="center"/>
              <w:ind w:right="2661"/>
              <w:spacing w:after="0"/>
              <w:rPr>
                <w:sz w:val="20"/>
                <w:szCs w:val="20"/>
                <w:color w:val="auto"/>
              </w:rPr>
            </w:pPr>
            <w:r>
              <w:rPr>
                <w:rFonts w:ascii="Times New Roman" w:cs="Times New Roman" w:eastAsia="Times New Roman" w:hAnsi="Times New Roman"/>
                <w:sz w:val="34"/>
                <w:szCs w:val="34"/>
                <w:b w:val="1"/>
                <w:bCs w:val="1"/>
                <w:color w:val="auto"/>
              </w:rPr>
              <w:t>THE PENNANT GROUP, INC.</w:t>
            </w:r>
          </w:p>
        </w:tc>
      </w:tr>
      <w:tr>
        <w:trPr>
          <w:trHeight w:val="200"/>
        </w:trPr>
        <w:tc>
          <w:tcPr>
            <w:tcW w:w="2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gridSpan w:val="2"/>
          </w:tcPr>
          <w:p>
            <w:pPr>
              <w:jc w:val="center"/>
              <w:ind w:right="243"/>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c>
          <w:tcPr>
            <w:tcW w:w="3040" w:type="dxa"/>
            <w:vAlign w:val="bottom"/>
          </w:tcPr>
          <w:p>
            <w:pPr>
              <w:spacing w:after="0"/>
              <w:rPr>
                <w:sz w:val="17"/>
                <w:szCs w:val="17"/>
                <w:color w:val="auto"/>
              </w:rPr>
            </w:pPr>
          </w:p>
        </w:tc>
      </w:tr>
      <w:tr>
        <w:trPr>
          <w:trHeight w:val="238"/>
        </w:trPr>
        <w:tc>
          <w:tcPr>
            <w:tcW w:w="2760" w:type="dxa"/>
            <w:vAlign w:val="bottom"/>
            <w:gridSpan w:val="2"/>
          </w:tcPr>
          <w:p>
            <w:pPr>
              <w:jc w:val="center"/>
              <w:ind w:left="186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40" w:type="dxa"/>
            <w:vAlign w:val="bottom"/>
          </w:tcPr>
          <w:p>
            <w:pPr>
              <w:jc w:val="center"/>
              <w:ind w:right="1581"/>
              <w:spacing w:after="0"/>
              <w:rPr>
                <w:sz w:val="20"/>
                <w:szCs w:val="20"/>
                <w:color w:val="auto"/>
              </w:rPr>
            </w:pPr>
            <w:r>
              <w:rPr>
                <w:rFonts w:ascii="Times New Roman" w:cs="Times New Roman" w:eastAsia="Times New Roman" w:hAnsi="Times New Roman"/>
                <w:sz w:val="17"/>
                <w:szCs w:val="17"/>
                <w:b w:val="1"/>
                <w:bCs w:val="1"/>
                <w:color w:val="auto"/>
                <w:w w:val="99"/>
              </w:rPr>
              <w:t>83-3349931</w:t>
            </w:r>
          </w:p>
        </w:tc>
      </w:tr>
      <w:tr>
        <w:trPr>
          <w:trHeight w:val="200"/>
        </w:trPr>
        <w:tc>
          <w:tcPr>
            <w:tcW w:w="3360" w:type="dxa"/>
            <w:vAlign w:val="bottom"/>
            <w:gridSpan w:val="5"/>
          </w:tcPr>
          <w:p>
            <w:pPr>
              <w:jc w:val="center"/>
              <w:ind w:left="1263"/>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6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40" w:type="dxa"/>
            <w:vAlign w:val="bottom"/>
          </w:tcPr>
          <w:p>
            <w:pPr>
              <w:jc w:val="center"/>
              <w:ind w:right="1581"/>
              <w:spacing w:after="0"/>
              <w:rPr>
                <w:sz w:val="20"/>
                <w:szCs w:val="20"/>
                <w:color w:val="auto"/>
              </w:rPr>
            </w:pPr>
            <w:r>
              <w:rPr>
                <w:rFonts w:ascii="Times New Roman" w:cs="Times New Roman" w:eastAsia="Times New Roman" w:hAnsi="Times New Roman"/>
                <w:sz w:val="15"/>
                <w:szCs w:val="15"/>
                <w:color w:val="auto"/>
              </w:rPr>
              <w:t>(I.R.S. Employer</w:t>
            </w:r>
          </w:p>
        </w:tc>
      </w:tr>
      <w:tr>
        <w:trPr>
          <w:trHeight w:val="206"/>
        </w:trPr>
        <w:tc>
          <w:tcPr>
            <w:tcW w:w="3360" w:type="dxa"/>
            <w:vAlign w:val="bottom"/>
            <w:gridSpan w:val="5"/>
          </w:tcPr>
          <w:p>
            <w:pPr>
              <w:jc w:val="center"/>
              <w:ind w:left="1263"/>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6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40" w:type="dxa"/>
            <w:vAlign w:val="bottom"/>
          </w:tcPr>
          <w:p>
            <w:pPr>
              <w:jc w:val="center"/>
              <w:ind w:right="1561"/>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290"/>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gridSpan w:val="3"/>
          </w:tcPr>
          <w:p>
            <w:pPr>
              <w:jc w:val="center"/>
              <w:ind w:right="63"/>
              <w:spacing w:after="0"/>
              <w:rPr>
                <w:sz w:val="20"/>
                <w:szCs w:val="20"/>
                <w:color w:val="auto"/>
              </w:rPr>
            </w:pPr>
            <w:r>
              <w:rPr>
                <w:rFonts w:ascii="Times New Roman" w:cs="Times New Roman" w:eastAsia="Times New Roman" w:hAnsi="Times New Roman"/>
                <w:sz w:val="17"/>
                <w:szCs w:val="17"/>
                <w:b w:val="1"/>
                <w:bCs w:val="1"/>
                <w:color w:val="auto"/>
              </w:rPr>
              <w:t>1675 East Riverside Drive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Suite 150</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Eagle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ID </w:t>
            </w:r>
            <w:r>
              <w:rPr>
                <w:rFonts w:ascii="Times New Roman" w:cs="Times New Roman" w:eastAsia="Times New Roman" w:hAnsi="Times New Roman"/>
                <w:sz w:val="15"/>
                <w:szCs w:val="15"/>
                <w:b w:val="1"/>
                <w:bCs w:val="1"/>
                <w:color w:val="auto"/>
              </w:rPr>
              <w:t>83616</w:t>
            </w:r>
          </w:p>
        </w:tc>
        <w:tc>
          <w:tcPr>
            <w:tcW w:w="3040" w:type="dxa"/>
            <w:vAlign w:val="bottom"/>
          </w:tcPr>
          <w:p>
            <w:pPr>
              <w:spacing w:after="0"/>
              <w:rPr>
                <w:sz w:val="24"/>
                <w:szCs w:val="24"/>
                <w:color w:val="auto"/>
              </w:rPr>
            </w:pPr>
          </w:p>
        </w:tc>
      </w:tr>
      <w:tr>
        <w:trPr>
          <w:trHeight w:val="172"/>
        </w:trPr>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20" w:type="dxa"/>
            <w:vAlign w:val="bottom"/>
            <w:gridSpan w:val="2"/>
          </w:tcPr>
          <w:p>
            <w:pPr>
              <w:jc w:val="center"/>
              <w:ind w:right="243"/>
              <w:spacing w:after="0"/>
              <w:rPr>
                <w:sz w:val="20"/>
                <w:szCs w:val="20"/>
                <w:color w:val="auto"/>
              </w:rPr>
            </w:pPr>
            <w:r>
              <w:rPr>
                <w:rFonts w:ascii="Times New Roman" w:cs="Times New Roman" w:eastAsia="Times New Roman" w:hAnsi="Times New Roman"/>
                <w:sz w:val="15"/>
                <w:szCs w:val="15"/>
                <w:color w:val="auto"/>
              </w:rPr>
              <w:t>(Address of Principal Executive Offices and Zip Code)</w:t>
            </w:r>
          </w:p>
        </w:tc>
        <w:tc>
          <w:tcPr>
            <w:tcW w:w="3040" w:type="dxa"/>
            <w:vAlign w:val="bottom"/>
          </w:tcPr>
          <w:p>
            <w:pPr>
              <w:spacing w:after="0"/>
              <w:rPr>
                <w:sz w:val="14"/>
                <w:szCs w:val="14"/>
                <w:color w:val="auto"/>
              </w:rPr>
            </w:pPr>
          </w:p>
        </w:tc>
      </w:tr>
      <w:tr>
        <w:trPr>
          <w:trHeight w:val="215"/>
        </w:trPr>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gridSpan w:val="2"/>
          </w:tcPr>
          <w:p>
            <w:pPr>
              <w:jc w:val="center"/>
              <w:ind w:right="243"/>
              <w:spacing w:after="0"/>
              <w:rPr>
                <w:sz w:val="20"/>
                <w:szCs w:val="20"/>
                <w:color w:val="auto"/>
              </w:rPr>
            </w:pPr>
            <w:r>
              <w:rPr>
                <w:rFonts w:ascii="Times New Roman" w:cs="Times New Roman" w:eastAsia="Times New Roman" w:hAnsi="Times New Roman"/>
                <w:sz w:val="17"/>
                <w:szCs w:val="17"/>
                <w:b w:val="1"/>
                <w:bCs w:val="1"/>
                <w:color w:val="auto"/>
              </w:rPr>
              <w:t xml:space="preserve">(208) </w:t>
            </w:r>
            <w:r>
              <w:rPr>
                <w:rFonts w:ascii="Times New Roman" w:cs="Times New Roman" w:eastAsia="Times New Roman" w:hAnsi="Times New Roman"/>
                <w:sz w:val="15"/>
                <w:szCs w:val="15"/>
                <w:b w:val="1"/>
                <w:bCs w:val="1"/>
                <w:color w:val="auto"/>
              </w:rPr>
              <w:t>506-6100</w:t>
            </w:r>
          </w:p>
        </w:tc>
        <w:tc>
          <w:tcPr>
            <w:tcW w:w="3040" w:type="dxa"/>
            <w:vAlign w:val="bottom"/>
          </w:tcPr>
          <w:p>
            <w:pPr>
              <w:spacing w:after="0"/>
              <w:rPr>
                <w:sz w:val="18"/>
                <w:szCs w:val="18"/>
                <w:color w:val="auto"/>
              </w:rPr>
            </w:pPr>
          </w:p>
        </w:tc>
      </w:tr>
      <w:tr>
        <w:trPr>
          <w:trHeight w:val="179"/>
        </w:trPr>
        <w:tc>
          <w:tcPr>
            <w:tcW w:w="2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gridSpan w:val="2"/>
          </w:tcPr>
          <w:p>
            <w:pPr>
              <w:jc w:val="center"/>
              <w:ind w:right="243"/>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3040" w:type="dxa"/>
            <w:vAlign w:val="bottom"/>
          </w:tcPr>
          <w:p>
            <w:pPr>
              <w:spacing w:after="0"/>
              <w:rPr>
                <w:sz w:val="15"/>
                <w:szCs w:val="15"/>
                <w:color w:val="auto"/>
              </w:rPr>
            </w:pPr>
          </w:p>
        </w:tc>
      </w:tr>
      <w:tr>
        <w:trPr>
          <w:trHeight w:val="61"/>
        </w:trPr>
        <w:tc>
          <w:tcPr>
            <w:tcW w:w="2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gridSpan w:val="5"/>
          </w:tcPr>
          <w:p>
            <w:pPr>
              <w:jc w:val="center"/>
              <w:ind w:left="181"/>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__________________________________________________________________________________________________________________________________________________</w:t>
            </w:r>
          </w:p>
        </w:tc>
        <w:tc>
          <w:tcPr>
            <w:tcW w:w="3040" w:type="dxa"/>
            <w:vAlign w:val="bottom"/>
          </w:tcPr>
          <w:p>
            <w:pPr>
              <w:spacing w:after="0"/>
              <w:rPr>
                <w:sz w:val="5"/>
                <w:szCs w:val="5"/>
                <w:color w:val="auto"/>
              </w:rPr>
            </w:pPr>
          </w:p>
        </w:tc>
      </w:tr>
      <w:tr>
        <w:trPr>
          <w:trHeight w:val="223"/>
        </w:trPr>
        <w:tc>
          <w:tcPr>
            <w:tcW w:w="2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gridSpan w:val="3"/>
          </w:tcPr>
          <w:p>
            <w:pPr>
              <w:jc w:val="center"/>
              <w:ind w:right="63"/>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040" w:type="dxa"/>
            <w:vAlign w:val="bottom"/>
          </w:tcPr>
          <w:p>
            <w:pPr>
              <w:spacing w:after="0"/>
              <w:rPr>
                <w:sz w:val="19"/>
                <w:szCs w:val="19"/>
                <w:color w:val="auto"/>
              </w:rPr>
            </w:pPr>
          </w:p>
        </w:tc>
      </w:tr>
      <w:tr>
        <w:trPr>
          <w:trHeight w:val="226"/>
        </w:trPr>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20" w:type="dxa"/>
            <w:vAlign w:val="bottom"/>
          </w:tcPr>
          <w:p>
            <w:pPr>
              <w:jc w:val="center"/>
              <w:ind w:right="1043"/>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040" w:type="dxa"/>
            <w:vAlign w:val="bottom"/>
          </w:tcPr>
          <w:p>
            <w:pPr>
              <w:jc w:val="center"/>
              <w:ind w:left="81"/>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6"/>
        </w:trPr>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Common Stock, par value $0.001 per share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20" w:type="dxa"/>
            <w:vAlign w:val="bottom"/>
          </w:tcPr>
          <w:p>
            <w:pPr>
              <w:jc w:val="center"/>
              <w:ind w:right="1043"/>
              <w:spacing w:after="0"/>
              <w:rPr>
                <w:sz w:val="20"/>
                <w:szCs w:val="20"/>
                <w:color w:val="auto"/>
              </w:rPr>
            </w:pPr>
            <w:r>
              <w:rPr>
                <w:rFonts w:ascii="Times New Roman" w:cs="Times New Roman" w:eastAsia="Times New Roman" w:hAnsi="Times New Roman"/>
                <w:sz w:val="15"/>
                <w:szCs w:val="15"/>
                <w:color w:val="auto"/>
              </w:rPr>
              <w:t>PNTG</w:t>
            </w:r>
          </w:p>
        </w:tc>
        <w:tc>
          <w:tcPr>
            <w:tcW w:w="3040" w:type="dxa"/>
            <w:vAlign w:val="bottom"/>
          </w:tcPr>
          <w:p>
            <w:pPr>
              <w:jc w:val="center"/>
              <w:ind w:left="81"/>
              <w:spacing w:after="0"/>
              <w:rPr>
                <w:sz w:val="20"/>
                <w:szCs w:val="20"/>
                <w:color w:val="auto"/>
              </w:rPr>
            </w:pPr>
            <w:r>
              <w:rPr>
                <w:rFonts w:ascii="Times New Roman" w:cs="Times New Roman" w:eastAsia="Times New Roman" w:hAnsi="Times New Roman"/>
                <w:sz w:val="15"/>
                <w:szCs w:val="15"/>
                <w:color w:val="auto"/>
              </w:rPr>
              <w:t>Nasdaq Global Select Market</w:t>
            </w:r>
          </w:p>
        </w:tc>
      </w:tr>
    </w:tbl>
    <w:p>
      <w:pPr>
        <w:spacing w:after="0" w:line="8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19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or the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No</w:t>
      </w:r>
    </w:p>
    <w:p>
      <w:pPr>
        <w:spacing w:after="0" w:line="24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76"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76"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p>
      <w:pPr>
        <w:ind w:left="260"/>
        <w:spacing w:after="0" w:line="173" w:lineRule="exact"/>
        <w:tabs>
          <w:tab w:leader="none" w:pos="1980" w:val="left"/>
          <w:tab w:leader="none" w:pos="2660" w:val="left"/>
          <w:tab w:leader="none" w:pos="4220" w:val="left"/>
          <w:tab w:leader="none" w:pos="4760" w:val="left"/>
          <w:tab w:leader="none" w:pos="6460" w:val="left"/>
          <w:tab w:leader="none" w:pos="6820" w:val="left"/>
          <w:tab w:leader="none" w:pos="8720" w:val="left"/>
          <w:tab w:leader="none" w:pos="9060" w:val="left"/>
          <w:tab w:leader="none" w:pos="1096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Smaller reporting company</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18" w:lineRule="exact"/>
        <w:rPr>
          <w:sz w:val="24"/>
          <w:szCs w:val="24"/>
          <w:color w:val="auto"/>
        </w:rPr>
      </w:pPr>
    </w:p>
    <w:p>
      <w:pPr>
        <w:ind w:right="480"/>
        <w:spacing w:after="0" w:line="19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6" w:lineRule="exact"/>
        <w:rPr>
          <w:sz w:val="24"/>
          <w:szCs w:val="24"/>
          <w:color w:val="auto"/>
        </w:rPr>
      </w:pPr>
    </w:p>
    <w:p>
      <w:pPr>
        <w:jc w:val="both"/>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82" w:lineRule="exact"/>
        <w:rPr>
          <w:sz w:val="24"/>
          <w:szCs w:val="24"/>
          <w:color w:val="auto"/>
        </w:rPr>
      </w:pPr>
    </w:p>
    <w:p>
      <w:pPr>
        <w:ind w:right="140"/>
        <w:spacing w:after="0" w:line="196"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76" w:lineRule="exact"/>
        <w:rPr>
          <w:sz w:val="24"/>
          <w:szCs w:val="24"/>
          <w:color w:val="auto"/>
        </w:rPr>
      </w:pPr>
    </w:p>
    <w:p>
      <w:pPr>
        <w:ind w:right="8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5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a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63"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auto"/>
        </w:rPr>
        <w:t>As of February 27, 2024, 30,012,588 shares of the registrant’s common stock were outstanding. The aggregate market value of the shares of common stock held by non-affiliates of the registrant on the last business day of the registrant's most recently completed second fiscal quarter (June 30, 2023) was approximately $352,279,000 based upon the closing price of the common stock on such date. For purposes of this calculation, the registrant has excluded the market value of all common stock beneficially owned by all executive officers and directors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701675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198755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166370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 on Incorporation by Reference</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Part III of this Form 10-K incorporates information by reference from the Registrant's definitive proxy statement on Schedule 14A for the Registrant's 2024 Annual Meeting of Stockholders to be filed within 120 days after the close of the fiscal year covered by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641985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 w:name="page3"/>
    <w:bookmarkEnd w:id="2"/>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40" w:type="dxa"/>
            <w:vAlign w:val="bottom"/>
            <w:gridSpan w:val="13"/>
          </w:tcPr>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7"/>
        </w:trPr>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1"/>
        </w:trPr>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80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84"/>
        </w:trPr>
        <w:tc>
          <w:tcPr>
            <w:tcW w:w="1020" w:type="dxa"/>
            <w:vAlign w:val="bottom"/>
          </w:tcPr>
          <w:p>
            <w:pPr>
              <w:spacing w:after="0"/>
              <w:rPr>
                <w:sz w:val="16"/>
                <w:szCs w:val="16"/>
                <w:color w:val="auto"/>
              </w:rPr>
            </w:pPr>
          </w:p>
        </w:tc>
        <w:tc>
          <w:tcPr>
            <w:tcW w:w="4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FF"/>
                <w:w w:val="95"/>
              </w:rPr>
              <w:t>Item 1.</w:t>
            </w:r>
          </w:p>
        </w:tc>
        <w:tc>
          <w:tcPr>
            <w:tcW w:w="580" w:type="dxa"/>
            <w:vAlign w:val="bottom"/>
            <w:gridSpan w:val="4"/>
          </w:tcPr>
          <w:p>
            <w:pPr>
              <w:spacing w:after="0"/>
              <w:rPr>
                <w:sz w:val="16"/>
                <w:szCs w:val="16"/>
                <w:color w:val="auto"/>
              </w:rPr>
            </w:pPr>
          </w:p>
        </w:tc>
        <w:tc>
          <w:tcPr>
            <w:tcW w:w="7680" w:type="dxa"/>
            <w:vAlign w:val="bottom"/>
            <w:gridSpan w:val="18"/>
          </w:tcPr>
          <w:p>
            <w:pPr>
              <w:spacing w:after="0" w:line="184" w:lineRule="exact"/>
              <w:rPr>
                <w:sz w:val="20"/>
                <w:szCs w:val="20"/>
                <w:color w:val="auto"/>
              </w:rPr>
            </w:pPr>
            <w:r>
              <w:rPr>
                <w:rFonts w:ascii="Times New Roman" w:cs="Times New Roman" w:eastAsia="Times New Roman" w:hAnsi="Times New Roman"/>
                <w:sz w:val="17"/>
                <w:szCs w:val="17"/>
                <w:color w:val="0000FF"/>
              </w:rPr>
              <w:t>Business</w:t>
            </w:r>
          </w:p>
        </w:tc>
        <w:tc>
          <w:tcPr>
            <w:tcW w:w="680" w:type="dxa"/>
            <w:vAlign w:val="bottom"/>
            <w:gridSpan w:val="2"/>
          </w:tcPr>
          <w:p>
            <w:pPr>
              <w:jc w:val="center"/>
              <w:ind w:left="514"/>
              <w:spacing w:after="0" w:line="184" w:lineRule="exact"/>
              <w:rPr>
                <w:sz w:val="20"/>
                <w:szCs w:val="20"/>
                <w:color w:val="auto"/>
              </w:rPr>
            </w:pPr>
            <w:r>
              <w:rPr>
                <w:rFonts w:ascii="Times New Roman" w:cs="Times New Roman" w:eastAsia="Times New Roman" w:hAnsi="Times New Roman"/>
                <w:sz w:val="17"/>
                <w:szCs w:val="17"/>
                <w:color w:val="0000FF"/>
                <w:w w:val="93"/>
              </w:rPr>
              <w:t>2</w:t>
            </w:r>
          </w:p>
        </w:tc>
        <w:tc>
          <w:tcPr>
            <w:tcW w:w="80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Item1A.</w:t>
            </w: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17</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1B.</w:t>
            </w:r>
          </w:p>
        </w:tc>
        <w:tc>
          <w:tcPr>
            <w:tcW w:w="500" w:type="dxa"/>
            <w:vAlign w:val="bottom"/>
            <w:gridSpan w:val="3"/>
          </w:tcPr>
          <w:p>
            <w:pPr>
              <w:spacing w:after="0"/>
              <w:rPr>
                <w:sz w:val="17"/>
                <w:szCs w:val="17"/>
                <w:color w:val="auto"/>
              </w:rPr>
            </w:pPr>
          </w:p>
        </w:tc>
        <w:tc>
          <w:tcPr>
            <w:tcW w:w="19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9"/>
              </w:rPr>
              <w:t>Unresolved Staff Comments</w:t>
            </w:r>
          </w:p>
        </w:tc>
        <w:tc>
          <w:tcPr>
            <w:tcW w:w="5740" w:type="dxa"/>
            <w:vAlign w:val="bottom"/>
            <w:gridSpan w:val="9"/>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27</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1C.</w:t>
            </w:r>
          </w:p>
        </w:tc>
        <w:tc>
          <w:tcPr>
            <w:tcW w:w="500" w:type="dxa"/>
            <w:vAlign w:val="bottom"/>
            <w:gridSpan w:val="3"/>
          </w:tcPr>
          <w:p>
            <w:pPr>
              <w:spacing w:after="0"/>
              <w:rPr>
                <w:sz w:val="17"/>
                <w:szCs w:val="17"/>
                <w:color w:val="auto"/>
              </w:rPr>
            </w:pPr>
          </w:p>
        </w:tc>
        <w:tc>
          <w:tcPr>
            <w:tcW w:w="19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5740" w:type="dxa"/>
            <w:vAlign w:val="bottom"/>
            <w:gridSpan w:val="9"/>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27</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8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2"/>
              </w:rPr>
              <w:t>Properties</w:t>
            </w:r>
          </w:p>
        </w:tc>
        <w:tc>
          <w:tcPr>
            <w:tcW w:w="260" w:type="dxa"/>
            <w:vAlign w:val="bottom"/>
            <w:gridSpan w:val="2"/>
          </w:tcPr>
          <w:p>
            <w:pPr>
              <w:spacing w:after="0"/>
              <w:rPr>
                <w:sz w:val="17"/>
                <w:szCs w:val="17"/>
                <w:color w:val="auto"/>
              </w:rPr>
            </w:pPr>
          </w:p>
        </w:tc>
        <w:tc>
          <w:tcPr>
            <w:tcW w:w="6740" w:type="dxa"/>
            <w:vAlign w:val="bottom"/>
            <w:gridSpan w:val="14"/>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28</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3.</w:t>
            </w:r>
          </w:p>
        </w:tc>
        <w:tc>
          <w:tcPr>
            <w:tcW w:w="580" w:type="dxa"/>
            <w:vAlign w:val="bottom"/>
            <w:gridSpan w:val="4"/>
          </w:tcPr>
          <w:p>
            <w:pPr>
              <w:spacing w:after="0"/>
              <w:rPr>
                <w:sz w:val="17"/>
                <w:szCs w:val="17"/>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5"/>
              </w:rPr>
              <w:t>Legal Proceedings</w:t>
            </w:r>
          </w:p>
        </w:tc>
        <w:tc>
          <w:tcPr>
            <w:tcW w:w="6440" w:type="dxa"/>
            <w:vAlign w:val="bottom"/>
            <w:gridSpan w:val="13"/>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29</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580" w:type="dxa"/>
            <w:vAlign w:val="bottom"/>
            <w:gridSpan w:val="4"/>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29</w:t>
            </w:r>
          </w:p>
        </w:tc>
        <w:tc>
          <w:tcPr>
            <w:tcW w:w="8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r>
      <w:tr>
        <w:trPr>
          <w:trHeight w:val="184"/>
        </w:trPr>
        <w:tc>
          <w:tcPr>
            <w:tcW w:w="1020" w:type="dxa"/>
            <w:vAlign w:val="bottom"/>
          </w:tcPr>
          <w:p>
            <w:pPr>
              <w:spacing w:after="0"/>
              <w:rPr>
                <w:sz w:val="16"/>
                <w:szCs w:val="16"/>
                <w:color w:val="auto"/>
              </w:rPr>
            </w:pPr>
          </w:p>
        </w:tc>
        <w:tc>
          <w:tcPr>
            <w:tcW w:w="4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FF"/>
                <w:w w:val="95"/>
              </w:rPr>
              <w:t>Item 5.</w:t>
            </w:r>
          </w:p>
        </w:tc>
        <w:tc>
          <w:tcPr>
            <w:tcW w:w="580" w:type="dxa"/>
            <w:vAlign w:val="bottom"/>
            <w:gridSpan w:val="4"/>
          </w:tcPr>
          <w:p>
            <w:pPr>
              <w:spacing w:after="0"/>
              <w:rPr>
                <w:sz w:val="16"/>
                <w:szCs w:val="16"/>
                <w:color w:val="auto"/>
              </w:rPr>
            </w:pPr>
          </w:p>
        </w:tc>
        <w:tc>
          <w:tcPr>
            <w:tcW w:w="7680" w:type="dxa"/>
            <w:vAlign w:val="bottom"/>
            <w:gridSpan w:val="18"/>
          </w:tcPr>
          <w:p>
            <w:pPr>
              <w:spacing w:after="0" w:line="184"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680" w:type="dxa"/>
            <w:vAlign w:val="bottom"/>
            <w:gridSpan w:val="2"/>
          </w:tcPr>
          <w:p>
            <w:pPr>
              <w:jc w:val="center"/>
              <w:ind w:left="434"/>
              <w:spacing w:after="0" w:line="184" w:lineRule="exact"/>
              <w:rPr>
                <w:sz w:val="20"/>
                <w:szCs w:val="20"/>
                <w:color w:val="auto"/>
              </w:rPr>
            </w:pPr>
            <w:r>
              <w:rPr>
                <w:rFonts w:ascii="Times New Roman" w:cs="Times New Roman" w:eastAsia="Times New Roman" w:hAnsi="Times New Roman"/>
                <w:sz w:val="17"/>
                <w:szCs w:val="17"/>
                <w:color w:val="0000FF"/>
                <w:w w:val="93"/>
              </w:rPr>
              <w:t>29</w:t>
            </w:r>
          </w:p>
        </w:tc>
        <w:tc>
          <w:tcPr>
            <w:tcW w:w="80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6.</w:t>
            </w:r>
          </w:p>
        </w:tc>
        <w:tc>
          <w:tcPr>
            <w:tcW w:w="580" w:type="dxa"/>
            <w:vAlign w:val="bottom"/>
            <w:gridSpan w:val="4"/>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[Reserved]</w:t>
            </w:r>
          </w:p>
        </w:tc>
        <w:tc>
          <w:tcPr>
            <w:tcW w:w="7000" w:type="dxa"/>
            <w:vAlign w:val="bottom"/>
            <w:gridSpan w:val="16"/>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30</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7.</w:t>
            </w:r>
          </w:p>
        </w:tc>
        <w:tc>
          <w:tcPr>
            <w:tcW w:w="580" w:type="dxa"/>
            <w:vAlign w:val="bottom"/>
            <w:gridSpan w:val="4"/>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30</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7A.</w:t>
            </w:r>
          </w:p>
        </w:tc>
        <w:tc>
          <w:tcPr>
            <w:tcW w:w="420" w:type="dxa"/>
            <w:vAlign w:val="bottom"/>
            <w:gridSpan w:val="2"/>
          </w:tcPr>
          <w:p>
            <w:pPr>
              <w:spacing w:after="0"/>
              <w:rPr>
                <w:sz w:val="17"/>
                <w:szCs w:val="17"/>
                <w:color w:val="auto"/>
              </w:rPr>
            </w:pPr>
          </w:p>
        </w:tc>
        <w:tc>
          <w:tcPr>
            <w:tcW w:w="41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540" w:type="dxa"/>
            <w:vAlign w:val="bottom"/>
            <w:gridSpan w:val="5"/>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45</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8.</w:t>
            </w:r>
          </w:p>
        </w:tc>
        <w:tc>
          <w:tcPr>
            <w:tcW w:w="16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31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w w:val="97"/>
              </w:rPr>
              <w:t>Financial Statements and Supplementary Data</w:t>
            </w:r>
          </w:p>
        </w:tc>
        <w:tc>
          <w:tcPr>
            <w:tcW w:w="1020" w:type="dxa"/>
            <w:vAlign w:val="bottom"/>
            <w:gridSpan w:val="2"/>
          </w:tcPr>
          <w:p>
            <w:pPr>
              <w:spacing w:after="0"/>
              <w:rPr>
                <w:sz w:val="17"/>
                <w:szCs w:val="17"/>
                <w:color w:val="auto"/>
              </w:rPr>
            </w:pPr>
          </w:p>
        </w:tc>
        <w:tc>
          <w:tcPr>
            <w:tcW w:w="3540" w:type="dxa"/>
            <w:vAlign w:val="bottom"/>
            <w:gridSpan w:val="5"/>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45</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9.</w:t>
            </w:r>
          </w:p>
        </w:tc>
        <w:tc>
          <w:tcPr>
            <w:tcW w:w="580" w:type="dxa"/>
            <w:vAlign w:val="bottom"/>
            <w:gridSpan w:val="4"/>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45</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9A.</w:t>
            </w:r>
          </w:p>
        </w:tc>
        <w:tc>
          <w:tcPr>
            <w:tcW w:w="420" w:type="dxa"/>
            <w:vAlign w:val="bottom"/>
            <w:gridSpan w:val="2"/>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45</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9B.</w:t>
            </w:r>
          </w:p>
        </w:tc>
        <w:tc>
          <w:tcPr>
            <w:tcW w:w="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6"/>
              </w:rPr>
              <w:t>Other Information</w:t>
            </w:r>
          </w:p>
        </w:tc>
        <w:tc>
          <w:tcPr>
            <w:tcW w:w="420" w:type="dxa"/>
            <w:vAlign w:val="bottom"/>
            <w:gridSpan w:val="2"/>
          </w:tcPr>
          <w:p>
            <w:pPr>
              <w:spacing w:after="0"/>
              <w:rPr>
                <w:sz w:val="17"/>
                <w:szCs w:val="17"/>
                <w:color w:val="auto"/>
              </w:rPr>
            </w:pPr>
          </w:p>
        </w:tc>
        <w:tc>
          <w:tcPr>
            <w:tcW w:w="6020" w:type="dxa"/>
            <w:vAlign w:val="bottom"/>
            <w:gridSpan w:val="11"/>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47</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9C.</w:t>
            </w:r>
          </w:p>
        </w:tc>
        <w:tc>
          <w:tcPr>
            <w:tcW w:w="500" w:type="dxa"/>
            <w:vAlign w:val="bottom"/>
            <w:gridSpan w:val="3"/>
          </w:tcPr>
          <w:p>
            <w:pPr>
              <w:spacing w:after="0"/>
              <w:rPr>
                <w:sz w:val="17"/>
                <w:szCs w:val="17"/>
                <w:color w:val="auto"/>
              </w:rPr>
            </w:pPr>
          </w:p>
        </w:tc>
        <w:tc>
          <w:tcPr>
            <w:tcW w:w="46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3020" w:type="dxa"/>
            <w:vAlign w:val="bottom"/>
            <w:gridSpan w:val="4"/>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48</w:t>
            </w:r>
          </w:p>
        </w:tc>
        <w:tc>
          <w:tcPr>
            <w:tcW w:w="8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gridSpan w:val="3"/>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302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r>
      <w:tr>
        <w:trPr>
          <w:trHeight w:val="184"/>
        </w:trPr>
        <w:tc>
          <w:tcPr>
            <w:tcW w:w="1020" w:type="dxa"/>
            <w:vAlign w:val="bottom"/>
          </w:tcPr>
          <w:p>
            <w:pPr>
              <w:spacing w:after="0"/>
              <w:rPr>
                <w:sz w:val="16"/>
                <w:szCs w:val="16"/>
                <w:color w:val="auto"/>
              </w:rPr>
            </w:pPr>
          </w:p>
        </w:tc>
        <w:tc>
          <w:tcPr>
            <w:tcW w:w="1060" w:type="dxa"/>
            <w:vAlign w:val="bottom"/>
            <w:gridSpan w:val="5"/>
          </w:tcPr>
          <w:p>
            <w:pPr>
              <w:spacing w:after="0" w:line="184" w:lineRule="exact"/>
              <w:rPr>
                <w:sz w:val="20"/>
                <w:szCs w:val="20"/>
                <w:color w:val="auto"/>
              </w:rPr>
            </w:pPr>
            <w:r>
              <w:rPr>
                <w:rFonts w:ascii="Times New Roman" w:cs="Times New Roman" w:eastAsia="Times New Roman" w:hAnsi="Times New Roman"/>
                <w:sz w:val="17"/>
                <w:szCs w:val="17"/>
                <w:color w:val="0000FF"/>
              </w:rPr>
              <w:t>Item 10.</w:t>
            </w:r>
          </w:p>
        </w:tc>
        <w:tc>
          <w:tcPr>
            <w:tcW w:w="7680" w:type="dxa"/>
            <w:vAlign w:val="bottom"/>
            <w:gridSpan w:val="18"/>
          </w:tcPr>
          <w:p>
            <w:pPr>
              <w:spacing w:after="0" w:line="184"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680" w:type="dxa"/>
            <w:vAlign w:val="bottom"/>
            <w:gridSpan w:val="2"/>
          </w:tcPr>
          <w:p>
            <w:pPr>
              <w:jc w:val="center"/>
              <w:ind w:left="434"/>
              <w:spacing w:after="0" w:line="184" w:lineRule="exact"/>
              <w:rPr>
                <w:sz w:val="20"/>
                <w:szCs w:val="20"/>
                <w:color w:val="auto"/>
              </w:rPr>
            </w:pPr>
            <w:r>
              <w:rPr>
                <w:rFonts w:ascii="Times New Roman" w:cs="Times New Roman" w:eastAsia="Times New Roman" w:hAnsi="Times New Roman"/>
                <w:sz w:val="17"/>
                <w:szCs w:val="17"/>
                <w:color w:val="0000FF"/>
                <w:w w:val="93"/>
              </w:rPr>
              <w:t>48</w:t>
            </w:r>
          </w:p>
        </w:tc>
        <w:tc>
          <w:tcPr>
            <w:tcW w:w="80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11.</w:t>
            </w:r>
          </w:p>
        </w:tc>
        <w:tc>
          <w:tcPr>
            <w:tcW w:w="500" w:type="dxa"/>
            <w:vAlign w:val="bottom"/>
            <w:gridSpan w:val="3"/>
          </w:tcPr>
          <w:p>
            <w:pPr>
              <w:spacing w:after="0"/>
              <w:rPr>
                <w:sz w:val="17"/>
                <w:szCs w:val="17"/>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Executive Compensation</w:t>
            </w:r>
          </w:p>
        </w:tc>
        <w:tc>
          <w:tcPr>
            <w:tcW w:w="2180" w:type="dxa"/>
            <w:vAlign w:val="bottom"/>
            <w:gridSpan w:val="4"/>
          </w:tcPr>
          <w:p>
            <w:pPr>
              <w:spacing w:after="0"/>
              <w:rPr>
                <w:sz w:val="17"/>
                <w:szCs w:val="17"/>
                <w:color w:val="auto"/>
              </w:rPr>
            </w:pPr>
          </w:p>
        </w:tc>
        <w:tc>
          <w:tcPr>
            <w:tcW w:w="3800" w:type="dxa"/>
            <w:vAlign w:val="bottom"/>
            <w:gridSpan w:val="6"/>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48</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12.</w:t>
            </w:r>
          </w:p>
        </w:tc>
        <w:tc>
          <w:tcPr>
            <w:tcW w:w="500" w:type="dxa"/>
            <w:vAlign w:val="bottom"/>
            <w:gridSpan w:val="3"/>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48</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13.</w:t>
            </w:r>
          </w:p>
        </w:tc>
        <w:tc>
          <w:tcPr>
            <w:tcW w:w="500" w:type="dxa"/>
            <w:vAlign w:val="bottom"/>
            <w:gridSpan w:val="3"/>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48</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14.</w:t>
            </w:r>
          </w:p>
        </w:tc>
        <w:tc>
          <w:tcPr>
            <w:tcW w:w="500" w:type="dxa"/>
            <w:vAlign w:val="bottom"/>
            <w:gridSpan w:val="3"/>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48</w:t>
            </w:r>
          </w:p>
        </w:tc>
        <w:tc>
          <w:tcPr>
            <w:tcW w:w="8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w w:val="97"/>
              </w:rPr>
              <w:t>Part IV.</w:t>
            </w: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r>
      <w:tr>
        <w:trPr>
          <w:trHeight w:val="184"/>
        </w:trPr>
        <w:tc>
          <w:tcPr>
            <w:tcW w:w="1020" w:type="dxa"/>
            <w:vAlign w:val="bottom"/>
          </w:tcPr>
          <w:p>
            <w:pPr>
              <w:spacing w:after="0"/>
              <w:rPr>
                <w:sz w:val="16"/>
                <w:szCs w:val="16"/>
                <w:color w:val="auto"/>
              </w:rPr>
            </w:pPr>
          </w:p>
        </w:tc>
        <w:tc>
          <w:tcPr>
            <w:tcW w:w="5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FF"/>
                <w:w w:val="91"/>
              </w:rPr>
              <w:t>Item 15.</w:t>
            </w:r>
          </w:p>
        </w:tc>
        <w:tc>
          <w:tcPr>
            <w:tcW w:w="500" w:type="dxa"/>
            <w:vAlign w:val="bottom"/>
            <w:gridSpan w:val="3"/>
          </w:tcPr>
          <w:p>
            <w:pPr>
              <w:spacing w:after="0"/>
              <w:rPr>
                <w:sz w:val="16"/>
                <w:szCs w:val="16"/>
                <w:color w:val="auto"/>
              </w:rPr>
            </w:pPr>
          </w:p>
        </w:tc>
        <w:tc>
          <w:tcPr>
            <w:tcW w:w="7680" w:type="dxa"/>
            <w:vAlign w:val="bottom"/>
            <w:gridSpan w:val="18"/>
          </w:tcPr>
          <w:p>
            <w:pPr>
              <w:spacing w:after="0" w:line="184" w:lineRule="exact"/>
              <w:rPr>
                <w:sz w:val="20"/>
                <w:szCs w:val="20"/>
                <w:color w:val="auto"/>
              </w:rPr>
            </w:pPr>
            <w:r>
              <w:rPr>
                <w:rFonts w:ascii="Times New Roman" w:cs="Times New Roman" w:eastAsia="Times New Roman" w:hAnsi="Times New Roman"/>
                <w:sz w:val="17"/>
                <w:szCs w:val="17"/>
                <w:color w:val="0000FF"/>
              </w:rPr>
              <w:t>Exhibits, Financial Statements and Schedules</w:t>
            </w:r>
          </w:p>
        </w:tc>
        <w:tc>
          <w:tcPr>
            <w:tcW w:w="680" w:type="dxa"/>
            <w:vAlign w:val="bottom"/>
            <w:gridSpan w:val="2"/>
          </w:tcPr>
          <w:p>
            <w:pPr>
              <w:jc w:val="center"/>
              <w:ind w:left="434"/>
              <w:spacing w:after="0" w:line="184" w:lineRule="exact"/>
              <w:rPr>
                <w:sz w:val="20"/>
                <w:szCs w:val="20"/>
                <w:color w:val="auto"/>
              </w:rPr>
            </w:pPr>
            <w:r>
              <w:rPr>
                <w:rFonts w:ascii="Times New Roman" w:cs="Times New Roman" w:eastAsia="Times New Roman" w:hAnsi="Times New Roman"/>
                <w:sz w:val="17"/>
                <w:szCs w:val="17"/>
                <w:color w:val="0000FF"/>
                <w:w w:val="93"/>
              </w:rPr>
              <w:t>49</w:t>
            </w:r>
          </w:p>
        </w:tc>
        <w:tc>
          <w:tcPr>
            <w:tcW w:w="80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16.</w:t>
            </w:r>
          </w:p>
        </w:tc>
        <w:tc>
          <w:tcPr>
            <w:tcW w:w="500" w:type="dxa"/>
            <w:vAlign w:val="bottom"/>
            <w:gridSpan w:val="3"/>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51</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496"/>
        </w:trPr>
        <w:tc>
          <w:tcPr>
            <w:tcW w:w="10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52</w:t>
            </w:r>
          </w:p>
        </w:tc>
        <w:tc>
          <w:tcPr>
            <w:tcW w:w="800" w:type="dxa"/>
            <w:vAlign w:val="bottom"/>
          </w:tcPr>
          <w:p>
            <w:pPr>
              <w:spacing w:after="0"/>
              <w:rPr>
                <w:sz w:val="24"/>
                <w:szCs w:val="24"/>
                <w:color w:val="auto"/>
              </w:rPr>
            </w:pPr>
          </w:p>
        </w:tc>
      </w:tr>
      <w:tr>
        <w:trPr>
          <w:trHeight w:val="1533"/>
        </w:trPr>
        <w:tc>
          <w:tcPr>
            <w:tcW w:w="102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Our reports, filings and other public announcements, including this Annual Report on Form 10-K may from time to time contain statements that do not directly or exclusively relate to historical facts. Such statements are “forward-looking statements” within the meaning of the Private Securities Litigation Reform Act of 1995, and typically include, but are not limited to, our expected future financial position, results of operations, cash flows, financing plans, business strategy, budgets, capital expenditures, competitive positions, growth opportunities and plans and objectives of management. Forward-looking statements can often be identified by words such as “anticipate,” “expect,” “intend,” “plan,” “predict,” “believe,” “seek,” “estimate,” “may,” “will,” “should,” “would,” “could,” “potential,” “continue,” “ongoing,” similar expressions, and variations or negatives of these words. These statements are subject to the safe harbors created under the Securities Act of 1933, as amended (the “Securities Act”), and the Securities Exchange Act of 1934, as amended (the “Exchange Act”). These statements are not guarantees of future performance and are subject to risks, uncertainties and assumptions that are difficult to predict. Therefore, our actual results could differ materially and adversely from those expressed in any forward-looking statements as a result of various factors, some of which are listed in Part I, Item 1A.,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of this Annual Report on Form 10-K for the year ended December 31, 2023. Accordingly, you should not rely upon forward-looking statements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predictions of future events. These forward-looking statements speak only as of the date of this Annual Report, and are based on our current expectations, estimates and projections about our industry and business, management's beliefs, and certain assumptions made by us, all of which are subject to change. We undertake no obligation to revise or update publicly any forward-looking statement for any reason, except as otherwise required by law.</w:t>
      </w:r>
    </w:p>
    <w:p>
      <w:pPr>
        <w:spacing w:after="0" w:line="20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used in this Annual Report on Form 10-K, the words, “Pennant,” “Company,” “we,” “our” and “us” refer to The Pennant Group, Inc. and its consolidated subsidiaries. All of our independent operating subsidiaries, and the Service Center (defined below) are operated by separate, wholly-owned, independent subsidiaries that have their own management, employees and assets. References herein to the consolidated “Company” and “its” assets and activities, as well as the use of the terms “we,” “us,” “our” and similar terms in this Annual Report are not meant to imply, nor should they be construed as meaning, that The Pennant Group, Inc. has direct operating assets, employees or revenue, or that any of the subsidiaries are operated by The Pennant Group, Inc.</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Pennant Group, Inc. is a holding company with no direct operating assets, employees or revenues. In addition, certain of our wholly-owned independent subsidiaries, collectively referred to as the “Service Center,” provide centralized accounting, payroll, human resources, information technology, legal, risk management, compliance oversight and other services to the other independent operating subsidiaries through contractual relationships with such subsidiaries.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address of our headquarters is 1675 East Riverside Drive, Suite 150, Eagle, ID 83616, and our telephone number is (208) 506-6100. Our corporate website is located at www.pennantgroup.com. The information contained in, or that can be accessed through, our website does not constitute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Pennant Group, Inc. is a leading provider of high-quality healthcare services to patients or residents of all ages, including the growing senior population, in the United States. Through our innovative operating model, we strive to be the provider of choice in the communities we serve.</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2023, we operate multiple lines of business, including home health, hospice and senior living, throughout Arizona, California, Colorado, Idaho, Montana, Nevada, Oklahoma, Oregon, Texas, Utah, Washington, Wisconsin and Wyoming. We provide home health and hospice services through 111 agencies, and senior living services at 51 communities with 3,588 total units in our assisted living, independent living and memory care business. We derive revenue from a diversified blend of payors including Medicare and Medicaid programs, private pay patients and residents and managed care payors.</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our key differentiators are our (1) innovative operating model that focuses on empowering and developing strong local leaders, (2) disciplined growth strategy, and (3) ability to achieve quality care outcomes in cost effective settings. In our experience, healthcare is a local endeavor, largely dependent upon personal and professional relationships, community reputation and an ability to adapt to the changing needs of patients, residents, partners and communities. As our operational leaders build strong relationships with key partners in their local communities, they are empowered to make informed and critical operational decisions that produce quality care outcomes and more effectively meet the needs of our patients and residents.</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our home health and hospice businesses are able to achieve quality outcomes—as measured by multiple industry and value-based metrics (such as hospital readmission rates)—in cost-effective settings. We believe our senior living business is able to offer our residents a safe and tailored quality-of-life at an affordable cost, thus appealing to a broad population. With our platform of diversified service offerings, we believe that we are well-positioned to take advantage of favorable demographic shifts as well as industry trends that reward providers offering quality care in lower cost settings.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Innovative Operating Model</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innovative operating model is the foundation of our superior performance and success. Our operating model is founded on two core principles: (1) healthcare is a local business where providers are most successful when key operational decision-making meets local community needs and occurs close to patients or residents and employees, and (2) peer accountability from operational and resource partners is more effective at driving excellent clinical and financial results than traditional hierarchical or “top-down” accountability structures.</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Our model is innovative because each operation has been, and will continue to be, an independent operating subsidiary that functions under the direction of local clinical and operational leaders, each of whom is empowered to make decisions based on the unique needs of the patients or residents, partners and communities they serve. This is in contrast to typical models where control and key decision-making is centralized at the corporate level. Moreover, we utilize a “cluster model,” where every operation is part of a defined “cluster,” which is a group of geographically proximate operations working together to allow leaders to communicate and provide support and accountability to each other. Clusters create incentives for leaders to share best practices and real-time data and benchmark clinical and financial performance with their cluster partners. We believe this locally-driven data-sharing and peer accountability model is unique among healthcare and senior living providers and has proven effective in improving clinical care, enhancing patient and resident satisfaction and promoting operational efficiencies. This “cluster” operating model is the same model used by local leaders prior to our spin-off from Ensign in 2019 (further discussed below under </w:t>
      </w:r>
      <w:r>
        <w:rPr>
          <w:rFonts w:ascii="Times New Roman" w:cs="Times New Roman" w:eastAsia="Times New Roman" w:hAnsi="Times New Roman"/>
          <w:sz w:val="17"/>
          <w:szCs w:val="17"/>
          <w:i w:val="1"/>
          <w:iCs w:val="1"/>
          <w:color w:val="auto"/>
        </w:rPr>
        <w:t>Company History</w:t>
      </w:r>
      <w:r>
        <w:rPr>
          <w:rFonts w:ascii="Times New Roman" w:cs="Times New Roman" w:eastAsia="Times New Roman" w:hAnsi="Times New Roman"/>
          <w:sz w:val="17"/>
          <w:szCs w:val="17"/>
          <w:color w:val="auto"/>
        </w:rPr>
        <w:t>) and is key to the success of our future operations.</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organizational structure empowers our highly dedicated leaders and staff at the local level to make key decisions and creates a sense of ownership over operational and clinical results and the overall employee experience. Each operation’s leader and his or her staff are encouraged to make their operations the “provider of choice” in the communities they serve. To accomplish this goal, our leaders work closely with their clinical staff and our expert resources to identify unique patient and resident needs and priorities in their communities and to create superior service offerings tailored to those needs. We believe that our localized approach to program development and care leads prospective patients or residents and referral sources to choose or recommend our operations to others. Similarly, our emphasis on empowering local decision-makers encourages leaders to strive to become the “employer of choice” in the communities they serve. One of our core values is the principle that the best patient care is provided by employees who experience significant work satisfaction because they are valued as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individuals. Our leaders work hard to embody this core value and to attract, train and retain outstanding clinical staff by creating a work environment that fosters critical thinking, measurement, and relevance. Our local teams are motivated and empowered to quickly and proactively meet the needs of those they serve, without waiting for permission to act or being bound to a “one-size-fits-all” corporate strategy. In many markets, we attribute census growth and excellent clinical</w:t>
      </w:r>
    </w:p>
    <w:p>
      <w:pPr>
        <w:jc w:val="both"/>
        <w:spacing w:after="0" w:line="287" w:lineRule="auto"/>
        <w:rPr>
          <w:sz w:val="20"/>
          <w:szCs w:val="20"/>
          <w:color w:val="auto"/>
        </w:rPr>
      </w:pPr>
      <w:r>
        <w:rPr>
          <w:rFonts w:ascii="Times New Roman" w:cs="Times New Roman" w:eastAsia="Times New Roman" w:hAnsi="Times New Roman"/>
          <w:sz w:val="17"/>
          <w:szCs w:val="17"/>
          <w:color w:val="auto"/>
        </w:rPr>
        <w:t>and financial outcomes to a healthy organizational culture built on these principles. With strong employee satisfaction across the organization, we believe we can continue to attract and retain the best talent in our industries.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Lastly, while our teams are local, they are also supported by cutting-edge systems and our “Service Center”, which is staffed with teams of subject-matter experts who advise regarding their respective fields of expertise, including information technology, compliance oversight, human resources, accounting, payroll, legal, risk management, and other services. The partnership and peer accountability that exists between our local leaders and Service Center resources allows each operation to improve while benefiting from the technical expertise, systems and accountability provided by our Service Center.</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Partner of Choice in Local Healthcare Communities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view healthcare services primarily as a local business, driven by personal relationships, reputation and the ability to identify and address unmet community needs. We believe our success is largely driven by our ability to build strong relationships with key stakeholders within the local healthcare communities, leveraging our reputation for providing superior care.</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we are a partner of choice to payors, providers, patients, residents and employees in the healthcare communities we serve. As a partner, we focus on improving care outcomes and the quality of life of our patients and residents in their home. Our local leadership approach facilitates the development of strong professional relationships within communities, which allows us to better understand and meet the needs of our partners. We believe our emphasis on working closely with other providers, payors, residents and patients yields unique, customized solutions and programs that meet local market needs and improve clinical outcomes, which in turn accelerates revenue growth and profitability.</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a trusted partner to, and work closely with, payors and other acute and post-acute providers to deliver innovative healthcare solutions in lower cost settings. In the markets we serve, we have developed formal and informal preferred provider relationships with key referral sources and transitional care programs that result in better coordination within the care continuum. These partnerships have resulted in significant benefits to payors, patients, residents and other providers, including reduced hospital readmission rates, appropriate transitions within the care continuum, overall cost savings, increased patient satisfaction and improved quality outcomes. Positive, repeated interactions and data sharing result in strong local relationships and encourage referrals from our acute and post-acute care partners. As we continue to strengthen these formal and informal relationships and expand our referral base, we believe we will continue to drive revenue growth and operational results.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Company History</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Pennant Group, Inc. was incorporated as a Delaware corporation on January 24, 2019, for the purpose of holding the home health and hospice agencies and substantially all of the senior living businesses of The Ensign Group, Inc. (“Ensign”), which was formed in 1999 with the goal of establishing a new level of quality care within the skilled nursing industry. On October 1, 2019, Ensign completed the separation of Pennant (the “Spin-Off”). We believe that, through our innovative operating model, we can foster a new level of patient care and professional competence at our independent operating subsidiaries and set new industry standards for quality home health and hospice and senior living services.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independent operating subsidiaries are organized into industry-specific portfolio companies, which we believe has enabled us to maintain a local, field-driven organizational structure, to attract qualified leaders and expert resources, and to effectively identify, acquire, and improve operations. Each of our portfolio companies has its own leader. These experienced and proven leaders are generally taken from the ranks of our operational leaders to serve as resources to independent operating subsidiaries within their own portfolio companies and have the primary responsibility for recruiting qualified talent, finding potential acquisition targets, and identifying other strategic and organic growth opportunities. We believe this decentralized organizational structure will continue to improve the quality of our recruiting and facilitate successful acquisitions.</w:t>
      </w:r>
    </w:p>
    <w:p>
      <w:pPr>
        <w:spacing w:after="0" w:line="199"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We have two reportable segments: (1) home health and hospice services, which includes our home health, hospice and home care businesses; and (2) senior living services, which includes our assisted living, independent living and memory care communities. We also report an “all other” category that includes general and administrative expense. Our reporting segments are business units that offer different services and are managed separately to provide greater visibility into those operations. For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more information about our operating segments, as well as financial information, see “</w:t>
      </w:r>
      <w:r>
        <w:rPr>
          <w:rFonts w:ascii="Times New Roman" w:cs="Times New Roman" w:eastAsia="Times New Roman" w:hAnsi="Times New Roman"/>
          <w:sz w:val="17"/>
          <w:szCs w:val="17"/>
          <w:i w:val="1"/>
          <w:iCs w:val="1"/>
          <w:color w:val="auto"/>
        </w:rPr>
        <w:t>Management’s Discussion and Analysis of Financial Condition and Results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Operations</w:t>
      </w:r>
      <w:r>
        <w:rPr>
          <w:rFonts w:ascii="Times New Roman" w:cs="Times New Roman" w:eastAsia="Times New Roman" w:hAnsi="Times New Roman"/>
          <w:sz w:val="17"/>
          <w:szCs w:val="17"/>
          <w:color w:val="auto"/>
        </w:rPr>
        <w:t>” and Note 6,</w:t>
      </w:r>
      <w:r>
        <w:rPr>
          <w:rFonts w:ascii="Times New Roman" w:cs="Times New Roman" w:eastAsia="Times New Roman" w:hAnsi="Times New Roman"/>
          <w:sz w:val="17"/>
          <w:szCs w:val="17"/>
          <w:i w:val="1"/>
          <w:iCs w:val="1"/>
          <w:color w:val="auto"/>
        </w:rPr>
        <w:t xml:space="preserve"> Business Segments</w:t>
      </w:r>
      <w:r>
        <w:rPr>
          <w:rFonts w:ascii="Times New Roman" w:cs="Times New Roman" w:eastAsia="Times New Roman" w:hAnsi="Times New Roman"/>
          <w:sz w:val="17"/>
          <w:szCs w:val="17"/>
          <w:color w:val="auto"/>
        </w:rPr>
        <w:t>,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Services</w:t>
      </w:r>
    </w:p>
    <w:p>
      <w:pPr>
        <w:spacing w:after="0" w:line="24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Home Health and Hospice. </w:t>
      </w:r>
      <w:r>
        <w:rPr>
          <w:rFonts w:ascii="Times New Roman" w:cs="Times New Roman" w:eastAsia="Times New Roman" w:hAnsi="Times New Roman"/>
          <w:sz w:val="17"/>
          <w:szCs w:val="17"/>
          <w:color w:val="auto"/>
        </w:rPr>
        <w:t>As of December 31, 2023, we provided home health and hospice services through 111 agencies. Our home health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consist of providing a combination of clinical services including nursing, speech, occupational and physical therapy, medical social work and home health aide services within a patient's home. Home health is often a cost-effective solution for patients and can also increase their quality of life by allowing them to receive excellent clinical services in the comfort and convenience of each patient’s home. Our hospice services focus on the physical, spiritual and psychosocial needs of terminally ill patients and their families and consist primarily of clinical care, education and counseling. We generated approximately 66.9%, 67.7% and 70.0% of our home health and hospice revenue from Medicare during the years ended December 31, 2023, 2022 and 2021, respectively.</w:t>
      </w:r>
    </w:p>
    <w:p>
      <w:pPr>
        <w:spacing w:after="0" w:line="1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Senior Living. </w:t>
      </w:r>
      <w:r>
        <w:rPr>
          <w:rFonts w:ascii="Times New Roman" w:cs="Times New Roman" w:eastAsia="Times New Roman" w:hAnsi="Times New Roman"/>
          <w:sz w:val="17"/>
          <w:szCs w:val="17"/>
          <w:color w:val="auto"/>
        </w:rPr>
        <w:t>As of December 31, 2023, we provided assisted living, independent living and memory care services in 51 communities with 3,588 total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available units. Our senior living operations provide a variety of services tailored to our residents’ needs, including residential accommodations, activities, meals, housekeeping and assistance in the activities of daily living to seniors who are independent or who require some support not at the level of clinical care provided in a skilled nursing facility. We generate revenue in these communities primarily from private pay sources, with a portion earned from Medicaid or other state-specific programs. We derived approximately 68.8%, 71.3% and 71.3% of our senior living revenue from private pay sources during the years ended December 31, 2023, 2022 and 2021,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believe that the following strategies are primarily responsible for our growth to date and will continue to drive the growth of our business:</w:t>
      </w:r>
    </w:p>
    <w:p>
      <w:pPr>
        <w:spacing w:after="0" w:line="23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 Talent Base and Develop Future Leaders. </w:t>
      </w:r>
      <w:r>
        <w:rPr>
          <w:rFonts w:ascii="Times New Roman" w:cs="Times New Roman" w:eastAsia="Times New Roman" w:hAnsi="Times New Roman"/>
          <w:sz w:val="17"/>
          <w:szCs w:val="17"/>
          <w:color w:val="auto"/>
        </w:rPr>
        <w:t>Our growth strategy is focused on expanding our talent base and developing future leaders. A key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component of our organizational culture is our belief that strong local leadership is a primary ingredient to operational success. We use a multi-faceted strategy to identify and recruit proven business leaders from various industries and backgrounds. To develop these leaders, we have a rigorous “CEO-in-Training Program” that includes significant in-person instruction on leadership, clinical and operational topics as well as extensive on-the-ground training and active learning with key leaders from across the organization. After placement in a local operation, our leaders continue to receive training and regular feedback and support from operational, clinical and Service Center peers. We believe our model of empowering local leaders and providing them a platform of support from expert resources and systems will continue to attract and retain highly talented and entrepreneurial leaders.</w:t>
      </w:r>
    </w:p>
    <w:p>
      <w:pPr>
        <w:spacing w:after="0" w:line="1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Focus on Organic Growth. </w:t>
      </w:r>
      <w:r>
        <w:rPr>
          <w:rFonts w:ascii="Times New Roman" w:cs="Times New Roman" w:eastAsia="Times New Roman" w:hAnsi="Times New Roman"/>
          <w:sz w:val="17"/>
          <w:szCs w:val="17"/>
          <w:color w:val="auto"/>
        </w:rPr>
        <w:t>We believe that we have a significant opportunity to drive organic growth within our current portfolio, including recently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acquired operations. As we improve clinical outcomes, quality of care and operational results at each of our existing and newly acquired operations, we believe we will become a provider of choice in the communities we serve, which leads to census growth. Through this census growth, and as we continue to expand our service areas and offerings, we believe we will continue to translate revenue growth into bottom line success with rigorous adherence to our core operating principles. By effectively using data systems and analytics and embracing a culture of transparency and accountability, we tend to see our local leaders steadily improving operational results. We believe our unique operating model will continue to cultivate steady and consistent organic growth in the future.</w:t>
      </w:r>
    </w:p>
    <w:p>
      <w:pPr>
        <w:spacing w:after="0" w:line="1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Pursue Disciplined Acquisition Strategy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disciplined acquisition and integration of strategic and underperforming operations is a key element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past success and is integral to our future growth plans. Historically, we have successfully transitioned both turnaround and stable target businesses, transforming them into top-quality operations preferred by referral sources. We plan to continue to take advantage of the fragmented home health, hospice and senior living industries by being disciplined in acquiring strategic and underperforming operations within both our existing and new geographic markets. With experienced leaders in place at the local level and demonstrated success in improving operating conditions at acquired businesses, we believe we are well positioned to continue expanding our footprint through disciplined acquisitions.</w:t>
      </w:r>
    </w:p>
    <w:p>
      <w:pPr>
        <w:spacing w:after="0" w:line="194"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Leverage Our Operational Capabilities to Expand Partnerships. </w:t>
      </w:r>
      <w:r>
        <w:rPr>
          <w:rFonts w:ascii="Times New Roman" w:cs="Times New Roman" w:eastAsia="Times New Roman" w:hAnsi="Times New Roman"/>
          <w:sz w:val="17"/>
          <w:szCs w:val="17"/>
          <w:color w:val="auto"/>
        </w:rPr>
        <w:t>Our local leadership approach enables us to adapt to and efficiently meet the needs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partners in the communities we serve. Our clinical and data analytics capabilities foster solutions and allow us to optimize clinical outcomes. We use this data to communicate with key partners in an effort to reduce overall cost of care and drive improved clinical outcomes. We also operate joint ventures with leading health systems, which allows us to expand our partnership in the space, and may undertake additional joint ventures in the future. We will continue 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expand formal and informal partnerships across the healthcare continuum by strategically investing in programs and data analytics that help us and our partners improve care transitions, achieve better outcomes and reduce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Growth and Acquisition History</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Much of our historical growth can be attributed to our expertise in acquiring strategic and underperforming operations and transforming them into market leaders in clinical quality, staff competency and financial performance. Our local leaders are trained to identify these opportunities for long-term organic growth as we strive to become the provider of choice in our local communities. Accordingly, we plan to continue to drive organic growth and acquire additional operations in existing and new markets in a disciplined manner.</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From 2014 to 2023, we grew our home health and hospice services and senior living services revenue by 502.8% or a compounded annual growth rate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153670</wp:posOffset>
            </wp:positionV>
            <wp:extent cx="5361940" cy="3274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6194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From December 31, 2014 to December 31, 2023, we grew the number of our home health and hospice agencies and senior living units by 344.0% and 126.1%,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Agency and Unit Growth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19685</wp:posOffset>
            </wp:positionV>
            <wp:extent cx="5566410" cy="2456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6410"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8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2014</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2015</w:t>
            </w:r>
          </w:p>
        </w:tc>
        <w:tc>
          <w:tcPr>
            <w:tcW w:w="10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2016</w:t>
            </w:r>
          </w:p>
        </w:tc>
        <w:tc>
          <w:tcPr>
            <w:tcW w:w="8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2017</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 agencies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9"/>
        </w:trPr>
        <w:tc>
          <w:tcPr>
            <w:tcW w:w="35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Senior living communities</w:t>
            </w:r>
            <w:r>
              <w:rPr>
                <w:rFonts w:ascii="Times New Roman" w:cs="Times New Roman" w:eastAsia="Times New Roman" w:hAnsi="Times New Roman"/>
                <w:sz w:val="22"/>
                <w:szCs w:val="22"/>
                <w:color w:val="auto"/>
                <w:vertAlign w:val="superscript"/>
              </w:rPr>
              <w:t>(a)</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3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Senior living units</w:t>
            </w:r>
            <w:r>
              <w:rPr>
                <w:rFonts w:ascii="Times New Roman" w:cs="Times New Roman" w:eastAsia="Times New Roman" w:hAnsi="Times New Roman"/>
                <w:sz w:val="22"/>
                <w:szCs w:val="22"/>
                <w:color w:val="auto"/>
                <w:vertAlign w:val="superscript"/>
              </w:rPr>
              <w:t>(a)</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r>
      <w:tr>
        <w:trPr>
          <w:trHeight w:val="168"/>
        </w:trPr>
        <w:tc>
          <w:tcPr>
            <w:tcW w:w="3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Total number of home health, hospice, and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2"/>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senior living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r>
    </w:tbl>
    <w:p>
      <w:pPr>
        <w:spacing w:after="0" w:line="95" w:lineRule="exact"/>
        <w:rPr>
          <w:sz w:val="20"/>
          <w:szCs w:val="20"/>
          <w:color w:val="auto"/>
        </w:rPr>
      </w:pPr>
    </w:p>
    <w:p>
      <w:pPr>
        <w:ind w:left="460" w:right="20" w:hanging="440"/>
        <w:spacing w:after="0" w:line="238"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January 2022, affiliates of the Company entered into certain operations transfer agreements with affiliates of Ensign, providing for the transfer of the operations of five senior living communities.</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aim to continue to grow our revenue and earnings by expanding our existing operations and acquiring additional operations in existing and new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Trends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healthcare sector is one of the largest and fastest-growing sectors of the U.S. economy. According to the Centers for Medicare and Medicaid Services (“CMS”), national healthcare spending increased from 8.9% of U.S. GDP, or $253 billion, in 1980 to an estimated 17.3% of GDP, or $4.5 trillion, in 2022. CMS projects national healthcare spending will grow by an average of 5.1% annually from 2021 through 2030, accounting for approximately 19.6% of U.S. GDP, or approximately $6.8 trillion, in 2030.</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home health and hospice segment is growing within the overall healthcare landscape in the United States. According to Grandview Research, Inc., the home health market is estimated at approximately $142.9 billion and is expected to grow at a compounded annual growth rate (“CAGR”) of 7.5% from 2022 to 2030. The hospice industry is estimated at approximately $34.5 billion and is projected to grow at an estimated CAGR of 8.2% from 2022 to 2030. The senior living market is estimated at approximately $91.8 billion and is expected to expand at an estimated CAGR of 5.5% between 2022 to 2030. We believe that the industries in which we operate will continue to benefit from several macroeconomic and regulatory trends highlighted below:</w:t>
      </w:r>
    </w:p>
    <w:p>
      <w:pPr>
        <w:spacing w:after="0" w:line="194"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Increased Demand Driven by Aging Populations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seniors account for an increasing percentage of the total U.S. population, we believe demand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home health and hospice will continue to increase and demand for senior living services will improve as operating conditions impacted by the COVID-19 pandemic return to normal. According to the U.S. Census Bureau in 2020, between 2016 and 2060, the number of individuals over 65 years old is projected to be one of the fastest growing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segments of the United States population, growing from 15% to 23%. The Bureau expects this segment to increase nearly 92% to 94.7 million by 2060 (from 2016) as compared to the total U.S. population which is projected to increase by 25.2% over that same time period. Furthermore, the generation currently retiring has access to fewer post-retirement benefits and accumulated less savings than in the past, creating demand for more affordable senior housing and in-home care options. As a high-quality provider in lower cost settings, we believe we are well-positioned to benefit from this trend.</w:t>
      </w:r>
    </w:p>
    <w:p>
      <w:pPr>
        <w:spacing w:after="0" w:line="19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Shift of Patient Care to Lower Cost Alternatives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growth of the senior population in the U.S. continues to increase healthcare costs, often at a 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faster than the available funding from government-sponsored healthcare programs. In response, government payors have adopted measures that encourage the treatment of patients in their homes and other cost-effective settings where the staffing requirements and associated costs are often significantly lower than the alternatives. With our emphasis on the home health, hospice and senior living industries, which are among the lowest cost settings within the post-acute care continuum, we expect this shift to continue to drive our growth.</w:t>
      </w:r>
    </w:p>
    <w:p>
      <w:pPr>
        <w:spacing w:after="0" w:line="192"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Transition to Value-Based Payment Models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response to rising healthcare spending, certain markets’ commercial, government and other payors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shifting away from fee-for-service payment models toward value-based models, including risk-based payment models that tie financial incentives to quality, efficiency and coordination of care. We believe that payors will continue to emphasize reimbursement models driven by value and that our clinical outcomes combined with our services in cost effective settings will be increasingly rewarded. Many of our home health agencies already receive value-based payments, and we are well-positioned to capitalize on this trend as it unfolds across the markets we serve.</w:t>
      </w:r>
    </w:p>
    <w:p>
      <w:pPr>
        <w:spacing w:after="0" w:line="19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Significant Acquisition and Consolidation Opportunities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home health, hospice and senior living industries are highly fragmented markets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thousands of small and regional providers and only a handful of large national players. There were over 11,600 Medicare-certified home health agencies operating in 2022, with the top ten largest operators accounting for approximately 26.6% of the market. There are approximately 6,000 hospice agencies in the U.S. with the top ten largest operators accounting for about 19.1% of the total market share. As with the home health and hospice industries, there is significant fragmentation in the senior housing industry, with the top 25 operators owning approximately 35% of the licensed beds within the US. We believe that our strategy of acquiring strategic and underperforming operations in these highly fragmented markets will be an instrumental to our future growth.</w:t>
      </w:r>
    </w:p>
    <w:p>
      <w:pPr>
        <w:spacing w:after="0" w:line="19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Changing Regulatory Framework</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Regulations and reimbursement change frequently in our industries. Our model is designed to successfully navigate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these regulatory and reimbursement changes. For example, effective January 1, 2020, CMS enacted additional changes to the Medicare home health prospective payment system (“HH PPS”) with the implementation of the Patient Driven Groupings Model (“PDGM”). As discussed in greater detail below under </w:t>
      </w:r>
      <w:r>
        <w:rPr>
          <w:rFonts w:ascii="Times New Roman" w:cs="Times New Roman" w:eastAsia="Times New Roman" w:hAnsi="Times New Roman"/>
          <w:sz w:val="17"/>
          <w:szCs w:val="17"/>
          <w:i w:val="1"/>
          <w:iCs w:val="1"/>
          <w:color w:val="auto"/>
        </w:rPr>
        <w:t>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w:t>
      </w:r>
      <w:r>
        <w:rPr>
          <w:rFonts w:ascii="Times New Roman" w:cs="Times New Roman" w:eastAsia="Times New Roman" w:hAnsi="Times New Roman"/>
          <w:sz w:val="17"/>
          <w:szCs w:val="17"/>
          <w:color w:val="auto"/>
        </w:rPr>
        <w:t>, this reimbursement structure involved case mix calculation methodology refinements, changes to low-utilization payment adjustment (“LUPA”)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thresholds, the elimination of therapy thresholds, a change to the unit of payment from a 60-day episode to a 30-day period of care, and reduction in fiscal year 2020 and full elimination in fiscal year 2021 of requests for anticipated payments (“RAPs”). In fiscal year 2022, CMS replaced the RAP process with the home health Notice of Admission (“NOA”), which requires a single NOA filing that will cover continuous 30-day periods of care until the patient is discharged. We believe our unique operating model has allowed us to effectively transition to PDGM as local operations and clinical leaders, supported by our expert resources, have adapted to the new reimbursement environment.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Payor Sources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derive revenue primarily from Medicare and Medicaid programs, managed care and private insurance, and private and other payors.</w:t>
      </w:r>
    </w:p>
    <w:p>
      <w:pPr>
        <w:spacing w:after="0" w:line="23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Medicare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Medicare is a federal program that provides healthcare benefits to individuals who are 65 years of age or older or are disabled. The Medicare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home health benefit is available both for patients who need care following discharge from an inpatient facility and patients who suffer from chronic conditions that require ongoing but intermittent care. The Medicare hospice benefit is also available to Medicare-eligible patients with terminal illnesses, certified by a physician, where life expectancy is six months or less.</w:t>
      </w:r>
    </w:p>
    <w:p>
      <w:pPr>
        <w:spacing w:after="0" w:line="18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Medicaid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Medicaid is a program financed by state funds and matching federal funds administered by state agencies or managed care organizations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their behalf. Medicaid programs generally provide health benefits for qualifying individuals and may supplement Medicare benefits for the disabled and for persons aged 65 and older meeting financial eligibility requirements. Medicaid reimbursement formulas are established by each state with the approval of the federal government in accordance with federal guidelines.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Medicaid reimbursement varies from state to state and is based upon a number of different methodologies, including cost-based, prospective payment, case mixed adjusted payments, and negotiated rates. Rates are subject to a state’s annual budgetary requirements and funding, statutory and regulatory changes and interpretations and rulings by individual state agencies and State Plan Amendments approved by CMS.</w:t>
      </w:r>
    </w:p>
    <w:p>
      <w:pPr>
        <w:spacing w:after="0" w:line="179"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Managed Care and Private Insurance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Managed care patients consist of individuals who are insured by certain third-party entities, or who are Medicare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beneficiaries who have assigned their Medicare benefits to a managed care organization plan. Another type of insurance, long-term care insurance, is also becoming more widely available to consumers and is not expected to contribute significantly to industry revenues in the near term.</w:t>
      </w:r>
    </w:p>
    <w:p>
      <w:pPr>
        <w:spacing w:after="0" w:line="178" w:lineRule="exact"/>
        <w:rPr>
          <w:sz w:val="20"/>
          <w:szCs w:val="20"/>
          <w:color w:val="auto"/>
        </w:rPr>
      </w:pPr>
    </w:p>
    <w:p>
      <w:pPr>
        <w:jc w:val="both"/>
        <w:ind w:firstLine="61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Private and Other Payors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Private and other payors consist primarily of individuals, family members or other third parties who directly pay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services we provide.</w:t>
      </w:r>
    </w:p>
    <w:p>
      <w:pPr>
        <w:spacing w:after="0" w:line="185"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following table sets forth our total revenue by payor source as a percent of revenue generated by each of our reportable segments and as a percentage of total revenue for the year ended December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8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780" w:type="dxa"/>
            <w:vAlign w:val="bottom"/>
            <w:tcBorders>
              <w:bottom w:val="single" w:sz="8" w:color="auto"/>
            </w:tcBorders>
          </w:tcPr>
          <w:p>
            <w:pPr>
              <w:spacing w:after="0"/>
              <w:rPr>
                <w:sz w:val="19"/>
                <w:szCs w:val="19"/>
                <w:color w:val="auto"/>
              </w:rPr>
            </w:pPr>
          </w:p>
        </w:tc>
      </w:tr>
      <w:tr>
        <w:trPr>
          <w:trHeight w:val="212"/>
        </w:trPr>
        <w:tc>
          <w:tcPr>
            <w:tcW w:w="3880" w:type="dxa"/>
            <w:vAlign w:val="bottom"/>
          </w:tcPr>
          <w:p>
            <w:pPr>
              <w:spacing w:after="0"/>
              <w:rPr>
                <w:sz w:val="18"/>
                <w:szCs w:val="18"/>
                <w:color w:val="auto"/>
              </w:rPr>
            </w:pPr>
          </w:p>
        </w:tc>
        <w:tc>
          <w:tcPr>
            <w:tcW w:w="3720" w:type="dxa"/>
            <w:vAlign w:val="bottom"/>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Home Health and Hospice Services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2"/>
        </w:trPr>
        <w:tc>
          <w:tcPr>
            <w:tcW w:w="3880" w:type="dxa"/>
            <w:vAlign w:val="bottom"/>
          </w:tcPr>
          <w:p>
            <w:pPr>
              <w:spacing w:after="0"/>
              <w:rPr>
                <w:sz w:val="18"/>
                <w:szCs w:val="18"/>
                <w:color w:val="auto"/>
              </w:rPr>
            </w:pPr>
          </w:p>
        </w:tc>
        <w:tc>
          <w:tcPr>
            <w:tcW w:w="1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Home Health Services</w:t>
            </w:r>
          </w:p>
        </w:tc>
        <w:tc>
          <w:tcPr>
            <w:tcW w:w="17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178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Total Revenue</w:t>
            </w: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48.1 %</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86.2 %</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48.4 %</w:t>
            </w:r>
          </w:p>
        </w:tc>
      </w:tr>
      <w:tr>
        <w:trPr>
          <w:trHeight w:val="21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1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14.2</w:t>
            </w:r>
          </w:p>
        </w:tc>
      </w:tr>
      <w:tr>
        <w:trPr>
          <w:trHeight w:val="212"/>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17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62.6</w:t>
            </w:r>
          </w:p>
        </w:tc>
      </w:tr>
      <w:tr>
        <w:trPr>
          <w:trHeight w:val="21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1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tcPr>
          <w:p>
            <w:pPr>
              <w:spacing w:after="0"/>
              <w:rPr>
                <w:sz w:val="19"/>
                <w:szCs w:val="19"/>
                <w:color w:val="auto"/>
              </w:rPr>
            </w:pPr>
          </w:p>
        </w:tc>
        <w:tc>
          <w:tcPr>
            <w:tcW w:w="1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w:t>
            </w:r>
          </w:p>
        </w:tc>
      </w:tr>
      <w:tr>
        <w:trPr>
          <w:trHeight w:val="219"/>
        </w:trPr>
        <w:tc>
          <w:tcPr>
            <w:tcW w:w="3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Private and other</w:t>
            </w:r>
            <w:r>
              <w:rPr>
                <w:rFonts w:ascii="Times New Roman" w:cs="Times New Roman" w:eastAsia="Times New Roman" w:hAnsi="Times New Roman"/>
                <w:sz w:val="22"/>
                <w:szCs w:val="22"/>
                <w:color w:val="auto"/>
                <w:vertAlign w:val="superscript"/>
              </w:rPr>
              <w:t>(a)</w:t>
            </w:r>
          </w:p>
        </w:tc>
        <w:tc>
          <w:tcPr>
            <w:tcW w:w="17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68.8</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23.9</w:t>
            </w:r>
          </w:p>
        </w:tc>
      </w:tr>
      <w:tr>
        <w:trPr>
          <w:trHeight w:val="212"/>
        </w:trPr>
        <w:tc>
          <w:tcPr>
            <w:tcW w:w="3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38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8" w:lineRule="exact"/>
        <w:rPr>
          <w:sz w:val="20"/>
          <w:szCs w:val="20"/>
          <w:color w:val="auto"/>
        </w:rPr>
      </w:pPr>
    </w:p>
    <w:p>
      <w:pPr>
        <w:ind w:left="460" w:hanging="440"/>
        <w:spacing w:after="0"/>
        <w:tabs>
          <w:tab w:leader="none" w:pos="46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Private and other payors in our home health and hospice services segment includes revenue from all payors generated in our home care operations.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Reimbursement for Specific Services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Historically, adjustments to reimbursement under Medicare and Medicaid have had a significant effect on our revenue and results of operations. Recently enacted, pending and proposed legislation and administrative rulemaking at the federal and state levels could have similar effects on our business. Efforts to impose reduced reimbursement rates, greater discounts, cost sequestrations in federal spending bills passed by Congress, and more stringent cost controls by government and other payors are expected to continue for the foreseeable future and could adversely affect our business, financial condition and results of operations. Additionally, any delay or default by the federal or state governments in making Medicare and/or Medicaid reimbursement payments could materially and adversely affect our business, financial condition and results of operations.</w:t>
      </w:r>
    </w:p>
    <w:p>
      <w:pPr>
        <w:spacing w:after="0" w:line="193"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Reimbursement for Home Health Services</w:t>
      </w:r>
      <w:r>
        <w:rPr>
          <w:rFonts w:ascii="Times New Roman" w:cs="Times New Roman" w:eastAsia="Times New Roman" w:hAnsi="Times New Roman"/>
          <w:sz w:val="17"/>
          <w:szCs w:val="17"/>
          <w:color w:val="auto"/>
        </w:rPr>
        <w:t>. Our home health business derives substantially all of its revenue from Medicare, managed care, and private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 sources, which may vary in the markets we serve. Our home health services generally consist of providing some combination of the services of registered nurses, speech, occupational and physical therapists, medical social workers and certified home health aides. Home health is often a cost-effective solution for patients and can also increase their quality of life and allow them to receive quality medical care in the comfort and convenience of a familiar setting.</w:t>
      </w:r>
    </w:p>
    <w:p>
      <w:pPr>
        <w:spacing w:after="0" w:line="18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Reimbursement for Hospice Services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Hospice revenues are primarily derived from Medicare. We receive one of four predetermined rate categories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based on four different levels of care provided: routine home care, continuous home care, inpatient respite care and general inpatient care. This payment structure is designed to include all of the services needed to manage a beneficiary’s care, consisting primarily of clinical care, education and counseling. These rates are subject to annual adjustments based on inflation and geographic wage considerations.</w:t>
      </w:r>
    </w:p>
    <w:p>
      <w:pPr>
        <w:spacing w:after="0" w:line="18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Reimbursement for Senior Living Services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Assisted living, independent living and memory care community revenue is primarily derived from private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 residents at rates we establish based upon the services we provide and market conditions in the area of operation. In addition, Medicaid or other state-specific programs in some states where we operate supplement payments for board and care services provided in assisted living and memory care communities.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post-acute care industry is highly competitive, and we expect that the industry will become increasingly competitive in the future. The industry is highly fragmented and characterized by numerous local and regional providers, in addition to large national providers that have achieved geographic diversity and economies of scale. Some of our independent operating subsidiaries also compete with skilled nursing facilities, inpatient rehabilitation facilities and long-term acute care hospitals. Competitiveness may vary significantly from location to location, depending upon factors such as the number of competing operations, availability of services, expertise of staff, and the physical appearance and amenities of senior living communities. We believe that the primary competitive factors in the post-acute care industry are:</w:t>
      </w:r>
    </w:p>
    <w:p>
      <w:pPr>
        <w:spacing w:after="0" w:line="186" w:lineRule="exact"/>
        <w:rPr>
          <w:sz w:val="20"/>
          <w:szCs w:val="20"/>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attract and to retain qualified leaders and caregivers;</w:t>
      </w:r>
    </w:p>
    <w:p>
      <w:pPr>
        <w:spacing w:after="0" w:line="75" w:lineRule="exact"/>
        <w:rPr>
          <w:rFonts w:ascii="Times New Roman" w:cs="Times New Roman" w:eastAsia="Times New Roman" w:hAnsi="Times New Roman"/>
          <w:sz w:val="17"/>
          <w:szCs w:val="17"/>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 and achievements of quality healthcare outcomes and patient and resident satisfaction;</w:t>
      </w:r>
    </w:p>
    <w:p>
      <w:pPr>
        <w:spacing w:after="0" w:line="88" w:lineRule="exact"/>
        <w:rPr>
          <w:rFonts w:ascii="Times New Roman" w:cs="Times New Roman" w:eastAsia="Times New Roman" w:hAnsi="Times New Roman"/>
          <w:sz w:val="17"/>
          <w:szCs w:val="17"/>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attractiveness and location of senior living communities and other physical assets;</w:t>
      </w:r>
    </w:p>
    <w:p>
      <w:pPr>
        <w:spacing w:after="0" w:line="75" w:lineRule="exact"/>
        <w:rPr>
          <w:rFonts w:ascii="Times New Roman" w:cs="Times New Roman" w:eastAsia="Times New Roman" w:hAnsi="Times New Roman"/>
          <w:sz w:val="17"/>
          <w:szCs w:val="17"/>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expertise and commitment of operational leaders and employees; and</w:t>
      </w:r>
    </w:p>
    <w:p>
      <w:pPr>
        <w:spacing w:after="0" w:line="75" w:lineRule="exact"/>
        <w:rPr>
          <w:rFonts w:ascii="Times New Roman" w:cs="Times New Roman" w:eastAsia="Times New Roman" w:hAnsi="Times New Roman"/>
          <w:sz w:val="17"/>
          <w:szCs w:val="17"/>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equity and other firms with greater financial resources and/or lower costs of capital with similar asset acquisition objectives.</w:t>
      </w:r>
    </w:p>
    <w:p>
      <w:pPr>
        <w:spacing w:after="0" w:line="33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seek to compete effectively in each market by establishing a reputation within the local community as the “provider of choice.” This means that the operation leaders are generally free to discern and address the unique needs and priorities of healthcare professionals, customers and other stakeholders in the local community or market, and then create superior service offerings for that particular community or market that are calculated to encourage prospective customers and referral sources to choose or recommend the operation.</w:t>
      </w:r>
    </w:p>
    <w:p>
      <w:pPr>
        <w:spacing w:after="0" w:line="19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Increased competition could limit our ability to attract and retain patients and residents, maintain or increase rates of reimbursement or to expand our business. Some of our competitors have greater financial and other resources than we have, may have greater brand recognition and may be more established in their respective communities than we are. Competing companies may also offer newer or more recently renovated communities or different programs or services than we offer and may, therefore, attract individuals who are currently patients of our operations, potential residents of our senior living communities, or who are otherwise receiving our healthcare services. Other competitors may have lower expenses or other competitive advantages than us and, therefore, provide services at lower prices than we offer.</w:t>
      </w:r>
    </w:p>
    <w:p>
      <w:pPr>
        <w:spacing w:after="0" w:line="196"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There are few barriers to entry in the home health and hospice business in jurisdictions that do not require certificates of need or permits of approval. Our primary competition in these jurisdictions comes from local privately and publicly owned providers and hospital-owned healthcare providers. We compete based on the availability of personnel, the quality of services, expertise of visiting staff, and, in certain instances, on the price of our services. In addition, we compete with a number of non-profit organizations that finance acquisitions and capital expenditures on a tax-exempt basis and charity-funded programs that may have strong ties to their local medical communities and receive charitable contributions that are unavailable to us.</w:t>
      </w:r>
    </w:p>
    <w:p>
      <w:pPr>
        <w:spacing w:after="0" w:line="21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Our senior living services also compete with local, regional and national companies. The primary competitive factors in these businesses include reputation, cost of services, quality of clinical services, responsiveness to patient/resident needs, location and the ability to provide support in other areas such as third-party reimbursement, information management and patient recordkeeping. The market for acquiring and/or operating senior living communities is highly competitive, and some of our present and potential senior living competitors have, or may obtain, greater financial resources than us and may have a lower cost of capital.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that we are well positioned to benefit from the ongoing regulatory, reimbursement and demographic changes within the home health, hospice and senior living industries. We believe that we will achieve clinical, financial and cultural success as a direct result of the following key competitive strengths:</w:t>
      </w:r>
    </w:p>
    <w:p>
      <w:pPr>
        <w:spacing w:after="0" w:line="171"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Innovative Operating Model. </w:t>
      </w:r>
      <w:r>
        <w:rPr>
          <w:rFonts w:ascii="Times New Roman" w:cs="Times New Roman" w:eastAsia="Times New Roman" w:hAnsi="Times New Roman"/>
          <w:sz w:val="17"/>
          <w:szCs w:val="17"/>
          <w:color w:val="auto"/>
        </w:rPr>
        <w:t>We believe healthcare should be operated primarily as a local business. Our innovative operating model, described in Part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1, Item 1 - </w:t>
      </w:r>
      <w:r>
        <w:rPr>
          <w:rFonts w:ascii="Times New Roman" w:cs="Times New Roman" w:eastAsia="Times New Roman" w:hAnsi="Times New Roman"/>
          <w:sz w:val="17"/>
          <w:szCs w:val="17"/>
          <w:i w:val="1"/>
          <w:iCs w:val="1"/>
          <w:color w:val="auto"/>
        </w:rPr>
        <w:t>“Our Innovative Operating Model”</w:t>
      </w:r>
      <w:r>
        <w:rPr>
          <w:rFonts w:ascii="Times New Roman" w:cs="Times New Roman" w:eastAsia="Times New Roman" w:hAnsi="Times New Roman"/>
          <w:sz w:val="17"/>
          <w:szCs w:val="17"/>
          <w:color w:val="auto"/>
        </w:rPr>
        <w:t>, is one of our key competitive strengths.</w:t>
      </w:r>
    </w:p>
    <w:p>
      <w:pPr>
        <w:spacing w:after="0" w:line="166"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Proven Track Record of Successful Acquisitions. </w:t>
      </w:r>
      <w:r>
        <w:rPr>
          <w:rFonts w:ascii="Times New Roman" w:cs="Times New Roman" w:eastAsia="Times New Roman" w:hAnsi="Times New Roman"/>
          <w:sz w:val="17"/>
          <w:szCs w:val="17"/>
          <w:color w:val="auto"/>
        </w:rPr>
        <w:t>We adhere to a disciplined acquisition strategy focused on sourcing and selectively acquiring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within our target markets. Local leaders are heavily involved in the acquisition process and are recognized and rewarded as these acquired operations become the provider of choice in the communities they serve. Through our innovative operating model and disciplined approach to strategic growth, we have completed and successfully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transitioned dozens of value-add operations. Our expertise in acquiring and transforming strategic and underperforming operations allows us to consider a broad range of potential acquisition targets and will be a key element of our future success.</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Superior Clinical Outcomes and Quality Care. </w:t>
      </w:r>
      <w:r>
        <w:rPr>
          <w:rFonts w:ascii="Times New Roman" w:cs="Times New Roman" w:eastAsia="Times New Roman" w:hAnsi="Times New Roman"/>
          <w:sz w:val="17"/>
          <w:szCs w:val="17"/>
          <w:color w:val="auto"/>
        </w:rPr>
        <w:t>We will continue to succeed by delivering high quality home health, hospice and senior living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Using the CMS five-star quality rating criteria, our home health agencies achieved an average of 4.1 out of 5 stars across all agencies for the for the year ended December 31, 2023, compared to the industry average of 3.0 stars (see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xml:space="preserve"> below for further discussion on the five-star quality rating system). Our locally driven, patient-centered approach to clinical care allows us to meet the unique needs of our patients, resulting in improved clinical outcomes, including reduced hospital readmission rates. These improved outcomes are driven by both our talented local clinicians and our data-driven analytical approach to patient care and risk stratification. We believe that our achievement of high-quality clinical outcomes positions us as a solution for patients, residents and referral sources, leading to census growth and improved profitability.</w:t>
      </w:r>
    </w:p>
    <w:p>
      <w:pPr>
        <w:spacing w:after="0" w:line="1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Diversified Portfolio by Payor and Services. </w:t>
      </w:r>
      <w:r>
        <w:rPr>
          <w:rFonts w:ascii="Times New Roman" w:cs="Times New Roman" w:eastAsia="Times New Roman" w:hAnsi="Times New Roman"/>
          <w:sz w:val="17"/>
          <w:szCs w:val="17"/>
          <w:color w:val="auto"/>
        </w:rPr>
        <w:t>As of December 31, 2023, we operated 111 home health and hospice agencies and 51 senior living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communities across 13 states. Because of this diversified portfolio, our blended payor mix was 48.4% Medicare, 14.2% Medicaid, 13.5% managed care and 23.9% private pay for the year ended December 31, 2023. Our balanced payor mix can provide greater business stability through economic cycles and mitigates volatility arising from government-driven reimbursement changes. For the year ended December 31, 2023, we generated 72.4% of our revenue from home health and hospice services and 27.6% of our revenue from senior living services. Our diversified service portfolio allows us to opportunistically execute on our acquisition strategy as valuations fluctuate over industry cycles.</w:t>
      </w:r>
    </w:p>
    <w:p>
      <w:pPr>
        <w:spacing w:after="0" w:line="194"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Effective Talent Recruitment, Development and Retention. </w:t>
      </w:r>
      <w:r>
        <w:rPr>
          <w:rFonts w:ascii="Times New Roman" w:cs="Times New Roman" w:eastAsia="Times New Roman" w:hAnsi="Times New Roman"/>
          <w:sz w:val="17"/>
          <w:szCs w:val="17"/>
          <w:color w:val="auto"/>
        </w:rPr>
        <w:t>We believe we have been successful in attracting, developing and retaining outstanding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and clinical leaders to lead our independent operating subsidiaries. Our unique operating model, which emphasizes local decision making and team building, supported by our platform of expert resources and best-in-class systems, attracts a highly talented and entrepreneurial group of leaders. Our operational leaders are committed to ongoing training and participate in regular leadership development and educational programs. We believe that our commitment to professional development strengthens the quality of our operational leaders and staff and will continue to differentiate us from our competitors.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operation of our home health and hospice operations and senior living communities requires a large number of highly skilled healthcare professionals and support staff. As of December 31, 2023, we had 5,791 employees who were employed by our independent operating subsidiaries or our Service Center.</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Our ability to attract and retain future leaders is critical to our ongoing success. Therefore, we are dedicated to continuously recruiting and developing a diverse group of capable leaders. As described in Part 1, Item 1., </w:t>
      </w:r>
      <w:r>
        <w:rPr>
          <w:rFonts w:ascii="Times New Roman" w:cs="Times New Roman" w:eastAsia="Times New Roman" w:hAnsi="Times New Roman"/>
          <w:sz w:val="17"/>
          <w:szCs w:val="17"/>
          <w:i w:val="1"/>
          <w:iCs w:val="1"/>
          <w:color w:val="auto"/>
        </w:rPr>
        <w:t>Grow Talent Base and Develop Future Leaders,</w:t>
      </w:r>
      <w:r>
        <w:rPr>
          <w:rFonts w:ascii="Times New Roman" w:cs="Times New Roman" w:eastAsia="Times New Roman" w:hAnsi="Times New Roman"/>
          <w:sz w:val="17"/>
          <w:szCs w:val="17"/>
          <w:color w:val="auto"/>
        </w:rPr>
        <w:t xml:space="preserve"> our CEO-in-Training program provides significant in-person instruction and extensive training with key leaders from across the organization to empower local leaders.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the year ended December 31, 2023, 58.3% of our total expenses were payroll related. Periodically, market forces, which vary by region, require that we increase wages in excess of general inflation or in excess of increases in reimbursement rates we receive. We believe that we staff appropriately, focusing primarily on the acuity level and day-to-day needs of our patients and residents. We seek to manage our labor costs by improving staff retention, improving operating efficiencies, maintaining competitive wage rates and benefits and reducing reliance on overtime compensation and temporary nursing agency services.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healthcare industry as a whole has been experiencing shortages of qualified professional clinical staff. We believe that our ability to attract and retain qualified professional clinical staff stems from our ability to offer attractive wage and benefits packages, a high level of employee training, a culture that provides incentives for individual efforts and a quality work environment.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Updates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have disclosed under the heading “Government Regulation” in the 2022 Annual Report a summary of regulations that we believe materially affect our business, financial condition or results of operations. Since the time of the filing of the 2022 Annual Report, the following regulations have been updated.</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July 28, 2023, CMS issued the Hospice Payment Rate Update final rule (the “Hospice Payment Final Rule”) for fiscal year 2024. The Hospice Payment Final Rule’s hospice payment update percentage is 3.1%, which is an estimated increase of $780 million in payments from fiscal year 2023. The payment update percentage of 3.1% is based on a 3.3% market basket percentage increase, which is reduced by a 0.2% productivity adjustment. The Hospice Payment Final Rule makes permanent the Hospice Quality Reporting Program (“HQRP”) data submission threshold policy adopted in the 2016 Hospice Payment Rule Update final rule, which is that hospices must submit at least 90 percent of required data within 30 days of the relevant reporting event. Hospices that fail to meet quality reporting requirements will receive a 4% reduction to the annual hospice payment update percentage increase for that year, which would more than negate the payment update percentage for fiscal year 2024 contained in the Hospice Payment Final Rule for hospices that fail to submit required quality reporting data to CMS.</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October 7, 2023, California enacted SB 253 and SB 261, which require new climate disclosures from companies doing business in California. SB 253 requires companies with annual revenues of $1 billion or more to disclose their greenhouse gas emissions. SB 261 requires companies with annual revenues of $500 million or more to disclose their climate-related risks and the measures they use to reduce and adapt to those risks. These reports are first due from companies in 2026. Additional details regarding the application and requirements of these laws will be included in future regulations.</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November 1, 2023, CMS finalized rules regarding the administration of a Hospice Special Focus Program (“HSFP”) beginning in CY 2024. Under this final rule, CMS established the data sources for identifying hospices for inclusion in the HSFP, defined the scoring system, and set the criteria for selection into the HSFP. Based on public comments, CMS is finalizing the HSFP without any modifications of the proposed rule with respect to the hospice care index (“HCI”) score, standardization of HCI scores, and addressing how missing scores will be handled in the HSFP algorithm. Specifically, for missing scores, CMS will replace a hospice’s missing score with a zero after standardization, which is equivalent to replacing a non-reporting hospice’s missing data with the average value for that score or measure. This final rule mandates hospices in the HSFP to be surveyed at least semiannually over 18 months. This final rule also outlines conditions for successful completion and exit from the HSFP, as well as termination from the Medicaid program for those hospices that cannot meet substantial compliance for surveys conducted during the HSFP. Additionally, the final rule implements an informal resolution process for disputes between CMS and hospices related to condition-level deficiencies, similar to the process for home health agencies.</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November 1, 2023, CMS issued the CY 2024 Home Health Prospective Payment System Final Rule (“Home Health Payment Final Rule”). The Home Health Payment Final Rule finalizes an estimated 0.8% aggregate increase to all home health agencies in CY 2024. This increase reflects the effects of the 3.0% home health payment update percentage ($525 million increase), an estimated 2.6% decrease that reflects the net effects of CMS’s finalized prospective permanent behavior assumption adjustment across all payments (half of the full proposed adjustment), ($455 million decrease), and an estimated 0.4% increase that reflects the effects of an update to the fixed-dollar loss ratio used in determining outlier payments ($70 million increase). CMS also finalized recalibrated case-mix weights and low utilization payment adjustment thresholds using 2022 data. Overall, the Home Health Payment Final Rule estimates that Medicare payments to all home health agencies will increase in the aggregate by $140 million based on its contents.</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w:t>
      </w:r>
      <w:r>
        <w:rPr>
          <w:rFonts w:ascii="Times New Roman" w:cs="Times New Roman" w:eastAsia="Times New Roman" w:hAnsi="Times New Roman"/>
          <w:sz w:val="17"/>
          <w:szCs w:val="17"/>
          <w:color w:val="auto"/>
        </w:rPr>
        <w:t>The laws and statutes affecting the regulatory landscape of the home health, hospice and senior living industries continue to expand. We expect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these changes will continue. In addition to this changing regulatory environment, federal, state and local officials are increasingly focusing their efforts on the enforcement of these laws. In order to operate our businesses, we must comply with federal, state and local laws relating to, among other things, licensure, delivery and adequacy of medical care, distribution of pharmaceuticals, equipment, personnel, operating policies, fire prevention, immigration, employment, rate-setting, billing and reimbursement, building codes and environmental protection. Additionally, we must also adhere to federal and state anti-fraud and abuse laws, such as anti-kickback statutes and, physician referral laws, as well as safety and health standards set by the Occupational Safety and Health Administration (“OSHA”). Changes in laws or regulations, or new interpretations of existing laws may have an adverse impact on our methods and costs of doing business.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independent operating subsidiaries are also subject to various regulations and licensing requirements promulgated by state and local health and social service agencies and other regulatory authorities. Requirements vary from state to state and these requirements can affect, among other things, personnel education and training, patient and personnel records, services,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staffing levels, monitoring of patient wellness, patient furnishings, housekeeping services, dietary requirements, emergency plans and procedures, certification and licensing of staff prior to beginning employment, and patient rights. These laws and regulations could limit our ability to expand into new markets and to expand our services and facilities in existing markets.</w:t>
      </w:r>
    </w:p>
    <w:p>
      <w:pPr>
        <w:spacing w:after="0" w:line="185"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Medicare. </w:t>
      </w:r>
      <w:r>
        <w:rPr>
          <w:rFonts w:ascii="Times New Roman" w:cs="Times New Roman" w:eastAsia="Times New Roman" w:hAnsi="Times New Roman"/>
          <w:sz w:val="17"/>
          <w:szCs w:val="17"/>
          <w:color w:val="auto"/>
        </w:rPr>
        <w:t>All providers are subject to compliance with various federal, state and local statues and regulations in the U.S. and receive periodic inspection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state licensing agencies to review standards of medical care, equipment and safety.</w:t>
      </w:r>
    </w:p>
    <w:p>
      <w:pPr>
        <w:spacing w:after="0" w:line="166" w:lineRule="exact"/>
        <w:rPr>
          <w:sz w:val="20"/>
          <w:szCs w:val="20"/>
          <w:color w:val="auto"/>
        </w:rPr>
      </w:pPr>
    </w:p>
    <w:p>
      <w:pPr>
        <w:jc w:val="both"/>
        <w:ind w:left="62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Conditions of Participation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home health and hospice operations must comply with regulations promulgated by the United States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Department of Health and Human Services (“HHS”) and CMS in order to participate in the Medicare program and receive Medicare payments. Among other things, these conditions of participation (the “CoPs”), relate to the type of operation, its personnel and its standards of medical care, as well as its compliance with state and local laws and regulations.</w:t>
      </w:r>
    </w:p>
    <w:p>
      <w:pPr>
        <w:spacing w:after="0" w:line="187" w:lineRule="exact"/>
        <w:rPr>
          <w:sz w:val="20"/>
          <w:szCs w:val="20"/>
          <w:color w:val="auto"/>
        </w:rPr>
      </w:pPr>
    </w:p>
    <w:p>
      <w:pPr>
        <w:jc w:val="both"/>
        <w:ind w:left="620"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Home Health Quality Reporting Requirements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CoPs require home health agencies to submit quality reporting data through Outcome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Assessment Information Set (“OASIS”) assessments within 30 days of completing the assessment of the Medicare and Medicaid beneficiary as a condition of payment and for quality measurement purposes. If the OASIS assessment is not found in CMS's quality system upon receipt of a final claim for a home health episode and the receipt date of the claim is more than 30 days after the assessment completion date, CMS will deny the claim. Home health agencies that do not submit quality measure data to CMS incur a 2% reduction in their annual home health payment update. Under this CoP, all home health agencies are required to timely submit both a Start of Care or Resumption of Care OASIS assessment and a Transfer or Discharge OASIS assessment for a minimum of 90% of all episodes.</w:t>
      </w:r>
    </w:p>
    <w:p>
      <w:pPr>
        <w:spacing w:after="0" w:line="200" w:lineRule="exact"/>
        <w:rPr>
          <w:sz w:val="20"/>
          <w:szCs w:val="20"/>
          <w:color w:val="auto"/>
        </w:rPr>
      </w:pPr>
    </w:p>
    <w:p>
      <w:pPr>
        <w:jc w:val="both"/>
        <w:ind w:left="620" w:firstLine="619"/>
        <w:spacing w:after="0" w:line="264" w:lineRule="auto"/>
        <w:rPr>
          <w:sz w:val="20"/>
          <w:szCs w:val="20"/>
          <w:color w:val="auto"/>
        </w:rPr>
      </w:pPr>
      <w:r>
        <w:rPr>
          <w:rFonts w:ascii="Times New Roman" w:cs="Times New Roman" w:eastAsia="Times New Roman" w:hAnsi="Times New Roman"/>
          <w:sz w:val="17"/>
          <w:szCs w:val="17"/>
          <w:color w:val="auto"/>
        </w:rPr>
        <w:t>In addition, CMS requires that all Medicare certified home health and hospice agencies participate in the Consumer Assessment of Healthcare Providers and Systems (“CAHPS”). CAHPS surveys are designed to produce comparable data on the perspective of patients and their caregivers that allows meaningful and objective comparisons between agencies. Home health and hospice agencies that do not submit the required data incur a 2% reduction in their annual base rate payment update.</w:t>
      </w:r>
    </w:p>
    <w:p>
      <w:pPr>
        <w:spacing w:after="0" w:line="191" w:lineRule="exact"/>
        <w:rPr>
          <w:sz w:val="20"/>
          <w:szCs w:val="20"/>
          <w:color w:val="auto"/>
        </w:rPr>
      </w:pPr>
    </w:p>
    <w:p>
      <w:pPr>
        <w:jc w:val="both"/>
        <w:ind w:left="620"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Home Health Star Rating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a consumer tool for selecting a home health provider, CMS has used a five-star rating model to rate home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agencies since 2015. This Quality of Patient Care Star Rating is a summary measure of a home health agency’s performance based upon how well it provides patient care. CMS uses seven measurements indicating quality to determine its quality of patient care rating, including how often the agency initiated care in a timely manner, how often patients demonstrated improvements in ambulation, bed transferring, bathing, oral medication administration, less shortness of breath, and decreased need for acute care hospitalization. According to CMS, a 3-star rating means the agency provides good quality of care, as a 3-star rating applies to most home health agencies. According to the November 2023 quarterly refresh of CMS Home Health Compare star rating criteria, our home health agencies have achieved an average of 4.1 out of 5 stars across all agencies compared to the industry average of 3.0 stars.</w:t>
      </w:r>
    </w:p>
    <w:p>
      <w:pPr>
        <w:spacing w:after="0" w:line="194" w:lineRule="exact"/>
        <w:rPr>
          <w:sz w:val="20"/>
          <w:szCs w:val="20"/>
          <w:color w:val="auto"/>
        </w:rPr>
      </w:pPr>
    </w:p>
    <w:p>
      <w:pPr>
        <w:jc w:val="both"/>
        <w:ind w:left="620" w:firstLine="696"/>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Home Health Reimbursement Under PDGM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qualify for home health services, Medicare CoPs require that beneficiaries (1) be homebound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(meaning that the beneficiary is unable to leave his/her home without a considerable and taxing effort); (2) require intermittent skilled nursing, physical therapy, or speech therapy services; (3) have a face to face encounter that (a) has occurred no more than 90 days prior to the start of care or within 30 days after the start of care, (b) was related to the primary reason the patient requires home health services, and (c) was performed by a physician or allowed non-physician provider; and (4) receive treatment under a plan of care established and periodically reviewed by a physician.</w:t>
      </w:r>
    </w:p>
    <w:p>
      <w:pPr>
        <w:spacing w:after="0" w:line="198" w:lineRule="exact"/>
        <w:rPr>
          <w:sz w:val="20"/>
          <w:szCs w:val="20"/>
          <w:color w:val="auto"/>
        </w:rPr>
      </w:pPr>
    </w:p>
    <w:p>
      <w:pPr>
        <w:jc w:val="both"/>
        <w:ind w:left="620" w:firstLine="619"/>
        <w:spacing w:after="0" w:line="264" w:lineRule="auto"/>
        <w:rPr>
          <w:sz w:val="20"/>
          <w:szCs w:val="20"/>
          <w:color w:val="auto"/>
        </w:rPr>
      </w:pPr>
      <w:r>
        <w:rPr>
          <w:rFonts w:ascii="Times New Roman" w:cs="Times New Roman" w:eastAsia="Times New Roman" w:hAnsi="Times New Roman"/>
          <w:sz w:val="17"/>
          <w:szCs w:val="17"/>
          <w:color w:val="auto"/>
        </w:rPr>
        <w:t>Under PDGM, Medicare provides agencies with payments for each 30-day payment period provided to beneficiaries. There is no limit to the number of periods of care a beneficiary who remains eligible for the home health benefit can receive. The reimbursement rate is determined by a set of factors intended to account for the cost of providing care to each patient. Payments may be adjusted for certain variables including, but not limited to the number of visits provided, patient transfers, and other factors.</w:t>
      </w:r>
    </w:p>
    <w:p>
      <w:pPr>
        <w:spacing w:after="0" w:line="191" w:lineRule="exact"/>
        <w:rPr>
          <w:sz w:val="20"/>
          <w:szCs w:val="20"/>
          <w:color w:val="auto"/>
        </w:rPr>
      </w:pPr>
    </w:p>
    <w:p>
      <w:pPr>
        <w:jc w:val="both"/>
        <w:ind w:left="62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Home Health Value Based Purchasing (“HHVBP”)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Center for Medicare and Medicaid Innovation (“Innovation Center”) implemented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original HHVBP Model from January 1, 2016 through December 31, 2021. The model was designed to support greater quality and efficiency of care among Medicare-certified Home Health Agencies (“HHA”) across the nation. The HHVBP Model supported efforts to build a health care system that delivers better care, spends health care dollars more wisely, and results in healthier people and communities. All Medicare-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left="620"/>
        <w:spacing w:after="0" w:line="258" w:lineRule="auto"/>
        <w:rPr>
          <w:sz w:val="20"/>
          <w:szCs w:val="20"/>
          <w:color w:val="auto"/>
        </w:rPr>
      </w:pPr>
      <w:r>
        <w:rPr>
          <w:rFonts w:ascii="Times New Roman" w:cs="Times New Roman" w:eastAsia="Times New Roman" w:hAnsi="Times New Roman"/>
          <w:sz w:val="17"/>
          <w:szCs w:val="17"/>
          <w:color w:val="auto"/>
        </w:rPr>
        <w:t>certified HHAs that provided services in Massachusetts, Maryland, North Carolina, Florida, Washington, Arizona, Iowa, Nebraska, and Tennessee competed on value, where payment was tied to quality performance. The overall purpose of the HHVBP Model was to improve the quality and delivery of home health care services to Medicare beneficiaries with specific goals to; provide incentives for better quality care with greater efficiency, study new potential quality and efficiency measures for appropriateness in the home health setting, and, enhance the public reporting process. The HHVBP Model was expanded nationwide in the Calendar Year (“CY”) 2022 HH PPS rule. In addition, the rule finalized the end of the HHVBP Model one year early for the HHAs in the nine original Model states, such that CY 2020 performance data will not be used to calculate a payment adjustment for HHAs in the nine states and did not have their payments impacted in CY 2022.</w:t>
      </w:r>
    </w:p>
    <w:p>
      <w:pPr>
        <w:spacing w:after="0" w:line="205" w:lineRule="exact"/>
        <w:rPr>
          <w:sz w:val="20"/>
          <w:szCs w:val="20"/>
          <w:color w:val="auto"/>
        </w:rPr>
      </w:pPr>
    </w:p>
    <w:p>
      <w:pPr>
        <w:jc w:val="both"/>
        <w:ind w:left="620" w:firstLine="619"/>
        <w:spacing w:after="0" w:line="260" w:lineRule="auto"/>
        <w:rPr>
          <w:sz w:val="20"/>
          <w:szCs w:val="20"/>
          <w:color w:val="auto"/>
        </w:rPr>
      </w:pPr>
      <w:r>
        <w:rPr>
          <w:rFonts w:ascii="Times New Roman" w:cs="Times New Roman" w:eastAsia="Times New Roman" w:hAnsi="Times New Roman"/>
          <w:sz w:val="17"/>
          <w:szCs w:val="17"/>
          <w:color w:val="auto"/>
        </w:rPr>
        <w:t>The expanded HHVBP Model began on January 1, 2022 and includes Medicare-certified HHAs in all fifty states. Calendar Year 2022 was the pre-implementation year wherein CMS provided HHAs with resources and training, which allowed HHAs time to prepare and learn about the expectations and requirements of the expanded HHVBP Model without risk to payments. CY 2023 (beginning on January 1, 2023) was the first full performance year for the expanded HHVBP Model. Calendar Year 2025 will be the first year when payment will be adjusted determined on CY 2023 performance. Payment adjustments could be as high as 5 percent in 2025 based on data obtained in CY 2023 and CMS could increase the payment adjustment percentage in future years.</w:t>
      </w:r>
    </w:p>
    <w:p>
      <w:pPr>
        <w:spacing w:after="0" w:line="193" w:lineRule="exact"/>
        <w:rPr>
          <w:sz w:val="20"/>
          <w:szCs w:val="20"/>
          <w:color w:val="auto"/>
        </w:rPr>
      </w:pPr>
    </w:p>
    <w:p>
      <w:pPr>
        <w:jc w:val="both"/>
        <w:ind w:left="620"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Review Choice Demonstration for Home Health Services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Review Choice Demonstration for Home Health Services (RCD) is mandatory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our HHAs in Texas and allows them to select from three initial options for payment review:</w:t>
      </w:r>
    </w:p>
    <w:p>
      <w:pPr>
        <w:spacing w:after="0" w:line="172" w:lineRule="exact"/>
        <w:rPr>
          <w:sz w:val="20"/>
          <w:szCs w:val="20"/>
          <w:color w:val="auto"/>
        </w:rPr>
      </w:pPr>
    </w:p>
    <w:p>
      <w:pPr>
        <w:ind w:left="1240" w:hanging="309"/>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Pre-claim review</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Post-payment review</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Minimal post-payment review with a 25% payment reduction</w:t>
      </w:r>
    </w:p>
    <w:p>
      <w:pPr>
        <w:spacing w:after="0" w:line="226" w:lineRule="exact"/>
        <w:rPr>
          <w:sz w:val="20"/>
          <w:szCs w:val="20"/>
          <w:color w:val="auto"/>
        </w:rPr>
      </w:pPr>
    </w:p>
    <w:p>
      <w:pPr>
        <w:jc w:val="both"/>
        <w:ind w:left="620" w:firstLine="619"/>
        <w:spacing w:after="0" w:line="261" w:lineRule="auto"/>
        <w:rPr>
          <w:sz w:val="20"/>
          <w:szCs w:val="20"/>
          <w:color w:val="auto"/>
        </w:rPr>
      </w:pPr>
      <w:r>
        <w:rPr>
          <w:rFonts w:ascii="Times New Roman" w:cs="Times New Roman" w:eastAsia="Times New Roman" w:hAnsi="Times New Roman"/>
          <w:sz w:val="17"/>
          <w:szCs w:val="17"/>
          <w:color w:val="auto"/>
        </w:rPr>
        <w:t>After a 6-month period, HHAs demonstrating compliance with Medicare rules through pre-claim review or post-payment review will have additional choices, including relief from most reviews except for a review of a small sample of claims. (To be eligible, HHAs must meet a 90% target full provisional affirmation rate based on a minimum 10 requests/claims submitted.) This program is designed to reduce the number of Medicare appeals, improve provider compliance with Medicare program requirements, should not delay care to Medicare beneficiaries, and does not alter or reduce the Medicare home health benefit.</w:t>
      </w:r>
    </w:p>
    <w:p>
      <w:pPr>
        <w:spacing w:after="0" w:line="19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Hospice Reimbursement and Cap Amounts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Payments are based on daily rates for each day a beneficiary is enrolled in the hospice benefit and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two annual caps.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184" w:lineRule="exact"/>
        <w:rPr>
          <w:sz w:val="20"/>
          <w:szCs w:val="20"/>
          <w:color w:val="auto"/>
        </w:rPr>
      </w:pPr>
    </w:p>
    <w:p>
      <w:pPr>
        <w:ind w:left="620" w:hanging="307"/>
        <w:spacing w:after="0" w:line="29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Routine Home Care (“RHC”)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Care that is not classified under any of the other levels of care, such as the work of nurses, social workers or home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aides.</w:t>
      </w:r>
    </w:p>
    <w:p>
      <w:pPr>
        <w:spacing w:after="0" w:line="36"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General Inpatient Care. </w:t>
      </w:r>
      <w:r>
        <w:rPr>
          <w:rFonts w:ascii="Times New Roman" w:cs="Times New Roman" w:eastAsia="Times New Roman" w:hAnsi="Times New Roman"/>
          <w:sz w:val="17"/>
          <w:szCs w:val="17"/>
          <w:color w:val="auto"/>
        </w:rPr>
        <w:t>Pain control or acute or chronic symptom management that cannot be managed in a setting other than an inpatient Medicare-certified facility, such as a hospital, skilled nursing facility or hospice inpatient facility.</w:t>
      </w:r>
    </w:p>
    <w:p>
      <w:pPr>
        <w:spacing w:after="0" w:line="36"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Continuous Home Care. </w:t>
      </w:r>
      <w:r>
        <w:rPr>
          <w:rFonts w:ascii="Times New Roman" w:cs="Times New Roman" w:eastAsia="Times New Roman" w:hAnsi="Times New Roman"/>
          <w:sz w:val="17"/>
          <w:szCs w:val="17"/>
          <w:color w:val="auto"/>
        </w:rPr>
        <w:t>Care for patients experiencing a medical crisis that requires nursing services to achieve palliation and symptom control, if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agency provides a minimum of eight hours of care within a 24-hour period.</w:t>
      </w:r>
    </w:p>
    <w:p>
      <w:pPr>
        <w:spacing w:after="0" w:line="3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Inpatient Respite Care. </w:t>
      </w:r>
      <w:r>
        <w:rPr>
          <w:rFonts w:ascii="Times New Roman" w:cs="Times New Roman" w:eastAsia="Times New Roman" w:hAnsi="Times New Roman"/>
          <w:sz w:val="17"/>
          <w:szCs w:val="17"/>
          <w:color w:val="auto"/>
        </w:rPr>
        <w:t>Short-term, inpatient care to give temporary relief to the caregiver who regularly provides care to the patient.</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CMS has established a two-tiered payment system for RHC. Hospices are reimbursed at a higher rate for RHC services provided from days of service one through 60 and then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19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Medicare payments are subject to two fixed annual caps, which are assessed on a provider number basis, and are broken into an inpatient cap amount and an overall payment cap. These cap amounts are calculated and published by the Medicare fiscal intermediary on an annual basis covering the fiscal year, measured as the period from October 1 through September 30. The inpatient cap limits hospice care provided on an inpatient basis. This cap limits the number of days that are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paid at the higher inpatient care rate to 20.0% of the total number of days of hospice care that are provided to all Medicare beneficiaries served by a provider. The daily rate for all days exceeding the cap is the standard RHC daily rate, and the provider must reimburse Medicare for any payments received in excess of that amount. The overall payment cap is calculated by the Medicare fiscal intermediary at the end of each hospice cap period to determine the maximum allowable payments to a hospice provider during the period. We estimate our potential cap exposure by using available information to compare our actual reimbursement for all hospice services provided during the period to the number of beneficiaries we served multiplied by the statutory per beneficiary cap amount. If payments received by any one of our hospice provider numbers exceeds either of these caps, we are required to reimburse Medicare for payments received in excess of the cap amounts. The hospice cap amount for the 2023 fiscal year was $32,486.92. The hospice cap amount for the 2024 fiscal year is $33,494.01, which is a 3.1% increase over the fiscal year 2023 hospice cap.</w:t>
      </w:r>
    </w:p>
    <w:p>
      <w:pPr>
        <w:spacing w:after="0" w:line="195"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Improving Medicare Post-Acute Care Transformation Act of 2014 (“IMPACT Act”)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IMPACT Act requires the submission of standardized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assessment data for quality improvement, payment and discharge planning purposes across the spectrum of post-acute care providers (“PACs”), including home health agencies. Failure to report such data when required subjects a PAC to a 2% reduction in market basket prices then in effect.</w:t>
      </w:r>
    </w:p>
    <w:p>
      <w:pPr>
        <w:spacing w:after="0" w:line="184"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Hospice Quality Reporting Requirements (“HQRP”)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HQRP, mandated by the Patient Protection and Affordable Care Act, requires hospice agencies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submit required quality data for inclusion on the public facing Hospice Compare website hosted by CMS. Hospices that fail to meet quality reporting requirements receive a 2.0% reduction to the annual market basket update for the fiscal years 2022 and 2023. This reduction penalty increases to 4.0% beginning in fiscal year 2024.</w:t>
      </w:r>
    </w:p>
    <w:p>
      <w:pPr>
        <w:spacing w:after="0" w:line="18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Licensure and Certificates of Need (“CON”). </w:t>
      </w:r>
      <w:r>
        <w:rPr>
          <w:rFonts w:ascii="Times New Roman" w:cs="Times New Roman" w:eastAsia="Times New Roman" w:hAnsi="Times New Roman"/>
          <w:sz w:val="17"/>
          <w:szCs w:val="17"/>
          <w:color w:val="auto"/>
        </w:rPr>
        <w:t>Home health, hospice and most senior living communities operate under licenses granted by the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authorities of their respective states. Some states require healthcare providers (including home health, hospice and most senior living providers) to obtain prior state approval for the purchase, construction or expansion of healthcare operations, or changes in services. Certain states, including a number in which we operate, carefully restrict new entrants into the market based on demographic and/or demonstrative usage of additional providers. These states limit the entry of new providers or services and the expansion of existing providers or services in their markets through a CON process, which is periodically evaluated and updated as required by applicable state law. For those states that require a CON, we must also complete a separate application process establishing a location and must receive required approvals. Washington and Montana are the only CON state in which we operate home health or hospice agencies.</w:t>
      </w:r>
    </w:p>
    <w:p>
      <w:pPr>
        <w:spacing w:after="0" w:line="19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Patient Protection and Affordable Care Act (“ACA”). </w:t>
      </w:r>
      <w:r>
        <w:rPr>
          <w:rFonts w:ascii="Times New Roman" w:cs="Times New Roman" w:eastAsia="Times New Roman" w:hAnsi="Times New Roman"/>
          <w:sz w:val="17"/>
          <w:szCs w:val="17"/>
          <w:color w:val="auto"/>
        </w:rPr>
        <w:t>Various healthcare reform provisions became law upon enactment of the ACA in 2010.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reforms contained in the ACA have affected our independent operating subsidiaries in some manner and are directed in large part at increased quality and cost reductions. These reforms include modifications to the conditions of qualification for payment, bundling of payments to cover both acute and post-acute care and the imposition of enrollment limitations on new providers. In 2022 and 2023, HHS engaged in rulemaking under Section 1557 of the ACA that would expand the influence and authority of existing civil rights laws, and prohibitions against discrimination on the bases of race, national origin, sex (or sex stereotype), gender identity or expression, disability, or age, within the healthcare context. Presidential and congressional elections may result in significant changes in legislation, regulation, and implementation of Medicare, Medicaid, and government policy, along with potential changes to tax rates and other tax treatment of our operations. We continually monitor these developments so we can respond to the changing regulatory environment impacting our business.</w:t>
      </w:r>
    </w:p>
    <w:p>
      <w:pPr>
        <w:spacing w:after="0" w:line="195"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Civil Rights. </w:t>
      </w:r>
      <w:r>
        <w:rPr>
          <w:rFonts w:ascii="Times New Roman" w:cs="Times New Roman" w:eastAsia="Times New Roman" w:hAnsi="Times New Roman"/>
          <w:sz w:val="17"/>
          <w:szCs w:val="17"/>
          <w:color w:val="auto"/>
        </w:rPr>
        <w:t>On January 25, 2024, the HHS Office for Civil Rights (“OCR”) issued guidance to healthcare providers, services, and facilities emphasizing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importance of non-discriminatory visitation policies consistent with CMS regulations and the U.S. National Strategy to Counter Antisemitism, highlighting the prohibition of discrimination based on religion or other protected characteristics during public health emergencies. This guidance also addresses instances of non-compliance, such as unequal treatment based on religious beliefs or dietary restrictions, and outlines the support OCR provides to ensure compliance, encouraging affected individuals to file complaints for potential enforcement actions.</w:t>
      </w:r>
    </w:p>
    <w:p>
      <w:pPr>
        <w:spacing w:after="0" w:line="19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Civil and Criminal Fraud and Abuse Laws and Enforcement</w:t>
      </w:r>
      <w:r>
        <w:rPr>
          <w:rFonts w:ascii="Times New Roman" w:cs="Times New Roman" w:eastAsia="Times New Roman" w:hAnsi="Times New Roman"/>
          <w:sz w:val="17"/>
          <w:szCs w:val="17"/>
          <w:color w:val="auto"/>
        </w:rPr>
        <w:t>. Various complex federal and state laws exist which govern a wide array of referrals,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relationships and arrangements, and prohibit fraud by healthcare providers. Governmental agencies are devoting increasing attention and resources to such anti-fraud efforts. In connection with our involvement with federal healthcare reimbursement programs, the government or those acting on its behalf may bring an action under the False Claims Act (“FCA”), alleging that a healthcare provider has defrauded the government by submitting a claim for items or services not rendered as claimed, which may include coding errors, billing for services not provided, and submitting false or erroneous cost reports. The FCA is a frequent topic of analysis for the United States Supreme Court. As a result, interpretations of the FCA’s meaning periodically change, and the FCA has been, and may be in the future, amended by Congress as a result of United States Supreme Court decisions. Civil monetary penalties (“CMPs”) under the FCA and other authorities, including the Civil Monetary Penalties Law, 42 U.S.C. § 1320a-7a, are substantial and are adjusted annually for inflation. Under the qui tam</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or “whistleblower” provisions of the FCA, a private individual with knowledge of fraud may bring a claim on behalf of the federal government and receive a percentage of the federal government’s recovery. Due to these whistleblower incentives, lawsuits have become more frequent. Many states also have a false claim prohibition that mirrors or tracks the federal FCA. Federal law also provides that the Office of the Inspector General for HHS (“OIG”) has the authority to exclude individuals and entities from federally funded health care programs on a number of grounds, including, but not limited to, certain types of criminal offenses, licensure revocations or suspensions, and exclusion from state or other federal healthcare programs. In addition, CMS can recover overpayments from health care providers up to five years following the year in which payment was made.</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may also face adverse consequences if we violate federal law related to certain Medicare physician referrals. Section 1877 of the Social Security Act, commonly known as the “Stark Law,” provides that a physician may not refer a Medicare or Medicaid patient for a “designated health service” to an entity with which the physician or an immediate family member has a financial relationship unless the financial arrangement meets an exception under the Stark Law or its regulations. Any funds collected for an item or service resulting from a referral that violates the Stark Law must be repaid to Medicare or Medicaid, any other third-party payor, and the patient. In addition, CMPs, which are adjusted for annual inflation, treble damages, and Medicare exclusion may be imposed for presenting or causing to be presented, a claim for a service rendered in violation of the Stark Law. Many states have enacted healthcare provider referral laws that go beyond physician self-referrals or apply to a greater range of services than just the designated health services under the Stark Law.</w:t>
      </w:r>
    </w:p>
    <w:p>
      <w:pPr>
        <w:spacing w:after="0" w:line="19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Monitoring Compliance in our Operations. </w:t>
      </w:r>
      <w:r>
        <w:rPr>
          <w:rFonts w:ascii="Times New Roman" w:cs="Times New Roman" w:eastAsia="Times New Roman" w:hAnsi="Times New Roman"/>
          <w:sz w:val="17"/>
          <w:szCs w:val="17"/>
          <w:color w:val="auto"/>
        </w:rPr>
        <w:t>As a healthcare provider, we have a compliance program to help us comply with various requirements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federal, state and private healthcare programs. Our compliance program includes, among other things, (1) policies and procedures modeled after applicable laws, regulations, government manuals and industry practices and customs that govern the clinical, reimbursement and operational aspects of our subsidiaries; (2) training about our compliance process for the employees of our independent operating subsidiaries, our directors and officers; (3) training about Medicare and Medicaid laws, fraud and abuse prevention, clinical standards and practices, and claim submission and reimbursement policies and procedures for appropriate employees; and (4) internal controls that monitor, for example, the accuracy of claims, reimbursement submissions, cost reports and source documents, provision of patient care, services, and supplies as required by applicable standards and laws, accuracy of clinical assessment and treatment documentation, and implementation of judicial and regulatory requirements (e.g., background checks, licensing and training).</w:t>
      </w:r>
    </w:p>
    <w:p>
      <w:pPr>
        <w:spacing w:after="0" w:line="20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Additionally, government agencies and other authorities periodically inspect our operations to assess our compliance with various standards, rules and regulations. The robust regulatory and enforcement environment continues to impact healthcare providers, especially in connection with responses to any alleged noncompliance identified in periodic surveys and other inspections by government authorities. Unannounced surveys or inspections generally occur at least annually at our independent operating subsidiaries and may also follow a government agency's receipt of a complaint about an operation. We are also subject to regulatory reviews relating to Medicare services, billings and potential overpayments resulting from the Recovery Audit Contractors, Zone Program Integrity Contractors, Program Safeguard Contractors, Unified Program Integrity Contractors, Supplemental Medical Review Contractors and Medicaid Integrity Contributors programs in which third party firms engaged by CMS conduct extensive reviews of claims data and medical and other records to identify potential improper payments under the Medicare programs. We must pass these inspections to maintain our licensure under state law, to obtain or maintain certification under the Medicare and Medicaid programs, to continue participation in the Veterans Administration (VA) program at some operations, and/or to comply with our provider contracts with managed care clients at many operations. From time to time, we, like others in the healthcare industry, may receive notices from federal and state regulatory agencies alleging that we failed to substantially comply with applicable standards, rules or regulations. These notices may require us to take corrective action, may impose CMPs for noncompliance, and may threaten or impose other sanctions and operating restrictions, up through and including the loss of licensure and termination of, or exclusion from, important payor relationships. If our operations fail to comply with these directives or otherwise fail to comply substantially with licensure and certification laws, rules and regulations, we could lose our certification as a Medicare or Medicaid provider, lose our state licenses to operate and be subject to fines and penalties.</w:t>
      </w:r>
    </w:p>
    <w:p>
      <w:pPr>
        <w:spacing w:after="0" w:line="21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Healthcare operations in our industries with otherwise acceptable regulatory histories are generally given an opportunity to correct deficiencies and continue their participation in the Medicare and Medicaid programs by a certain date, usually within nine months, although where denial of payment or similar remedies are asserted, such interim remedies go into effect much sooner. Operations with poor regulatory histories continue to be classified by CMS as poor performing operations notwithstanding any intervening change in ownership, unless the new owner obtains a new Medicare provider agreement instead of assuming the operation's existing agreement. However, new owners (including us, historically) nearly always assume the existing Medicare provider agreement due to the difficulty and time delays generally associated with obtaining new Medicare certifications, especially in previously certified locations with sub-par operating histories. Accordingly, operations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have poor regulatory histories before we acquire them may be more likely to have sanctions imposed upon them by CMS or state regulators.</w:t>
      </w:r>
    </w:p>
    <w:p>
      <w:pPr>
        <w:spacing w:after="0" w:line="23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Regulations Regarding Patient Record Confidentiality. </w:t>
      </w:r>
      <w:r>
        <w:rPr>
          <w:rFonts w:ascii="Times New Roman" w:cs="Times New Roman" w:eastAsia="Times New Roman" w:hAnsi="Times New Roman"/>
          <w:sz w:val="17"/>
          <w:szCs w:val="17"/>
          <w:color w:val="auto"/>
        </w:rPr>
        <w:t>We are also subject to laws and regulations enacted to protect the confidentiality of patient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information. For example, HHS has issued rules pursuant to Health Insurance Portability and Accountability Act of 1996 (“HIPAA”) as amended by the Health Information Technology for Economic and Clinical Health (“HITECH”) Act, which relate to the privacy of certain patient information and provide patients with the right of access to their health information. These rules govern our use and disclosure of protected health information. We have established policies and procedures to comply with HIPAA privacy, security and breach notification requirements at our facilities and operations subject to HIPAA. We maintain a company-wide HIPAA compliance plan, which we believe complies with the HIPAA regulations. The HIPAA regulations have and will continue to impose significant costs on our facilities in order to comply with these standards. Our operations are also subject to any federal or state privacy-related laws that are more restrictive than the privacy regulations issued under HIPAA. These laws vary and could impose additional penalties for privacy and security breaches. Based on a notice of proposed rulemaking HHS issued in January of 2021, which has yet been finalized, it is possible that HHS may issue new regulations regarding HIPAA and its privacy requirements in 2024.</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Antitrust Laws. </w:t>
      </w:r>
      <w:r>
        <w:rPr>
          <w:rFonts w:ascii="Times New Roman" w:cs="Times New Roman" w:eastAsia="Times New Roman" w:hAnsi="Times New Roman"/>
          <w:sz w:val="17"/>
          <w:szCs w:val="17"/>
          <w:color w:val="auto"/>
        </w:rPr>
        <w:t>We are also subject to federal and state antitrust laws. Enforcement of the antitrust laws against healthcare providers is common,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antitrust liability may arise in a wide variety of circumstances, including third party contracting, physician relations, joint venture, merger, affiliation and acquisition activities. In some respects, the application of federal and state antitrust laws to healthcare is still evolving, and enforcement activity by federal and state agencies appears to be increasing. At various times, healthcare providers and insurance and managed care organizations may be subject to an investigation by a governmental agency charged with the enforcement of antitrust laws or may be subject to administrative or judicial action by a federal or state agency or a private party. Violators of the antitrust laws could be subject to criminal and civil enforcement by federal and state agencies, as well as by private litigants.</w:t>
      </w:r>
    </w:p>
    <w:p>
      <w:pPr>
        <w:spacing w:after="0" w:line="19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Regulations Specific to Senior Living Communities. </w:t>
      </w:r>
      <w:r>
        <w:rPr>
          <w:rFonts w:ascii="Times New Roman" w:cs="Times New Roman" w:eastAsia="Times New Roman" w:hAnsi="Times New Roman"/>
          <w:sz w:val="17"/>
          <w:szCs w:val="17"/>
          <w:color w:val="auto"/>
        </w:rPr>
        <w:t>Senior living services revenue is primarily derived from private pay residents at rates we establish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based upon the needs of the resident, the amount of services we provide the resident, and market rate environment in the area of operation. In addition, Medicaid or other state-specific programs may supplement payments for board and care services provided in senior living communities. A majority of states provide, or are approved to provide, Medicaid payments for personal care and medical services to some residents in licensed senior living communities under waivers granted by or under Medicaid state plans approved by CMS. State Medicaid programs control costs for assisted living and other home- and community-based services by various means such as restrictive financial and functional eligibility standards, enrollment limits and waiting lists. States that administer Medicaid programs for services in senior living communities are responsible for monitoring the services at, and physical conditions of, the participating communities. As a result of the growth of assisted living in recent years, states have adopted licensing standards applicable to assisted living communities. Most state licensing standards apply to assisted living communities regardless of whether they accept Medicaid funding.</w:t>
      </w:r>
    </w:p>
    <w:p>
      <w:pPr>
        <w:spacing w:after="0" w:line="20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senior living segment is subject to a variety of federal, state and local environmental laws and regulations. As a senior living services provider, we face regulatory requirements in areas of air and water quality control, medical and low-level radioactive waste management and disposal, asbestos management, response to mold and lead-based paint in our facilities and employee safety.</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an operator of our communities, we also may be required to investigate and remediate hazardous substances that are located on and/or under the property, including any such substances that may have migrated off, or may have been discharged or transported from the property. Part of our operations involves the handling, use, storage, transportation, disposal and discharge of medical, biological, infectious, toxic, flammable and other hazardous materials, wastes, pollutants or contaminants. In addition, we are sometimes unable to determine with certainty whether prior uses of our communities and properties or surrounding properties may have produced continuing environmental contamination or noncompliance, particularly where the timing or cost of making such determinations is not deemed cost-effective. These activities, as well as the possible presence of such materials in, on and under our properties, may result in damage to individuals, property or the environment; may interrupt operations or increase costs; may result in legal liability, damages, injunctions or fines; may result in investigations, administrative proceedings, penalties or other governmental agency actions. Associated costs may not be covered by insurance.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subject to the reporting requirements under the Securities Exchange Act of 1934, as amended (the Exchange Act). Consequently, we are required to file reports and information with the Securities and Exchange Commission (“SEC”),</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including reports on the following forms: annual reports on Form 10-K, quarterly reports on Form 10-Q, current reports on Form 8-K, and amendments to those reports filed or furnished pursuant to Section 13(a) or 15(d) of the Exchange Act. These reports and other information concerning our company may be accessed through the SEC’s website at http://www.sec.gov.</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You may also find on our website at www.pennantgroup.com electronic copies of our annual reports on Form 10-K, quarterly reports on Form 10-Q, current reports on Form 8-K and amendments to those reports filed or furnished pursuant to Section 13(a) or 15(d) of the Exchange Act. Such filings are placed on our website as soon as reasonably possible after they are filed with the SEC. All such filings are available free of charge. Information contained in our website is not deemed to be a part of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 -</w:t>
      </w:r>
    </w:p>
    <w:p>
      <w:pPr>
        <w:spacing w:after="0" w:line="24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Based on the information currently known to us, we believe that the following information identifies material risk factors affecting our company. However, the risks and uncertainties we face are not limited to those described below. Additional risks and uncertainties may also adversely affect our business. If any of the following risks and uncertainties develops into actual events, these events could have a material adverse effect on our business, financial condition or results of operations. In such case, the trading price of our common stock could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revenue could be impacted by federal changes to reimbursement and other aspects of Medicare. </w:t>
      </w:r>
      <w:r>
        <w:rPr>
          <w:rFonts w:ascii="Times New Roman" w:cs="Times New Roman" w:eastAsia="Times New Roman" w:hAnsi="Times New Roman"/>
          <w:sz w:val="17"/>
          <w:szCs w:val="17"/>
          <w:color w:val="auto"/>
        </w:rPr>
        <w:t>We derived 48.4% of our revenue from the Medicare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program for the year ended December 31, 2023, which is typical. In addition, other payors may use published Medicare rates as a basis for reimbursements. The Medicare program and its reimbursement rates, caps, deductibles and rules are subject to frequent change for a variety of reasons, which is discussed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Budget pressures also frequently lead the federal government to reduce or limit reimbursement rates under Medicare, and to adjust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how those reductions or limitations are implemented. Additionally, Medicare payments can be delayed or denied (including retroactively) due to determinations that certain costs, services or providers are not covered. Accordingly, if Medicare reimbursement rates are reduced or fail to increase as quickly as our costs, if we do not realize an adequate percentage of billed Medicare charges, or if there are changes in the way these programs pay for services or what services or providers are covered, our business and results of operations would be adversely affected. CMS has also introduced in the past, and will likely introduce in the future, new payment models, such as value-based arrangements or payment models that look to numerous factors in order to issue full payment, in markets in which we operate. Those models may depend on the formation of preferred provider relationships among payors and providers. Our operations may not successfully implement or adapt to these changes and our operations could be materially impacted. Medicare reimbursement and participation may also be tied to the vaccination of employees against COVID-19 pursuant to a CMS rule which took effect in March 2022 and was in effect until August of 2023 when CMS withdrew this requirement. When CMS’s COVID-19 vaccine mandate was in effect, it required employees of certain Medicare-participating facilities and services including home health agencies and hospices to be vaccinated, which affected our businesses and employees during that time period.</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Reductions in Medicaid reimbursement rates or changes in the rules governing the Medicaid program could have a material, adverse effect on our revenues, financial condition and results of operations. </w:t>
      </w:r>
      <w:r>
        <w:rPr>
          <w:rFonts w:ascii="Times New Roman" w:cs="Times New Roman" w:eastAsia="Times New Roman" w:hAnsi="Times New Roman"/>
          <w:sz w:val="17"/>
          <w:szCs w:val="17"/>
          <w:color w:val="auto"/>
        </w:rPr>
        <w:t>We derived 14.2% of our revenue from Medicaid programs for the year ended December 31, 2023, which is typical.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Any budget reductions or funding restrictions, discontinuance or reduction of federal matching, change in payment methodology or delays in states in which we operate could adversely affect our net patient service revenue and profitability, including the reduction of federal funds contributed to state Medicaid budgets during the COVID-19 public health emergency. Like Medicare payments, Medicaid payments can be delayed due to budgetary constraints of the state or state agencies responsible for making such payments, and Medicaid payments may be declined (including retroactively) due to determinations that certain costs, services or providers are not covered by the state Medicaid agency or its intermediary organizations. We can expect continuing cost containment pressures on Medicaid outlays for our services.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Reforms to the U.S. healthcare system continue to impose new requirements upon us and may lower our reimbursements. </w:t>
      </w:r>
      <w:r>
        <w:rPr>
          <w:rFonts w:ascii="Times New Roman" w:cs="Times New Roman" w:eastAsia="Times New Roman" w:hAnsi="Times New Roman"/>
          <w:sz w:val="17"/>
          <w:szCs w:val="17"/>
          <w:color w:val="auto"/>
        </w:rPr>
        <w:t>Health care reform is a key political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legislative focal point. We cannot predict what effect legislative or regulatory changes (including, for instance, proposals for Medicare-for-All or public option insurers operated by one or more individual states), will have on our business, including the demand for our services or the amount of reimbursement available for those services. The consequences of elections are not yet fully known for this industry, and our industry may be affected by the Presidential primary campaigns that began in 2023 and will continue this year, culminating with the presidential election in November of 2024. It is possible new laws may lower reimbursement or increase the cost of doing business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subject to various government reviews, audits and investigations that could adversely affect our business, including an obligation to refund amounts previously paid to us, potential criminal charges, the imposition of fines, and/or the loss of our right to participate in Medicare and Medicaid programs. </w:t>
      </w:r>
      <w:r>
        <w:rPr>
          <w:rFonts w:ascii="Times New Roman" w:cs="Times New Roman" w:eastAsia="Times New Roman" w:hAnsi="Times New Roman"/>
          <w:sz w:val="17"/>
          <w:szCs w:val="17"/>
          <w:color w:val="auto"/>
        </w:rPr>
        <w:t>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discussed in greater detail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as a result of our participation in the Medicaid and Medicare programs, we are frequently subject to various governmental reviews, audits and investigations to verify our compliance with these programs. Private pay sources also reserve the right to conduct audits. Disagreements about billing and reimbursement are common in our industry due in part to the subjectivity inherent in patient diagnosis and care, record keeping, claims processing and other aspects of the patient service and reimbursement processes. An adverse review, audit or investigation could result in (1) an obligation to refund amounts previously paid to us by payors in amounts that could vastly exceed the revenue derived from claims actually reviewed in the audit, and could be material to our business; (2) state or federal agencies imposing fines, penalties and other sanctions on us; (3) suspension of Medicare or Medicaid payments (4) loss of our right to participate in the Medicare or Medicaid programs or one or more private payor networks; (5) an increase in private litigation against us; and (6) damage to our reputation with potential residents, referral sources, and others in various markets.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cases where claim and documentation review by any CMS contractor results in repeated poor performance, an operation can be subjected to protracted oversight. Sustained failure to demonstrate improvement towards meeting all claim filing and documentation requirements could ultimately lead to Medicare decertification. Additionally, both federal and state government agencies have heightened and coordinated civil and criminal enforcement efforts as part of numerous ongoing investigations of healthcare companies. The focuses of these investigations includes, among other things: cost reporting and billing practices; quality of care; financial relationships with referral sources; and medical necessity of services provided. If any of our affiliated operations is decertified, loses its license(s), or is subject to criminal charges or civil claims, administrative sanctions or penalties, our revenue, financial condition or results of operations would be adversely affected. We or some of the key personnel of our independent operating subsidiaries could also be temporarily or permanently excluded from future participation in state and federal healthcare reimbursement programs such as Medicaid and Medicare. In addition, the report of such issues at any of our affiliated operations could harm our reputation for quality care and could cause us to be in default under some of our agreements, including agreements governing outstanding indebtedness. Responding to audits, litigation or enforcement efforts diverts material time, resources and attention, and could have a materially detrimental impact on our results of operations during and after any such investigation or proceedings, regardless of whether we prevail.</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we do not operate in compliance with the extensive laws and regulations to which we are subject, or if these laws and regulations change, we could be required to make significant expenditures or change our operations to bring our operations into compliance. </w:t>
      </w:r>
      <w:r>
        <w:rPr>
          <w:rFonts w:ascii="Times New Roman" w:cs="Times New Roman" w:eastAsia="Times New Roman" w:hAnsi="Times New Roman"/>
          <w:sz w:val="17"/>
          <w:szCs w:val="17"/>
          <w:color w:val="auto"/>
        </w:rPr>
        <w:t>We, like other companies in the healthcare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industry, are required to comply with extensive and complex laws and regulations at the federal, state and local government levels as discussed in greater detail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xml:space="preserve"> These laws and regulations are subject to frequent and unpredictable change. If we fail to comply with these applicable laws and regulations, we could suffer civil or criminal penalties and other detrimental consequences, including denial of reimbursement, imposition of fines, temporary suspension of admission of new patients, suspension or decertification from the Medicaid and Medicare programs, restrictions on our ability to acquire new operations or expand or operate existing operations, the loss of our licenses to operate and the loss of our ability to participate in federal and state reimbursement programs. These laws and regulations are complex, and we do not always have the benefit of significant regulatory or judicial interpretation of these laws and regulations. Changing interpretations or enforcement of these laws and regulations could subject our current or past practices to allegations of impropriety or illegality or could require us to change our operations, equipment, personnel, services, capital expenditure programs and operating expenses.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Public and government calls for increased survey and enforcement efforts toward our industries could result in increased scrutiny and potential sanctions or costly remedies. </w:t>
      </w:r>
      <w:r>
        <w:rPr>
          <w:rFonts w:ascii="Times New Roman" w:cs="Times New Roman" w:eastAsia="Times New Roman" w:hAnsi="Times New Roman"/>
          <w:sz w:val="17"/>
          <w:szCs w:val="17"/>
          <w:color w:val="auto"/>
        </w:rPr>
        <w:t>Government authorities have increased the scope or number of inspections or surveys and the severity of consequent citations for alleged failure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to comply with regulatory requirements. As discussed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from time to time in the ordinary course of business, we receive deficiency reports from state and federal regulatory bodies resulting from such inspections or surveys. Although most inspection deficiencies are resolved through an agreed-upon plan of corrective action, the reviewing agency typically has the authority to take further action against a licensed or certified operation, which could result in the imposition of fines and penalties, imposition of a provisional or conditional license, suspension or revocation of a license, suspension of new admission or bed holds, loss of certification as a provider under state or federal healthcare programs or termination of the operations’ payment relationships with those programs, or imposition of other sanctions, including criminal penalties. Furthermore, in some states, citations issued against one operation can affect other operations in the state, particularly where there is any element of common or affiliated ownership. Revocation of a license or decertification at a given operation could therefore impair our ability to obtain new licenses or to renew existing licenses at other operations, which may also trigger defaults or cross-defaults under our leases and our credit arrangements, or adversely affect our ability to operate in the future. If state or federal regulators were to determine, formally or otherwise, that one operation’s regulatory history ought to impact another of our existing or prospective communities, this could also increase costs, result in additional fines or penalties, result in increased scrutiny by state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federal survey agencies, and impact our expansion plans as well as our ongoing operations. In addition, from time to time, we may opt to voluntarily stop accepting new patients pending completion of a new state survey, to avoid straining staff and other resources while retraining staff, upgrading operating systems or making other operational improvements, all of which can impact our financial results.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Future cost containment initiatives undertaken by payors may limit our future revenue and profitability</w:t>
      </w:r>
      <w:r>
        <w:rPr>
          <w:rFonts w:ascii="Times New Roman" w:cs="Times New Roman" w:eastAsia="Times New Roman" w:hAnsi="Times New Roman"/>
          <w:sz w:val="17"/>
          <w:szCs w:val="17"/>
          <w:color w:val="auto"/>
        </w:rPr>
        <w:t>. Our managed care revenue and profitability may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affected by continuing efforts of third-party payors to maintain or reduce costs of healthcare by lowering payment rates, narrowing the scope of covered services and network providers, increasing case management review of services and negotiating pricing. In addition, sustained unfavorable economic conditions may affect the number of patients enrolled in managed care programs and the profitability of managed care companies, which could result in reduced revenue due to reduced reimbursement for our services. There can be no assurance that third-party payors will make timely payments for our services, not seek recoupment of payments on grounds that may or may not be valid, or that we will continue to maintain our current payor or revenue mix. We are continuing our efforts to develop our private pay sources of revenue. Any changes in payment levels from current or future third-party payors could have a material adverse effect on our business financial condition, results of operations and cash flows. In addition, enrollment in Medicare Advantage programs continues to grow nationwide, and an increasing proportion of Medicare and Medicaid funds are managed by companies that are also third-party payors who may seek to reduce reimbursement as described above.</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Any economic downturn, deepening of an economic downturn, continued deficit spending by the Federal Government or state budget pressures may result in a reduction in payments and covered services. </w:t>
      </w:r>
      <w:r>
        <w:rPr>
          <w:rFonts w:ascii="Times New Roman" w:cs="Times New Roman" w:eastAsia="Times New Roman" w:hAnsi="Times New Roman"/>
          <w:sz w:val="17"/>
          <w:szCs w:val="17"/>
          <w:color w:val="auto"/>
        </w:rPr>
        <w:t>Adverse economic developments in the United States could lead to a reduction in Federal Government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expenditures, including government-funded programs in which we participate, such as Medicare and Medicaid. In addition, if at any time the Federal Government is not able to meet its debt payments due to Congress failing to appropriate funds for the payment of these obligations, the Federal Government may stop or delay making payments on its obligations, including funding for government programs in which we participate, such as Medicare and Medicaid. Failure of the government to make payments under these programs could have a material adverse effect on our business and consolidated financial condition, results of operations and cash flows. Further, any failure by the United States Congress to complete the federal budget process and fund government operations may result in a Federal Government shutdown, potentially causing us to incur substantial costs without reimbursement under the Medicare program, which could have a material adverse effect on our business and consolidated financial condition, results of operations and cash flows. As an example, the failure of the 2011 Joint Select Committee to meet its Deficit Reduction goal resulted in an automatic reduction in Medicare home health and hospice payments of 2% beginning April 1, 2013 ("sequestration" - suspended from May 1, 2020 through March 31, 2022; reinstated at 1% for the period April 1, 2022 through June 30, 2022 and at 2% thereafter). In addition, the Federal Reserve has increased interest rates repeatedly and significantly in recent quarters and may further increase or decrease interest rates in future quarters, impacting our cost of capital, our operating costs, and the economy as a whole.</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Increased competition for, or a shortage of, nurses and other skilled personnel could increase our staffing and labor costs and negatively impact our operations. </w:t>
      </w:r>
      <w:r>
        <w:rPr>
          <w:rFonts w:ascii="Times New Roman" w:cs="Times New Roman" w:eastAsia="Times New Roman" w:hAnsi="Times New Roman"/>
          <w:sz w:val="17"/>
          <w:szCs w:val="17"/>
          <w:color w:val="auto"/>
        </w:rPr>
        <w:t>Our success depends upon our ability to retain and attract nurses, certified nurse assistants, social workers and speech, physical and occupational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therapists, as well as skilled personnel who are responsible for the day-to-day operations of each of our affiliated operations. If we fail to attract and retain qualified and skilled personnel, or if the associated costs to do so increase, our independent operating subsidiaries’ ability to conduct their business operations effectively could be harmed. Staffing challenges increased during the pandemic and have persisted due to health care worker burnout, COVID-19 exposures, vaccine mandates, and wage inflation, increasing the competition for qualified staff and cost of retaining personnel, and continue to affect our operations. There can be no assurance that we will be able to attract and retain key personnel going forward.</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depend on our management team and local leaders, and the loss of their services could harm our business. </w:t>
      </w:r>
      <w:r>
        <w:rPr>
          <w:rFonts w:ascii="Times New Roman" w:cs="Times New Roman" w:eastAsia="Times New Roman" w:hAnsi="Times New Roman"/>
          <w:sz w:val="17"/>
          <w:szCs w:val="17"/>
          <w:color w:val="auto"/>
        </w:rPr>
        <w:t>We believe that our success depends in part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continued services of our executive management and local leadership teams. The loss of, or failure to recruit, such key personnel could have a material adverse effect on our business and could adversely affect our strategic relationships and impede our ability to execute our business strategies. The market for qualified individuals is highly competitive and finding and recruiting suitable replacements for our leaders may be difficult, time consuming and costly.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hospice independent operating subsidiaries are subject to annual Medicare caps calculated by Medicare. </w:t>
      </w:r>
      <w:r>
        <w:rPr>
          <w:rFonts w:ascii="Times New Roman" w:cs="Times New Roman" w:eastAsia="Times New Roman" w:hAnsi="Times New Roman"/>
          <w:sz w:val="17"/>
          <w:szCs w:val="17"/>
          <w:color w:val="auto"/>
        </w:rPr>
        <w:t>With respect to our hospice independent operating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subsidiaries, overall payments made by Medicare for each Medicare beneficiary are subject to caps calculated by Medicare, as discussed in greater detail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If payments received by any one of our hospice provider numbers exceeds the caps for the beneficiary, we are required to reimburse Medicare for payments received in excess of the caps, which could have a material adverse effect on our business. Additionally, the annual increase in Medicare beneficiary caps may not keep pace with the rate of inflation or increased operating costs as it applies to the costs of caring for such patients, potentially resulting in our hospice independent operating subsidiaries treating these patients at a loss.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Security breaches and other cyber-security incidents could subject us to significant liability. </w:t>
      </w:r>
      <w:r>
        <w:rPr>
          <w:rFonts w:ascii="Times New Roman" w:cs="Times New Roman" w:eastAsia="Times New Roman" w:hAnsi="Times New Roman"/>
          <w:sz w:val="17"/>
          <w:szCs w:val="17"/>
          <w:color w:val="auto"/>
        </w:rPr>
        <w:t>Data breaches and leaks, which represent a material risk to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are reported to have occurred with greater frequency in 2023 than in 2022 and 2021. Our business depends on the proper functioning and availability of our computer systems and networks. Our security measures designed to protect our information systems, data and patient health information and disaster recovery plan may not prevent damage, interruption, or breach of our information systems and operations. In addition, hardware, software or applications we use may contain defects in design or manufacture or other problems that could unexpectedly compromise the security of our information systems. Unauthorized parties may attempt to gain access to our systems or operations, or those of third parties with whom we do business, through fraud or other forms of deceiving our employees or contractors. In addition, costs and potential problems and interruptions associated with the implementation of new or upgraded systems and technology or with maintenance or support of existing systems also could disrupt or reduce the efficiency of our operations. If a cyber-security attack or other unauthorized attempt to access our systems, such as a ransomware attack, were to be successful, the incident could result in the theft, destruction, loss, misappropriation or release of confidential information or intellectual property, and could cause delays or disruptions that may materially impact our ability to provide various healthcare services. Any successful cyber-security attack or other unauthorized attempt to access our systems or operations also could result in negative publicity which could damage our reputation or brand with our patients, referral sources, payors or other third parties and could subject us to substantial regulatory, civil or criminal penalties, fines, investigations and enforcement actions, including under HIPAA and other federal and state privacy laws, including, for example, the California Consumer Privacy Act and Nevada Privacy Law, which includes a private right of action that may expose us to private litigation regarding our privacy practices and significant damages awards or settlements in civil litigation.</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State efforts to regulate or deregulate the healthcare services industry or the construction or expansion of the number of home health, hospice or senior living operations could impair our ability to expand or result in increased competition. </w:t>
      </w:r>
      <w:r>
        <w:rPr>
          <w:rFonts w:ascii="Times New Roman" w:cs="Times New Roman" w:eastAsia="Times New Roman" w:hAnsi="Times New Roman"/>
          <w:sz w:val="17"/>
          <w:szCs w:val="17"/>
          <w:color w:val="auto"/>
        </w:rPr>
        <w:t>As discussed in greater detail in Item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our ability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acquire or establish new home health, hospice or senior living operations or expand or provide new services at existing operations would be adversely affected if we are unable to obtain the necessary approvals, if there are changes in the standards applicable to those approvals, new laws or changes in applicable laws governing CON requirements (or increasing the circumstances where a CON is needed), or if we experience delays and increased expenses associated with obtaining those approvals. We may not be able to obtain licensure, CON approval, Medicare or Medicaid certification, Attorney General approval or other necessary approvals for future expansion projects. Conversely, and specific to the highly competitive senior living industry, the elimination or reduction of state regulations that limit the construction, expansion or renovation of new or existing communities could result in increased competition to us. In general, regulatory and other barriers to entry in the senior living industry are not prohibitive. Over the last several years, there has been a significant increase in the construction of new senior living communities, including in the markets where we provide services. This has resulted in increased competition in many of our markets. Such new competition may limit our ability to attract new residents, raise rents or otherwise expand our senior living business, which could have a material adverse effect on our revenues, results of operations and cash flow.</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Changes in federal and state employment-related laws and regulations could increase our cost of doing business. </w:t>
      </w:r>
      <w:r>
        <w:rPr>
          <w:rFonts w:ascii="Times New Roman" w:cs="Times New Roman" w:eastAsia="Times New Roman" w:hAnsi="Times New Roman"/>
          <w:sz w:val="17"/>
          <w:szCs w:val="17"/>
          <w:color w:val="auto"/>
        </w:rPr>
        <w:t>Our independent operating subsidiaries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a variety of federal and state employment-related laws and regulations, including, but not limited to, the U.S. Fair Labor Standards Act which governs such matters as minimum wages, overtime and other working conditions, the Americans with Disabilities Act (the “ADA”) and similar state laws that provide civil rights protections to individuals with disabilities in the context of employment, public accommodations and other areas, the National Labor Relations Act, regulations of the Equal Employment Opportunity Commission, regulations of the Office of Civil Rights, regulations of state Attorneys General, family leave mandates and a variety of similar laws. Because labor represents a large portion of our operating costs, changes in federal and state employment-related laws and regulations could increase our cost of doing business. We also may be subject to employee-related claims such as wrongful discharge, discrimination or violation of equal employment law. Employment claims, such as wage and hour claims, frequently are the subject of class action lawsuits in many states in which our independent affiliates operate, including, for example, California.</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Required regulatory approvals could delay or prohibit transfers of our healthcare operations, which could result in periods in which we are unable to receive reimbursement for such properties. </w:t>
      </w:r>
      <w:r>
        <w:rPr>
          <w:rFonts w:ascii="Times New Roman" w:cs="Times New Roman" w:eastAsia="Times New Roman" w:hAnsi="Times New Roman"/>
          <w:sz w:val="17"/>
          <w:szCs w:val="17"/>
          <w:color w:val="auto"/>
        </w:rPr>
        <w:t>Our independent operating subsidiaries must be licensed under applicable state law and, depending upon the type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 certified or approved as providers under the Medicare and/or Medicaid programs. In the process of acquiring or transferring operating assets, our operations must receive change of ownership approvals from state licensing agencies, Medicare and Medicaid, and third party payors. If there are any delays in receiving regulatory approvals from the applicable federal, state or local government agencies, or from independent accreditation authorities that may be required by federal, state or local government agencies, or the inability to receive such approvals, such delays could result in delayed or lost reimbursement related to periods of service prior to the receipt of such approvals. By way of example, in 2022 California passed Assembly Bill 2673 which prohibits issuance of new hospice licenses and limits transfer of existing licenses.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Compliance with federal and state fair housing, fire, safety and other regulations may require us to make unanticipated expenditures, which could be costly to us. </w:t>
      </w:r>
      <w:r>
        <w:rPr>
          <w:rFonts w:ascii="Times New Roman" w:cs="Times New Roman" w:eastAsia="Times New Roman" w:hAnsi="Times New Roman"/>
          <w:sz w:val="17"/>
          <w:szCs w:val="17"/>
          <w:color w:val="auto"/>
        </w:rPr>
        <w:t>We must incur the expense of complying with the federal Fair Housing Act and similar state laws, and applicable fire and safety regulations, building codes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land use regulations and food licensing or certification requirements as they may be adopted by governmental agencies and bodies from time to time and the expense may be substantial. Changes to these laws may require us to close operations, limit occupancy, or make other costly changes.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revenue, financial condition and results of operations could be negatively impacted by any changes in the acuity mix of patients in our affiliated operations as well as payor mix and payment methodologies. </w:t>
      </w:r>
      <w:r>
        <w:rPr>
          <w:rFonts w:ascii="Times New Roman" w:cs="Times New Roman" w:eastAsia="Times New Roman" w:hAnsi="Times New Roman"/>
          <w:sz w:val="17"/>
          <w:szCs w:val="17"/>
          <w:color w:val="auto"/>
        </w:rPr>
        <w:t>Our revenue is determined in part by the acuity of home health and hospice patients and senior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living residents. Changes in the acuity level of patients we attract, as well as our payor mix among Medicare, Medicaid, managed care organizations and private payors, significantly affect our profitability because we generally receive higher reimbursement rates for high acuity patients and because the payors reimburse us at different rates. For the year ended December 31, 2023, 62.6% of our revenue was provided by government payors that reimburse us at predetermined rates, which is typical. If we fail to maintain our proportion of high acuity patients or if there is any significant increase in the percentage of the patients of our independent operating subsidiaries for whom we receive Medicaid reimbursement, our results of operations may be adversely affected. Among other initiatives, these payors attempt to control healthcare costs by contracting with healthcare providers to obtain services on a discounted basis. We believe that this trend will continue and may limit reimbursements for healthcare services. If insurers or managed care companies from whom we receive substantial payments were to reduce the amounts they pay for services, we may lose patients if we choose not to renew our contracts with these insurers at lower rates.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subject to litigation that could result in significant legal costs and large settlement amounts or damage awards. </w:t>
      </w:r>
      <w:r>
        <w:rPr>
          <w:rFonts w:ascii="Times New Roman" w:cs="Times New Roman" w:eastAsia="Times New Roman" w:hAnsi="Times New Roman"/>
          <w:sz w:val="17"/>
          <w:szCs w:val="17"/>
          <w:color w:val="auto"/>
        </w:rPr>
        <w:t>Our business involves a significant risk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liability given the age and health of the patients and residents of our independent operating subsidiaries and the services we provide. The frequency and severity of litigation in the healthcare industry has increased, due in part to large verdicts and punitive damage awards. Claims are filed based upon a wide variety of assertions and theories, including deficiencies in conditions of participation under certain state and federal healthcare programs and wage and hour class actions. Plaintiffs’ attorneys have become increasingly aggressive in their pursuit of claims against healthcare providers, including home health, hospice and senior living providers, employing a wide variety of advertising and solicitation activities to generate more claims. Additionally, California, through its passage of AB 35, has increased the non-economic (i.e., pain and suffering) damages that may be recovered by attorneys on claims of professional negligence or malpractice in healthcare cases filed in California, and may embolden plaintiff’s attorneys to be more aggressive in their pursuit of facilities operated by our independent operating subsidiaries and the services provided through them. Since California’s passage of AB 35, Iowa and Nevada have enacted similar laws that increase the non-economic damages that may serve as the basis for the recovery for attorney’s fees in those states, which may stimulate additional litigation in those states and could have an adverse material affect on our financial performance. The defense of lawsuits may result in significant legal costs, regardless of the outcome. Further, such litigation against us or our independent operating subsidiaries may result in increased liability insurance premiums and/or a decline in available insurance coverage levels, which could materially and adversely affect our business, financial condition and results of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Instances of noncompliance can decrease our revenue. </w:t>
      </w:r>
      <w:r>
        <w:rPr>
          <w:rFonts w:ascii="Times New Roman" w:cs="Times New Roman" w:eastAsia="Times New Roman" w:hAnsi="Times New Roman"/>
          <w:sz w:val="17"/>
          <w:szCs w:val="17"/>
          <w:color w:val="auto"/>
        </w:rPr>
        <w:t>As discussed under Item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Monitoring Compliance in our Operations</w:t>
      </w:r>
      <w:r>
        <w:rPr>
          <w:rFonts w:ascii="Times New Roman" w:cs="Times New Roman" w:eastAsia="Times New Roman" w:hAnsi="Times New Roman"/>
          <w:sz w:val="17"/>
          <w:szCs w:val="17"/>
          <w:color w:val="auto"/>
        </w:rPr>
        <w:t>, we have internal compliance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policies and procedures, including ongoing monitoring and controls, pursuant to which we have identified, and may in the future identify, deficiencies in the assessment of and recordkeeping for patients and residents. We must accrue liabilities for claim costs and interest and repay any amounts due in normal course. Failure to refund overpayments within required time frames (as described in greater detail under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could result in FCA liability and other penalties, fines, or sanctions. If future investigations ultimately result in findings of significant billing and reimbursement noncompliance, which require us to record significant additional provisions or remit payments, our business, financial condition and results of operations could be materially and adversely affected.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be unable to complete future acquisitions at attractive prices or at all, which may adversely affect our revenue growth. </w:t>
      </w:r>
      <w:r>
        <w:rPr>
          <w:rFonts w:ascii="Times New Roman" w:cs="Times New Roman" w:eastAsia="Times New Roman" w:hAnsi="Times New Roman"/>
          <w:sz w:val="17"/>
          <w:szCs w:val="17"/>
          <w:color w:val="auto"/>
        </w:rPr>
        <w:t>To date, our revenue growth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been significantly accelerated by our acquisition of new operations. Subject to general market conditions and the availability of essential resources and leadership within our company, we continue to seek home health, hospice and senior living acquisition opportunities that are consistent with our geographic, financial and operating objectives. We face competition for the acquisition of operations and businesses and expect this competition to increase. Based upon factors such as our ability to identify suitable acquisition candidates, the purchase price of the operations, prevailing market conditions, the availability of leadership to manage new operations and our own willingness to take on new operations, the rate at which we have historically acquired home health, hospice and senior living operations has fluctuated and we anticipate similar fluctuation in the future. Further, acquisitions may require financing, which may not be available to us or may be available to us only on terms that are not favorable. If funds are raised through the issuance of additional equity securities, the percentage ownership of our stockholders would be diluted, and any newly issued equity securities may have rights,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preferences or privileges senior to those of our common stock. We may acquire operations that prove to be non-strategic or less desirable, and we may consider disposing of such operations or exchanging them for operations which are more desirable.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not be able to successfully integrate acquired operations, and we may not achieve the benefits we expect from our acquisitions. </w:t>
      </w:r>
      <w:r>
        <w:rPr>
          <w:rFonts w:ascii="Times New Roman" w:cs="Times New Roman" w:eastAsia="Times New Roman" w:hAnsi="Times New Roman"/>
          <w:sz w:val="17"/>
          <w:szCs w:val="17"/>
          <w:color w:val="auto"/>
        </w:rPr>
        <w:t>We may not be able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successfully or efficiently integrate new acquisitions with our existing independent operating subsidiaries, culture and systems. We also may determine that renovations of acquired operations and changes in staff and operating management personnel are necessary to successfully integrate those acquisitions into our existing operations. We may not be able to recover the costs incurred to reposition or renovate newly independent operating subsidiaries. The financial benefits we expect to realize from many of our acquisitions are largely dependent upon our ability to improve clinical performance, overcome regulatory deficiencies, rehabilitate or improve the reputation of the operations in the community, increase and maintain census, control costs, and in some cases change the patient acuity mix. Growth also places significant demands on our leaders and operational, financial and management information systems. If we are unable to accomplish any of these objectives at the independent operating subsidiaries we acquire, we will not realize the anticipated benefits and we may experience lower than anticipated profits, or even losses.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 undertaking acquisitions, we may be impacted by costs, liabilities and regulatory issues that may adversely affect our operations. </w:t>
      </w:r>
      <w:r>
        <w:rPr>
          <w:rFonts w:ascii="Times New Roman" w:cs="Times New Roman" w:eastAsia="Times New Roman" w:hAnsi="Times New Roman"/>
          <w:sz w:val="17"/>
          <w:szCs w:val="17"/>
          <w:color w:val="auto"/>
        </w:rPr>
        <w:t>In undertaking acquisitions,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also may be adversely impacted by unforeseen liabilities attributable to the prior providers who operated the acquired operations, against whom we may have little or no recourse. Many operations we have historically acquired were underperforming prior to the acquisition. Even where operations have been improved, we still may face post-acquisition regulatory issues related to pre-acquisition events. These may include, without limitation, payment recoupment related to our predecessors’ prior noncompliance, the imposition of fines, penalties, operational restrictions or special regulatory status. Further, we may incur post-acquisition compliance risk due to the difficulty or impossibility of immediately or quickly bringing non-compliant operations into full compliance. Diligence materials pertaining to acquisition targets, especially the underperforming operations that often represent the greatest opportunity for return, are often inadequate, inaccurate or impossible to obtain, sometimes requiring us to make acquisition decisions with incomplete information. Operations that we have acquired or may acquire in the future may generate unexpectedly low returns, may cause us to incur substantial losses (including sanctions, fines, penalties, and other liabilities that state and federal authorities may seek to impose upon us under various theories of successor liability despite our efforts to prevent such liabilities during our transactions), may require unexpected levels of management time, expenditures or other resources, or may otherwise not meet a risk profile that our investors find acceptable. We also incur regulatory risk in acquiring certain operations due to the licensing, certification and other regulatory requirements affecting our right to operate the acquired operations, which are frequently obtained post-closing. If we were denied licensure or certification for any reason, we might not realize the expected benefits of the acquisition and would likely incur unanticipated costs and other challenges which could cause our business to suffer.</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our referral sources fail to view us as an attractive provider, or if our referral sources otherwise refer fewer patients or residents, our patient or resident base may decrease. </w:t>
      </w:r>
      <w:r>
        <w:rPr>
          <w:rFonts w:ascii="Times New Roman" w:cs="Times New Roman" w:eastAsia="Times New Roman" w:hAnsi="Times New Roman"/>
          <w:sz w:val="17"/>
          <w:szCs w:val="17"/>
          <w:color w:val="auto"/>
        </w:rPr>
        <w:t>We rely on appropriate referrals from physicians, hospitals and other healthcare providers in the communities we serve to attract appropriate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residents and patients to our affiliated operations. Our referral sources are not obligated to refer business to us and may refer business to other healthcare providers. If we lose, or fail to maintain, existing relationships with our referral resources, fail to develop new relationships, or if we are perceived by our referral sources as not providing high quality patient care, our census could decline and our patient mix could change. In addition, if any of our referral sources have a reduction in patients whom they can refer due to a decrease in their business, our census could decline and patient mix could change.</w:t>
      </w:r>
    </w:p>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we do not achieve and maintain competitive quality of care ratings from CMS and private organizations engaged in similar monitoring activities, our business may be negatively affected. </w:t>
      </w:r>
      <w:r>
        <w:rPr>
          <w:rFonts w:ascii="Times New Roman" w:cs="Times New Roman" w:eastAsia="Times New Roman" w:hAnsi="Times New Roman"/>
          <w:sz w:val="17"/>
          <w:szCs w:val="17"/>
          <w:color w:val="auto"/>
        </w:rPr>
        <w:t>Providing quality patient care is the cornerstone of our business. We believe that referral sources, residents and patients select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us in large part because of our reputation for delivering quality care. If we should fail to attain our goals regarding acute care hospitalization readmission rates and other quality metrics, we expect our ability to generate referrals would be adversely impacted, which could have a material adverse effect upon our business financial condition, results of operations and cash flows. In addition, our home health payment rates could be reduced, as described in Item 1., </w:t>
      </w:r>
      <w:r>
        <w:rPr>
          <w:rFonts w:ascii="Times New Roman" w:cs="Times New Roman" w:eastAsia="Times New Roman" w:hAnsi="Times New Roman"/>
          <w:sz w:val="17"/>
          <w:szCs w:val="17"/>
          <w:i w:val="1"/>
          <w:iCs w:val="1"/>
          <w:color w:val="auto"/>
        </w:rPr>
        <w:t>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 - Home Health Value Based Purchasing (HHVBP</w:t>
      </w:r>
      <w:r>
        <w:rPr>
          <w:rFonts w:ascii="Times New Roman" w:cs="Times New Roman" w:eastAsia="Times New Roman" w:hAnsi="Times New Roman"/>
          <w:sz w:val="17"/>
          <w:szCs w:val="17"/>
          <w:color w:val="auto"/>
        </w:rPr>
        <w:t>); further, our star ratings measured by CMS on a five-star basis may decrease, resulting in lower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estimation by potential residents and patients and reducing the likelihood of having those potential residents and patients use our services, as described in Item 1., </w:t>
      </w:r>
      <w:r>
        <w:rPr>
          <w:rFonts w:ascii="Times New Roman" w:cs="Times New Roman" w:eastAsia="Times New Roman" w:hAnsi="Times New Roman"/>
          <w:sz w:val="17"/>
          <w:szCs w:val="17"/>
          <w:i w:val="1"/>
          <w:iCs w:val="1"/>
          <w:color w:val="auto"/>
        </w:rPr>
        <w:t xml:space="preserve">Our Competitive Strengths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Superior Clinical Outcomes and Quality Care.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we are unable to obtain insurance, or if insurance becomes more costly for us to obtain, our business may be adversely affected. </w:t>
      </w:r>
      <w:r>
        <w:rPr>
          <w:rFonts w:ascii="Times New Roman" w:cs="Times New Roman" w:eastAsia="Times New Roman" w:hAnsi="Times New Roman"/>
          <w:sz w:val="17"/>
          <w:szCs w:val="17"/>
          <w:color w:val="auto"/>
        </w:rPr>
        <w:t>It may become more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difficult and costly for us to obtain coverage for patient care liabilities and other risks, including property and casualty insurance. Our claims history, asset mix, or other factors may adversely affect our ability to obtain insurance at favorable rates. Recent legislation in Nevada that prohibits the reduction of available funds based on the costs of defending claims or litigation may result in higher premiums for our operations within that state. Our insurance carriers may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require us to pay substantially higher premiums for the same or reduced coverage for insurance, including workers compensation, property and casualty, automobile, employment practices liability, directors and officers liability, employee healthcare and general and professional liability coverages. Further, many claims and other risks we face are not insurable. Attributable to the COVID-19 pandemic, insurers may increase their exclusions of infectious diseases or raise costs of coverage significantly affecting our ability to obtain insurance coverage.</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retain certain risks related to our insurance coverage. </w:t>
      </w:r>
      <w:r>
        <w:rPr>
          <w:rFonts w:ascii="Times New Roman" w:cs="Times New Roman" w:eastAsia="Times New Roman" w:hAnsi="Times New Roman"/>
          <w:sz w:val="17"/>
          <w:szCs w:val="17"/>
          <w:color w:val="auto"/>
        </w:rPr>
        <w:t>Under its insurance policies, the Company bears the risk of loss up to specified deductible limits,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may be substantial if there is a surge in the volume of claims subject to the deductible. The Company recognizes obligations associated with these costs in the period in which a claim is incurred, including with respect to both reported claims and claims incurred but not reported. These costs generally are estimated based on our historical claims experience. Projections of self-insured retention losses are estimates that are subject to significant variability, and as a result, actual losses and expenses may be more or less than recorded liabilities.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self-insurance programs may expose us to significant and unexpected costs and losses. </w:t>
      </w:r>
      <w:r>
        <w:rPr>
          <w:rFonts w:ascii="Times New Roman" w:cs="Times New Roman" w:eastAsia="Times New Roman" w:hAnsi="Times New Roman"/>
          <w:sz w:val="17"/>
          <w:szCs w:val="17"/>
          <w:color w:val="auto"/>
        </w:rPr>
        <w:t>Our general liability and workers compensation insurance policies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include self-insured retentions under which we are responsible to pay for a portion of each claim. We establish insurance loss reserves based on an estimation process that use information obtained from both company-specific and industry data. The estimation process requires us to continually monitor and evaluate the life cycle of claims. Using data obtained from this monitoring and our assumptions about emerging trends, we, along with an independent actuary, develop information about the size of ultimate claims based on historical experience and other available industry information. The most significant assumptions used in the estimation process include determining the trend in costs, the expected cost of claims incurred but not reported and the expected costs to settle or pay damages with respect to unpaid claims. It is possible, however, that the actual liabilities may exceed our estimates of loss. We may also experience an unexpectedly large number of successful claims or claims that result in costs or liability significantly in excess of our projections. For these and other reasons, our self-insurance reserves could prove to be inadequate, resulting in liabilities in excess of our available insurance and self-insurance. If a successful claim is made against us and it is not covered by our insurance or exceeds the insurance policy limits, our business may be negatively and materially impacted. Further, because our self-insured retentions under our general and professional liability and workers’ compensation program apply on a per claim basis, there is no limit to the maximum number of claims or the total amount for which we could be responsible in any policy period. We also self-insure our employee health benefits. With respect to our health benefits self-insurance, our reserves and premiums are computed based on a mix of company specific and general industry data. Even with a combination of limited company-specific loss data and general industry data, our loss reserves are based on actuarial estimate that may not correlate to actual loss experience in the future. Therefore, our reserves may prove to be insufficient and we may be exposed to significant and unexpected losses.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unionization of our workers may adversely affect our revenue and profitability. </w:t>
      </w:r>
      <w:r>
        <w:rPr>
          <w:rFonts w:ascii="Times New Roman" w:cs="Times New Roman" w:eastAsia="Times New Roman" w:hAnsi="Times New Roman"/>
          <w:sz w:val="17"/>
          <w:szCs w:val="17"/>
          <w:color w:val="auto"/>
        </w:rPr>
        <w:t>To date, with the exception of one preexisting bargaining unit at an operation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acquired as part of a joint venture, our employees have chosen not to unionize. Throughout 2022 and 2023, however, there has been a nationwide trend of increasing union activity, including strikes in the health care industry and in locations, such as California, in which we operate. Increasing trends of service workers successfully organizing to unionize their workplaces, may increase the likelihood of our employees seeking to unionize their activities at one or more additional locations controlled by our independent operating subsidiaries. If union activity among our employees increases, our cost of doing business could increase, our operations could experience disruption, and affected operations may no longer be economical to continue operating. Further, labor disputes and unionization efforts, among our own employees or among the employees of our referral partners, payors, vendors, joint venture partners, acquisition targets, or other parties, could lead to work stoppages, slowdown, strikes, lockouts, and increased costs, which could materially impact our operations.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Because we lease most of our affiliated senior living communities, we could experience risks associated with leased property, including risks relating to lease termination, lease extensions and special charges, which could adversely affect our business, financial position or results of operations. </w:t>
      </w:r>
      <w:r>
        <w:rPr>
          <w:rFonts w:ascii="Times New Roman" w:cs="Times New Roman" w:eastAsia="Times New Roman" w:hAnsi="Times New Roman"/>
          <w:sz w:val="17"/>
          <w:szCs w:val="17"/>
          <w:color w:val="auto"/>
        </w:rPr>
        <w:t>As of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we leased all of our senior living communities, except for one. We also leased all of our administrative offices. Most of our leases are triple-net leases, which means that, in addition to rent, we are required to pay for the costs related to the property (including property taxes, insurance, and maintenance and repair costs), the cost of which have increased since 2020 and may adversely affect us with future increases and operating expense reconciliations due for prior years. Under certain master leases, a breach at a single community could subject one or more of the other communities covered by the same master lease to the same default risk. Failure to comply with provider requirements is a default under several of the leases and master lease agreements. In addition, lease defaults could trigger cross-default provisions in our outstanding debt arrangements and other leases. With an indivisible lease, it is difficult to restructure the composition of the portfolio or economic terms of the lease without the consent of the landlord.</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 housing downturn could decrease demand for assisted living services. </w:t>
      </w:r>
      <w:r>
        <w:rPr>
          <w:rFonts w:ascii="Times New Roman" w:cs="Times New Roman" w:eastAsia="Times New Roman" w:hAnsi="Times New Roman"/>
          <w:sz w:val="17"/>
          <w:szCs w:val="17"/>
          <w:color w:val="auto"/>
        </w:rPr>
        <w:t>Seniors often use the proceeds of home sales to fund their admission to assisted living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communities. A downturn in the housing markets, such as the downturn that was ongoing in 2022 and 2023 as a result of higher than normal mortgage interest rates, could adversely affect seniors’ ability to afford our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resident fees and entrance fees. If national or local housing markets enter a persistent decline in prices or transaction activity, our occupancy rates, revenues, results of operations and cash flow could be negatively impacted.</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Failure to generate sufficient cash flow to cover required payments or meet operating covenants under our long-term debt and operating leases could result in defaults under such agreements and cross-defaults under other debt or operating lease arrangements, which could harm our independent operating subsidiaries and cause us to lose operations or experience foreclosures. </w:t>
      </w:r>
      <w:r>
        <w:rPr>
          <w:rFonts w:ascii="Times New Roman" w:cs="Times New Roman" w:eastAsia="Times New Roman" w:hAnsi="Times New Roman"/>
          <w:sz w:val="17"/>
          <w:szCs w:val="17"/>
          <w:color w:val="auto"/>
        </w:rPr>
        <w:t>We have significant future operating lease obligations. We intend to continue financing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through long-term operating leases, mortgage financing and other types of financing, including borrowings under our future credit facilities we may obtain. We may not generate sufficient cash flow from operations to cover required interest, principal and lease payments. If we are unable to generate sufficient cash flow from operations in the future to service our debt or to make lease payments on our operating leases, we may be required, among other things, to seek additional financing in the debt or equity markets, refinance or restructure all or a portion of our indebtedness, sell selected assets, reduce or delay planned capital expenditures or delay or abandon desirable acquisitions. Such measures might not be sufficient to enable us to service our debt or to make lease payments on our operating leases. The failure to make required payments on our debt or operating leases or the delay or abandonment of our planned growth strategy could result in an adverse effect on our future ability to generate revenue and sustain profitability and subject us to foreclosure. In addition, any such financing, refinancing or sale of assets might not be available on terms that are economically favorable to us, or at all. Our financing arrangements contain restrictions, covenants and events of default that, among other things, could limit our ability to respond to market conditions, provide for capital investment needs or take advantage of business opportunities by restricting our ability to incur or guarantee additional indebtedness or requiring us to offer to repurchase such indebtedness in the event of a change of control or a change of control triggering event; pay dividends or make distributions; make investments or acquisitions; sell, transfer or otherwise dispose of certain assets; create liens; consolidate or merge; enter into transactions with affiliates; and prepay and repurchase or redeem certain indebtedness.</w:t>
      </w:r>
    </w:p>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condition of the financial markets, including volatility and deterioration in the capital and credit markets, could limit the availability of debt and equity financing sources to fund the capital and liquidity requirements of our business, as well as negatively impact or impair the value of our future portfolio of cash, cash equivalents and investments. </w:t>
      </w:r>
      <w:r>
        <w:rPr>
          <w:rFonts w:ascii="Times New Roman" w:cs="Times New Roman" w:eastAsia="Times New Roman" w:hAnsi="Times New Roman"/>
          <w:sz w:val="17"/>
          <w:szCs w:val="17"/>
          <w:color w:val="auto"/>
        </w:rPr>
        <w:t>Credit markets are cyclical. Volatility in financial and credit markets may reduce the availability of certain types of debt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financing and restrict the availability of credit. Further, we anticipate that our future cash, cash equivalents and investments may be held in a variety of interest-bearing instruments. As a result of the uncertain domestic and global political, credit and financial market conditions, investments in these types of instruments pose risks arising from liquidity and credit concerns.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Inflation may negatively impact profitability. </w:t>
      </w:r>
      <w:r>
        <w:rPr>
          <w:rFonts w:ascii="Times New Roman" w:cs="Times New Roman" w:eastAsia="Times New Roman" w:hAnsi="Times New Roman"/>
          <w:sz w:val="17"/>
          <w:szCs w:val="17"/>
          <w:color w:val="auto"/>
        </w:rPr>
        <w:t>The annual inflation rate in 2023 has impacted our operations, placing upward pricing pressure on all things from</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wages to supplies to energy costs. Inflation is expected to remain relatively consistent in 2024, but may continue to affect the Company’s profit in providing services. We have historically derived a substantial portion of our revenue from the Medicare program. We also derive revenue from state Medicaid and similar reimbursement programs. Payments under these programs generally provide for reimbursement levels that are adjusted for inflation annually. These adjustments may not continue in the future, and even if continued, such adjustments may not reflect the actual increase in our costs for providing healthcare services. Labor and supply expenses make up a substantial portion of our cost of services. Those expenses are subject to increase in periods of rising inflation and when labor shortages occur in the marketplace. Inflation has led, and may continue to lead, to increased interest rates, which have and could continue to increase our cost of capital, impair consumers’ ability to purchase our services, or otherwise harm us financially.</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Extreme weather, natural disasters, or other catastrophic events could adversely effect our results from operations. </w:t>
      </w:r>
      <w:r>
        <w:rPr>
          <w:rFonts w:ascii="Times New Roman" w:cs="Times New Roman" w:eastAsia="Times New Roman" w:hAnsi="Times New Roman"/>
          <w:sz w:val="17"/>
          <w:szCs w:val="17"/>
          <w:color w:val="auto"/>
        </w:rPr>
        <w:t>We operate and are subject to long 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leases in areas particularly susceptible to damage or losses caused by catastrophic or extreme weather and other natural events, including fires, snow, rain or ice storms, windstorms, tornadoes, hurricanes, earthquakes, flooding and other severe weather. Many of our services require our employees to travel to patients’ homes by car. Adverse weather events could impair our ability to provide services and could cause substantial damages or losses to our communities or operations, which may not be covered by insurance. These events may also indirectly effect our business by increasing the cost of (or making unavailable) insurance on terms we find acceptable. Changes in regulations relating to climate change could require us to change the way we provide services and could result in increased costs without a corresponding increase in revenue.</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Delays in reimbursement may cause liquidity problems. </w:t>
      </w:r>
      <w:r>
        <w:rPr>
          <w:rFonts w:ascii="Times New Roman" w:cs="Times New Roman" w:eastAsia="Times New Roman" w:hAnsi="Times New Roman"/>
          <w:sz w:val="17"/>
          <w:szCs w:val="17"/>
          <w:color w:val="auto"/>
        </w:rPr>
        <w:t>If we experience problems with our billing information systems or if payment issues arise with Medicare,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Medicaid or other payors, we may encounter delays in our payment cycle or delays in submitting required cost reports. From time to time, we have experienced such delays as a result of government payors instituting planned reimbursement delays for budget balancing purposes or as a result of prepayment reviews. Some states in which we operate experience or have experienced budget deficits or could have a budget deficit in the future, which may delay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reimbursement in a manner that would adversely affect our liquidity. In addition, from time to time, procedural issues require us to resubmit claims before payment is remitted, which contributes to aged receivables. Unanticipated delays in receiving reimbursement from state programs due to changes in their policies or billing or audit procedures may adversely impact our liquidity and working capital. Failure to timely submit required cost reports may result in financial penalties.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Compliance with the regulations of the Department of Housing and Urban Development (“HUD”) may require us to make unanticipated expenditures which could increase our costs. </w:t>
      </w:r>
      <w:r>
        <w:rPr>
          <w:rFonts w:ascii="Times New Roman" w:cs="Times New Roman" w:eastAsia="Times New Roman" w:hAnsi="Times New Roman"/>
          <w:sz w:val="17"/>
          <w:szCs w:val="17"/>
          <w:color w:val="auto"/>
        </w:rPr>
        <w:t>Seventeen of our affiliated senior living communities are currently subject to regulatory agreements with HUD that give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Commissioner of HUD broad authority to require us to be replaced as the operator of those communities in the event that the Commissioner determines there are operational deficiencies at such communities under HUD regulations. Compliance with HUD’s requirements can often be difficult because these requirements are not always consistent with the requirements of other federal and state agencies and, in some instances, may require us to make additional capital expenditures to meet HUD’s heightened requirements. Appealing a failed inspection can be costly and time-consuming and, if we do not successfully remediate the failed inspection, we could be precluded from obtaining HUD financing in the future or we may encounter limitations or prohibitions on our operation of HUD-insured communities.</w:t>
      </w: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Failure to comply with existing environmental laws could result in increased expenditures, litigation and potential loss to our business and in our asset value. </w:t>
      </w:r>
      <w:r>
        <w:rPr>
          <w:rFonts w:ascii="Times New Roman" w:cs="Times New Roman" w:eastAsia="Times New Roman" w:hAnsi="Times New Roman"/>
          <w:sz w:val="17"/>
          <w:szCs w:val="17"/>
          <w:color w:val="auto"/>
        </w:rPr>
        <w:t>Our independent operating subsidiaries are subject to regulations under various federal, state and local environmental laws, primarily those relating to the handling, storage, transportation, treatment and disposal of medical waste; the identification and warning of the presence of asbestos-containing materials in buildings, as well as the encapsulation or removal of such materials; and the presence of other substances in the environment. The presence of such materials may be unknown and could result in remediation costs, fines, damages and other material harm to our business.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a holding company with no operations and rely upon our independent operating subsidiaries to provide us with the funds necessary to meet our financial obligations. </w:t>
      </w:r>
      <w:r>
        <w:rPr>
          <w:rFonts w:ascii="Times New Roman" w:cs="Times New Roman" w:eastAsia="Times New Roman" w:hAnsi="Times New Roman"/>
          <w:sz w:val="17"/>
          <w:szCs w:val="17"/>
          <w:color w:val="auto"/>
        </w:rPr>
        <w:t>We are a holding company with no direct operating assets, employees or revenues. Each of our affiliated operations is operated through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separate, independent subsidiary, which has its own management, employees and assets. Our principal assets are the equity interests we directly or indirectly hold in our independent operating subsidiaries. As a result, we are dependent upon distributions from our subsidiaries to generate the funds necessary to meet our financial obligations. Our subsidiaries are legally distinct from us and have no obligation to make funds available to us. The ability of our subsidiaries to make distributions to us will depend substantially on their respective operating results and will be subject to restrictions under, among other things, the laws of their jurisdiction of organization, which may limit the amount of funds available for distribution to investors or stockholders, agreements of those subsidiaries, the terms of our financing arrangements and the terms of any future financing arrangements of our subsidiaries.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Two of our directors continue to serve as a director on the Ensign board of directors, and ownership of shares of Ensign common stock or equity awards of Ensign by our directors and executive officers may create conflicts of interest or the appearance of conflicts of interest. </w:t>
      </w:r>
      <w:r>
        <w:rPr>
          <w:rFonts w:ascii="Times New Roman" w:cs="Times New Roman" w:eastAsia="Times New Roman" w:hAnsi="Times New Roman"/>
          <w:sz w:val="17"/>
          <w:szCs w:val="17"/>
          <w:color w:val="auto"/>
        </w:rPr>
        <w:t>Two of our directors continue to serve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the Ensign board of directors and a portion of our executive officers and non-employee directors own shares of Ensign common stock. This could create, or appear to create, potential conflicts of interest when our or Ensign’s management or directors face decisions that could have different implications for us and Ensign, including our existing long term leases, any commercial agreements entered into in the future between us and Ensign and the allocation of such directors’ time between us and Ensign.</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 Medicare overpayment audit of one of our independent operating subsidiaries could result in a material loss. </w:t>
      </w:r>
      <w:r>
        <w:rPr>
          <w:rFonts w:ascii="Times New Roman" w:cs="Times New Roman" w:eastAsia="Times New Roman" w:hAnsi="Times New Roman"/>
          <w:sz w:val="17"/>
          <w:szCs w:val="17"/>
          <w:color w:val="auto"/>
        </w:rPr>
        <w:t>From June 2021 to May 2022, a united program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integrity contractor (“UPIC”) for the Medicare program suspended one of our independent operating subsidiary’s rights to submit claims to and obtain reimbursement from Medicare for its hospice agency services. The suspension concluded in May 2022 and Medicare has resumed payment on new claims submitted by the agency. The payments suspended as of June 30, 2022 totaled $5.2 million and represented all Medicare payments due to that independent operating subsidiary’s provider number during the suspension. During the suspension, the UPIC reviewed 107 patient records from a 10-month period to determine whether a Medicare overpayment was made to this independent operating subsidiary and whether repayment of any identified overpayment is due. Based on the results of its claim review, the UPIC alleged actual overpayments of $0.4 million and extrapolated overpayments of $5.2 million based upon its sampled and extrapolated data. In September and October 2022, the Company submitted requests for redetermination of the alleged overpayments. The UPIC’s redetermination decision was partially favorable, reducing the alleged overpayment from $5.2 million to $1.9 million. The Company plans to continue to contest the UPIC’s initial overpayment determination for the claim samples redetermined adversely to the Company.</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suspension and overpayment allegation may increase the likelihood that this or other of our independent operating subsidiaries may be subjected to additional scrutiny in the future. A Medicare contractor may review patient records from one or more of our other independent operating subsidiaries, which may lead to those agencies having their Medicare payments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suspended, whether temporarily or on an indefinite or permanent basis, potentially leading to their closure and resulting adverse impacts on our revenues and profits.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Anti-takeover provisions in our organizational documents and Delaware law might discourage or delay acquisition attempts for us that you might consider favorable. </w:t>
      </w:r>
      <w:r>
        <w:rPr>
          <w:rFonts w:ascii="Times New Roman" w:cs="Times New Roman" w:eastAsia="Times New Roman" w:hAnsi="Times New Roman"/>
          <w:sz w:val="17"/>
          <w:szCs w:val="17"/>
          <w:color w:val="auto"/>
        </w:rPr>
        <w:t>Our amended and restated certificate of incorporation and amended and restated bylaws may make the merger or acquisition of our company more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difficult without the approval of our board of directors. Among other things, these provisions: allow us to 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 establish advance notice requirements for nominations for elections to our board or for proposing matters that can be acted upon by stockholders at stockholder meetings; create a classified board of directors whose members serve staggered three-year terms; and limit the ability of our stockholders to call and bring business before special meetings. Further, as a Delaware corporation, we are also subject to provisions of Delaware law, which may impair a takeover attempt that our stockholders may find beneficial. These provisions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our stockholders to elect directors of their choosing and to cause us to take other corporate actions desired.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COVID-19</w:t>
      </w:r>
    </w:p>
    <w:p>
      <w:pPr>
        <w:spacing w:after="0" w:line="2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COVID-19 has created new regulatory risks that impact our operations. </w:t>
      </w:r>
      <w:r>
        <w:rPr>
          <w:rFonts w:ascii="Times New Roman" w:cs="Times New Roman" w:eastAsia="Times New Roman" w:hAnsi="Times New Roman"/>
          <w:sz w:val="17"/>
          <w:szCs w:val="17"/>
          <w:color w:val="auto"/>
        </w:rPr>
        <w:t>COVID-19 generated dramatic and rapid changes in the laws affecting our operations,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the unwinding of pandemic-related activities may continue to affect our business in the foreseeable future. U.S. Federal, state, and local regulators implemented new laws, rules, regulations, and orders, or waived or modified existing laws, rules and regulations for the duration of the COVID-19 public health emergency (“PHE”). The PHE concluded on May 11, 2023, which required us to navigate the termination of federal and state waivers and flexibilities. The resumption of pre-COVID-19 regulatory requirements at the conclusion of the public health emergency may continue to require significant operational changes on short notice.</w:t>
      </w:r>
    </w:p>
    <w:p>
      <w:pPr>
        <w:spacing w:after="0" w:line="200" w:lineRule="exact"/>
        <w:rPr>
          <w:sz w:val="20"/>
          <w:szCs w:val="20"/>
          <w:color w:val="auto"/>
        </w:rPr>
      </w:pP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COVID-19 and related risks have affected and could materially affect our results of operations, financial position and/or liquidity. </w:t>
      </w:r>
      <w:r>
        <w:rPr>
          <w:rFonts w:ascii="Times New Roman" w:cs="Times New Roman" w:eastAsia="Times New Roman" w:hAnsi="Times New Roman"/>
          <w:sz w:val="17"/>
          <w:szCs w:val="17"/>
          <w:color w:val="auto"/>
        </w:rPr>
        <w:t>The global spread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COVID-19 and the various attempts to contain it created significant volatility, uncertainty and economic disruption, and we continue to see the after-effects of these changes today. Many of the direct and indirect consequences of COVID-19 on our business are now known; however, new developments in the wake of the PHE’s termination, as well as legacy consequences from the COVID-19 pandemic including COVID-19 variants, second-order effects such as inflation, consumer demand, and labor supply issues are ongoing. Similarly, not all the risks and consequences of the COVID-19 PHE’s termination and conclusion of emergency responses to COVID-19 in states and localities where we operate are not yet fully known, and may yet adversely affect our business in ways that are evolving or may only be evident with the passage of time. Risks presented by the effects of COVID-19 include the following:</w:t>
      </w:r>
    </w:p>
    <w:p>
      <w:pPr>
        <w:spacing w:after="0" w:line="200" w:lineRule="exact"/>
        <w:rPr>
          <w:sz w:val="20"/>
          <w:szCs w:val="20"/>
          <w:color w:val="auto"/>
        </w:rPr>
      </w:pPr>
    </w:p>
    <w:p>
      <w:pPr>
        <w:jc w:val="both"/>
        <w:ind w:left="620" w:hanging="307"/>
        <w:spacing w:after="0" w:line="27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caused by repeated waves of COVID-19 variants, including breakthrough infections of fully vaccinated individuals, poses a risk to the Company for the foreseeable future due to the potential consequences of such variants on Company personnel, labor pool participants, availability of necessary supplies, continued adverse impact on move-in rates within senior living, and consequences for the broader economy.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home health and hospice volumes and senior living occupancy, which may lead to decreased revenue.</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and staffing requirements related to implementation of COVID-19 infection prevention protocols, including increased utilization of personal protective equipment (“PPE”), COVID-19 diagnostic testing and vaccination for staff and residents, and additional labor and cleaning supplies to frequently sterilize equipment and surfaces.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labor costs due to increased overtime or premium pay, paid leave, reduced labor force participation, wage pressure from competitors, workers becoming ineligible for employment due to COVID-19 vaccination requirements, mandatory testing costs, reduction of the qualified workforce due to burnout and qualified personnel leaving the caregiving field, and the increased need for temporary labor to supplement our existing staffing as our front-line employees may become unable to work while awaiting the results of COVID-19 tests or as they recover from a COVID-19 infection.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scrutiny by regulators of visitation requirements, infection control and prevention measures, including imposition of new COVID-19 disease and mortality reporting requirements, and increased enforcement of resident rights’ violations related to visitation.</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supply chains which could negatively impact consistent and reliable delivery of PPE, sanitizing supplies, food, pharmaceuticals, and other goods.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COVID-19 related illnesses in staff may impact the quality of care, which could lead to temporary staffing shortages or reliance on less experienced personnel.</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concerns related to workplace safety, including potential for increase in workers’ compensation claims.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increase in insurance premiums and COVID-19 related claims.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Inconsistent application or interpretation of modifications to regulatory requirements by surveyors, including both COVID-19 survey standards and the resumption of pre-COVID-19 survey standards and practices.</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for continued inflation and price increases of certain goods or services resulting from changes in economic conditions and steps taken by the federal government and the Federal Reserve, which could lead to higher inflation rates or longer-lasting inflation than anticipated, which could in turn lead to an increase in expenses, including payroll, insurance, and rent expense under our triple net leases. All of the triple net leases in our senior living business contain annual rent escalators tied to year-over-year increases in various consumer price indices. While these leases contain provisions capping the increased rent expense each year, increased inflation could cause our rent expense in our senior living business to increase at a greater rate than in prior years.</w:t>
      </w:r>
    </w:p>
    <w:p>
      <w:pPr>
        <w:spacing w:after="0" w:line="70"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for future investigations, sanctions, fines, or other penalties arising from the conclusion of the COVID-19 PHE and the expiration of waivers and flexibilities enacted at the federal and state levels as a result of the PHE, and the need to update and amend policies and procedures to timely acknowledge the expiration of these waivers and flexibilities and meet new standards concerning visitation and infection control that arose from the COVID-19 PHE.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COVID-19 could lead to future litigation. </w:t>
      </w:r>
      <w:r>
        <w:rPr>
          <w:rFonts w:ascii="Times New Roman" w:cs="Times New Roman" w:eastAsia="Times New Roman" w:hAnsi="Times New Roman"/>
          <w:sz w:val="17"/>
          <w:szCs w:val="17"/>
          <w:color w:val="auto"/>
        </w:rPr>
        <w:t>COVID-19 has affected virtually all businesses in the country, and healthcare providers have been acutely impacted due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direct involvement with the virus. The challenges of dealing with a global pandemic have been amplified by supply shortages (including testing supplies) and evolving information. Healthcare companies, including those in the post-acute care and senior living industries in which we operate, may become targets of plaintiffs’ litigation, alleging negligence, wrongful death, and similar claims resulting from where cases of COVID-19 occurred in senior living communities and through the direct contact with COVID-19 positive patients of our home health and hospice providers. If we or our operations are subject to litigation of this nature based on pandemic-era activity, such litigation may result in legal fees, damages, fines or settlements in amounts that could be material.</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CMS and the states where we operate have rescinded, withdrawn, or discontinued their requirements for our employees to be vaccinated against COVID-19, we may face risk for monitoring and ensuring compliance with these mandates while they were in effect during 2022 and the applicable portions of 2023.</w:t>
      </w:r>
    </w:p>
    <w:p>
      <w:pPr>
        <w:spacing w:after="0" w:line="17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Company may be subject to fines, penalties or judgments, or may otherwise be negatively impacted, if it is found not to have complied with these vaccination requirements when they were in effect. These consequences may include fines, penalties, and other administrative sanctions. Current or prospective employees may oppose vaccination, and the prior existence of these federal, state, and local vaccination mandates may make it more difficult to recruit or retain staff.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health care provider, we regularly process and store patient and resident information. We are committed to the protection of the personal information of our and our independent operating subsidiaries’ patients, residents, and employees. We have robust security tools, practices, and policies in place to help ensure the confidentiality, integrity, and accessibility of the data with which we are entrusted.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of the numerous tools and processes that we use to assess, identify and manage material risks include, without limitation:</w:t>
      </w:r>
    </w:p>
    <w:p>
      <w:pPr>
        <w:spacing w:after="0" w:line="28"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Automated third-party tools to screen and block malicious content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Dedicated IT security staff who review threats in real time and escalate issues as needed</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 security tests and audits performed by internal and external parties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security training for all employees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Chief Information Officer (“CIO”), Bryant Saxon, oversees our cybersecurity program and dedicated security resources. Mr. Saxon has over 15 years of direct cybersecurity experience in Chief Information Officer and other key leadership roles in the healthcare industry. His experience includes HIPAA compliance, systems design, security audits, and incident response.</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Board of Directors is also committed to data security and is regularly updated by the CIO on cybersecurity and other relevant technology risks facing the Company. Each quarter, the Audit Committee receives an IT risk update from the CIO, and discusses emerging technology and cybersecurity risks. This risk update includes an overview and discussion of our cybersecurity and risk management programs. In addition, technology risk is a key component of our overall enterprise risk assessment, which is conducted annually and presented to the Board of Directors. Through these processes, the Board of Directors is apprised of, and given the opportunity to discuss at length, any meaningful cybersecurity risks we face. Directors Scott E. Lamb, Gregory K. Morris, and John G. Nackel, Ph.D. provide key oversight on cybersecurity matters. Our executive team is also briefed on any significant security risks during monthly leadership meetings.</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emphasize that everyone has a role to play in data security. All employees are provided with data security and privacy training upon hire and as part of annual refresher training. All employees are required to complete this training, and we also provide periodic updates and guidance related to cybersecurity. In addition, we regularly conduct phishing simulations or other tests to identify cyber threats.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To address and mitigate cybersecurity risks from third-party systems, the Company implements a stringent process that includes SOC 1 and SOC 2 compliance. These standards help ensure that our third-party vendors maintain appropriate security controls and processes. Additionally, we enter into Business Associate Agreements (BAAs) with relevant third-party vendors. These agreements are critical for reinforcing our cybersecurity framework, as they require vendors to maintain the confidentiality, integrity, and availability of protected health information according to our standards and federal regulations. Additionally, through third-party risk assessments, regular audits, and the enforcement of security requirements, we seek to ensure that all vendors adhere to our standards of data security and privacy. This layered security approach, incorporating both technical compliance and legal agreements, helps to create a defense against external cyber threats.</w:t>
      </w: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We did not experience any material cybersecurity incidents in 2023. Although we incur numerous costs in the ordinary course of business to address the risks and implement the policies described above, risks from cybersecurity threats did not materially affect our strategy, results of operations, or financial condition in 2023. Although we are deeply committed to cybersecurity, we cannot fully mitigate all technology risks. Cybersecurity threats, including data breaches, ransomware, and similar threats, could materially impact our future results in the future. For further discussion of how any risks from cybersecurity threats may materially affect the Company, including our business strategy, results of operations or financial condition, see Part 1,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which is incorporated by reference into this Part 1, Item 1C. </w:t>
      </w: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Center</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lease two office locations to accommodate our Service Center. We lease approximately 16,794 square feet of office space located at 1675 East Riverside Drive, Suite 150, Eagle, ID 83616, pursuant to a lease that expires March 31, 2025. Our principal executive offices are located at the Service Center in Eagle, Idaho. We have two options to extend our lease term at this location for an additional five-year term for each option. In addition, we currently lease 4,839 rentable square feet of office space located at 7440 South Creek Road, Suite 100, Sandy, Utah 84093, pursuant to a lease that expires January 31, 2026. We have one option to extend our lease term at this location for one additional five-year term.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Home Health and Hospice Agencies and Senior Living Communities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2023, we operated 111 home health, hospice and home care agencies in Arizona, California, Colorado, Idaho, Montana, Nevada, Oklahoma, Oregon, Texas, Utah, Washington, Wisconsin and Wyoming. Office space is leased within geographies served by our agencies.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2023, we operated 51 affiliated senior living communities in Arizona, California, Idaho, Nevada, Texas, and Wisconsin with 3,588 Senior Living units. We lease all of our communities, save one which we own, through long-term, triple-net lease arrangements.</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provides summary information regarding the locations of our home health and hospice agencies and our senior living communities and operational units as of December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100" w:type="dxa"/>
            <w:vAlign w:val="bottom"/>
          </w:tcPr>
          <w:p>
            <w:pPr>
              <w:spacing w:after="0"/>
              <w:rPr>
                <w:sz w:val="17"/>
                <w:szCs w:val="17"/>
                <w:color w:val="auto"/>
              </w:rPr>
            </w:pPr>
          </w:p>
        </w:tc>
        <w:tc>
          <w:tcPr>
            <w:tcW w:w="1300" w:type="dxa"/>
            <w:vAlign w:val="bottom"/>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rPr>
              <w:t>Home Health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Hospice Agencies</w:t>
            </w: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Senior Living</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Senior Living Units</w:t>
            </w:r>
          </w:p>
        </w:tc>
        <w:tc>
          <w:tcPr>
            <w:tcW w:w="0" w:type="dxa"/>
            <w:vAlign w:val="bottom"/>
          </w:tcPr>
          <w:p>
            <w:pPr>
              <w:spacing w:after="0"/>
              <w:rPr>
                <w:sz w:val="1"/>
                <w:szCs w:val="1"/>
                <w:color w:val="auto"/>
              </w:rPr>
            </w:pPr>
          </w:p>
        </w:tc>
      </w:tr>
      <w:tr>
        <w:trPr>
          <w:trHeight w:val="232"/>
        </w:trPr>
        <w:tc>
          <w:tcPr>
            <w:tcW w:w="4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rPr>
              <w:t>Agencies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Communities</w:t>
            </w: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Arizona</w:t>
            </w:r>
          </w:p>
        </w:tc>
        <w:tc>
          <w:tcPr>
            <w:tcW w:w="100" w:type="dxa"/>
            <w:vAlign w:val="bottom"/>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Idaho</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Oklahoma</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Oregon</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Utah</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Wisconsin</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Wyoming</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16,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to the Audited Consolidated Financial Statements for a description of claims and legal actions arising in the ordinary course of our business.</w:t>
      </w:r>
    </w:p>
    <w:p>
      <w:pPr>
        <w:spacing w:after="0" w:line="19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1" w:lineRule="exact"/>
        <w:rPr>
          <w:sz w:val="20"/>
          <w:szCs w:val="20"/>
          <w:color w:val="auto"/>
        </w:rPr>
      </w:pPr>
    </w:p>
    <w:p>
      <w:pPr>
        <w:ind w:right="2520"/>
        <w:spacing w:after="0" w:line="541" w:lineRule="auto"/>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w:t>
      </w:r>
      <w:r>
        <w:rPr>
          <w:rFonts w:ascii="Times New Roman" w:cs="Times New Roman" w:eastAsia="Times New Roman" w:hAnsi="Times New Roman"/>
          <w:sz w:val="17"/>
          <w:szCs w:val="17"/>
          <w:b w:val="1"/>
          <w:bCs w:val="1"/>
          <w:color w:val="auto"/>
        </w:rPr>
        <w:t xml:space="preserve"> Securities Market Information</w:t>
      </w:r>
    </w:p>
    <w:p>
      <w:pPr>
        <w:spacing w:after="0" w:line="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Common stock trades under the symbol “PNTG” on the NASDAQ Global Select Market. As of February 28, 2024, there are approximately 69 holders of record of our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do not intend to pay dividends on our common stock for the foreseeable future. Instead, we anticipate that all of our future earnings will be retained to support our operations and to finance the growth and development of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Repurchases of Equity Securities</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On December 12, 2022, the Board of the Directors of the Company approved a share repurchase program under which the Company could repurchase up to $1.0 million of its common stock. Under the share repurchase program, the Company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could repurchase shares from time to time through open market purchases, including through the use of trading plans intended to comply with Rule 10b5-1 under the Securities Exchange Act of 1934. The timing and total amount of stock repurchases was dependent upon business, economic and market conditions, corporate and regulatory requirements, prevailing stock prices, and other considerations. The authorization expired on December 12, 2023. No shares were repurchased during the year ended December 31, 2023 and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i w:val="1"/>
          <w:iCs w:val="1"/>
          <w:color w:val="auto"/>
        </w:rPr>
        <w:t>The following Stock Performance Graph and related information shall not be deemed “soliciting material” or “filed” with the SEC, nor should such information be incorporated by reference into any future filings under the Securities Act or the Exchange Act except to the extent that we specifically incorporate it by reference in such filing.</w:t>
      </w:r>
    </w:p>
    <w:p>
      <w:pPr>
        <w:spacing w:after="0" w:line="18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graph below compares the cumulative total stockholder return on our common stock, $0.001 par value per share, during the period from the date of the Spin-Off on October 1, 2019, through December 31, 2023, with the cumulative total return on the NASDAQ composite index and an industry peer group over the same period (assuming the investment of $100 in our common stock, the NASDAQ composite index and the industry peer group on October 1, 2019 and the reinvestment of dividends). The peer group we selected is comprised of: Amedysis, Inc. (“AMED”), Addus Homecare Corporation (“ADUS”), Chemed Corporation (“CHE”), Encompass Health Corporation (“EHC”), Sonida Senior Living Inc., formerly known as Capital Senior Living Corporation (“SNDA”), and Brookdale Senior Living, Inc. (“BKD”). The cumulative total stockholder return on the following graph is historical and is not necessarily indicative of future stock price performance. No cash dividends have been paid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135890</wp:posOffset>
            </wp:positionV>
            <wp:extent cx="5624195" cy="1735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4195" cy="173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10/1/2019</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12/2019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6/2020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12/2020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6/2021</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12/2021</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6/2022</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12/2022</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6/2023</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12/2023</w:t>
            </w:r>
          </w:p>
        </w:tc>
      </w:tr>
      <w:tr>
        <w:trPr>
          <w:trHeight w:val="212"/>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PNTG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19"/>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Peer Group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bl>
    <w:p>
      <w:pPr>
        <w:spacing w:after="0" w:line="6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[Reserved]</w:t>
      </w:r>
    </w:p>
    <w:p>
      <w:pPr>
        <w:spacing w:after="0" w:line="24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consolidated financial statements and accompanying notes, which appear elsewhere in this Annual Report. This discussion contains forward-looking statements that involve risks and uncertainties. Our actual results could differ materially from those anticipated in these forward-looking statements as a result of various factors, including those discussed below and elsewhere in this Annual Report. See Item 1A., Risk Factors and Cautionary Note Regarding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Montana, Nevada, Oklahoma, Oregon, Texas, Utah, Washington, Wisconsin and Wyoming. As of December 31, 2023, our home health and hospice business provided home health, hospice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home care services from 111 agencies operating across 13 states, and our senior living business operated 51 senior living communities throughout six states.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affiliated home health and hospice agencies and senior living communities as of:</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8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2014</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2015</w:t>
            </w:r>
          </w:p>
        </w:tc>
        <w:tc>
          <w:tcPr>
            <w:tcW w:w="10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2016</w:t>
            </w:r>
          </w:p>
        </w:tc>
        <w:tc>
          <w:tcPr>
            <w:tcW w:w="8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2017</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 agencies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9"/>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living communities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living units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r>
      <w:tr>
        <w:trPr>
          <w:trHeight w:val="168"/>
        </w:trPr>
        <w:tc>
          <w:tcPr>
            <w:tcW w:w="3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Total number of home health, hospice, and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2"/>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senior living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Activities</w:t>
      </w:r>
    </w:p>
    <w:p>
      <w:pPr>
        <w:spacing w:after="0" w:line="243"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Acquisitions. </w:t>
      </w:r>
      <w:r>
        <w:rPr>
          <w:rFonts w:ascii="Times New Roman" w:cs="Times New Roman" w:eastAsia="Times New Roman" w:hAnsi="Times New Roman"/>
          <w:sz w:val="17"/>
          <w:szCs w:val="17"/>
          <w:color w:val="auto"/>
        </w:rPr>
        <w:t>During 2023, we expanded our operations with the addition of three home health agencies, eight hospice agencies, two home care agencies,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two senior living communities. A subsidiary of the Company entered into a separate operations transfer agreement with the prior operator of each acquired operation as part of each transaction.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experienced modest senior living occupancy improvement through the year ended December 31, 2023, as a result of renewed consideration of senior living communities as a home-based care setting as the negative impacts of the global pandemic have subsided. Though we have seen steady improvements in occupancy throughout 2022 and 2023, the highly competitive environment for senior living residents and inflationary factors will continue to impact the rate at which we return our occupancy levels in our senior living communities to pre-pandemic levels.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two reportable segments: (1) home health and hospice services, which includes our home health, home care and hospice businesses; and (2) senior living services, which includes the operation of assisted living, independent living and memory care communities. Our Chief Executive Officer, who is our Chief Operating Decision Maker (“CODM”), reviews financial information at the operating segment level using segment adjusted EBITDAR from operations. We also report an “all other” category that includes general and administrative expense from our Service Center.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Performance Indicators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manage the fiscal aspects of our business by monitoring key performance indicators that affect our financial performance. These indicators and their definitions include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Home Health and Hospice Services</w:t>
      </w:r>
    </w:p>
    <w:p>
      <w:pPr>
        <w:spacing w:after="0" w:line="243" w:lineRule="exact"/>
        <w:rPr>
          <w:sz w:val="20"/>
          <w:szCs w:val="20"/>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Total home health admissions</w:t>
      </w:r>
      <w:r>
        <w:rPr>
          <w:rFonts w:ascii="Times New Roman" w:cs="Times New Roman" w:eastAsia="Times New Roman" w:hAnsi="Times New Roman"/>
          <w:sz w:val="17"/>
          <w:szCs w:val="17"/>
          <w:color w:val="auto"/>
        </w:rPr>
        <w:t>. The total admissions of home health patients, including new acquisitions, new admissions and readmissions.</w:t>
      </w:r>
    </w:p>
    <w:p>
      <w:pPr>
        <w:spacing w:after="0" w:line="113" w:lineRule="exact"/>
        <w:rPr>
          <w:rFonts w:ascii="Times New Roman" w:cs="Times New Roman" w:eastAsia="Times New Roman" w:hAnsi="Times New Roman"/>
          <w:sz w:val="17"/>
          <w:szCs w:val="17"/>
          <w:i w:val="1"/>
          <w:iCs w:val="1"/>
          <w:color w:val="auto"/>
        </w:rPr>
      </w:pPr>
    </w:p>
    <w:p>
      <w:pPr>
        <w:ind w:left="940" w:hanging="318"/>
        <w:spacing w:after="0" w:line="294" w:lineRule="auto"/>
        <w:tabs>
          <w:tab w:leader="none" w:pos="93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Total Medicare home health admissions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Total admissions of home health patients, who are receiving care under Medicare reimbursement programs,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new acquisitions, new admissions and readmissions.</w:t>
      </w:r>
    </w:p>
    <w:p>
      <w:pPr>
        <w:spacing w:after="0" w:line="36" w:lineRule="exact"/>
        <w:rPr>
          <w:rFonts w:ascii="Times New Roman" w:cs="Times New Roman" w:eastAsia="Times New Roman" w:hAnsi="Times New Roman"/>
          <w:sz w:val="17"/>
          <w:szCs w:val="17"/>
          <w:i w:val="1"/>
          <w:iCs w:val="1"/>
          <w:color w:val="auto"/>
        </w:rPr>
      </w:pPr>
    </w:p>
    <w:p>
      <w:pPr>
        <w:ind w:left="940" w:hanging="318"/>
        <w:spacing w:after="0" w:line="294" w:lineRule="auto"/>
        <w:tabs>
          <w:tab w:leader="none" w:pos="93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Average Medicare revenue per completed 60-day home health episode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average amount of revenue for each completed 60-day home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episode generated from patients who are receiving care under Medicare reimbursement programs.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Total hospice admissions</w:t>
      </w:r>
      <w:r>
        <w:rPr>
          <w:rFonts w:ascii="Times New Roman" w:cs="Times New Roman" w:eastAsia="Times New Roman" w:hAnsi="Times New Roman"/>
          <w:sz w:val="17"/>
          <w:szCs w:val="17"/>
          <w:color w:val="auto"/>
        </w:rPr>
        <w:t>. Total admissions of hospice patients, including new acquisitions, new admissions and recertifications.</w:t>
      </w:r>
    </w:p>
    <w:p>
      <w:pPr>
        <w:spacing w:after="0" w:line="113" w:lineRule="exact"/>
        <w:rPr>
          <w:rFonts w:ascii="Times New Roman" w:cs="Times New Roman" w:eastAsia="Times New Roman" w:hAnsi="Times New Roman"/>
          <w:sz w:val="17"/>
          <w:szCs w:val="17"/>
          <w:b w:val="1"/>
          <w:bCs w:val="1"/>
          <w:i w:val="1"/>
          <w:iCs w:val="1"/>
          <w:color w:val="auto"/>
        </w:rPr>
      </w:pPr>
    </w:p>
    <w:p>
      <w:pPr>
        <w:ind w:left="940" w:hanging="318"/>
        <w:spacing w:after="0" w:line="294" w:lineRule="auto"/>
        <w:tabs>
          <w:tab w:leader="none" w:pos="936" w:val="left"/>
        </w:tabs>
        <w:numPr>
          <w:ilvl w:val="0"/>
          <w:numId w:val="1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Average hospice daily census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average number of patients who are receiving hospice care during any measurement period divided by the number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days during such measurement period.</w:t>
      </w:r>
    </w:p>
    <w:p>
      <w:pPr>
        <w:spacing w:after="0" w:line="36" w:lineRule="exact"/>
        <w:rPr>
          <w:rFonts w:ascii="Times New Roman" w:cs="Times New Roman" w:eastAsia="Times New Roman" w:hAnsi="Times New Roman"/>
          <w:sz w:val="17"/>
          <w:szCs w:val="17"/>
          <w:b w:val="1"/>
          <w:bCs w:val="1"/>
          <w:i w:val="1"/>
          <w:iCs w:val="1"/>
          <w:color w:val="auto"/>
        </w:rPr>
      </w:pPr>
    </w:p>
    <w:p>
      <w:pPr>
        <w:ind w:left="940" w:hanging="318"/>
        <w:spacing w:after="0" w:line="294"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Hospice Medicare revenue per day</w:t>
      </w:r>
      <w:r>
        <w:rPr>
          <w:rFonts w:ascii="Times New Roman" w:cs="Times New Roman" w:eastAsia="Times New Roman" w:hAnsi="Times New Roman"/>
          <w:sz w:val="17"/>
          <w:szCs w:val="17"/>
          <w:color w:val="auto"/>
        </w:rPr>
        <w:t>. The average daily Medicare revenue recorded during any measurement period for services provided to hospice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patients.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overall home health and hospice services statistics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560" w:type="dxa"/>
            <w:vAlign w:val="bottom"/>
            <w:tcBorders>
              <w:bottom w:val="single" w:sz="8" w:color="auto"/>
            </w:tcBorders>
          </w:tcPr>
          <w:p>
            <w:pPr>
              <w:spacing w:after="0"/>
              <w:rPr>
                <w:sz w:val="19"/>
                <w:szCs w:val="19"/>
                <w:color w:val="auto"/>
              </w:rPr>
            </w:pPr>
          </w:p>
        </w:tc>
      </w:tr>
      <w:tr>
        <w:trPr>
          <w:trHeight w:val="212"/>
        </w:trPr>
        <w:tc>
          <w:tcPr>
            <w:tcW w:w="8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services: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9"/>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home health admissions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43,508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40,436</w:t>
            </w: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Medicare home health admissions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18,641</w:t>
            </w:r>
          </w:p>
        </w:tc>
      </w:tr>
      <w:tr>
        <w:trPr>
          <w:trHeight w:val="219"/>
        </w:trPr>
        <w:tc>
          <w:tcPr>
            <w:tcW w:w="8100" w:type="dxa"/>
            <w:vAlign w:val="bottom"/>
          </w:tcPr>
          <w:p>
            <w:pPr>
              <w:ind w:left="220"/>
              <w:spacing w:after="0" w:line="219" w:lineRule="exact"/>
              <w:rPr>
                <w:sz w:val="20"/>
                <w:szCs w:val="20"/>
                <w:color w:val="auto"/>
              </w:rPr>
            </w:pPr>
            <w:r>
              <w:rPr>
                <w:rFonts w:ascii="Times New Roman" w:cs="Times New Roman" w:eastAsia="Times New Roman" w:hAnsi="Times New Roman"/>
                <w:sz w:val="17"/>
                <w:szCs w:val="17"/>
                <w:color w:val="auto"/>
              </w:rPr>
              <w:t>Average Medicare revenue per completed 60-day home health episode</w:t>
            </w:r>
            <w:r>
              <w:rPr>
                <w:rFonts w:ascii="Times New Roman" w:cs="Times New Roman" w:eastAsia="Times New Roman" w:hAnsi="Times New Roman"/>
                <w:sz w:val="22"/>
                <w:szCs w:val="22"/>
                <w:color w:val="auto"/>
                <w:vertAlign w:val="superscript"/>
              </w:rPr>
              <w:t>(a)</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3,531</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Hospice services: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9"/>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hospice admissions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9,166</w:t>
            </w: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Average hospice daily census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Hospice Medicare revenue per day</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bl>
    <w:p>
      <w:pPr>
        <w:spacing w:after="0" w:line="105" w:lineRule="exact"/>
        <w:rPr>
          <w:sz w:val="20"/>
          <w:szCs w:val="20"/>
          <w:color w:val="auto"/>
        </w:rPr>
      </w:pPr>
    </w:p>
    <w:p>
      <w:pPr>
        <w:ind w:left="460" w:hanging="440"/>
        <w:spacing w:after="0"/>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to date average for Medicare revenue per 60-day completed episode includes post period claim adjustments for prior periods.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Living Services</w:t>
      </w:r>
    </w:p>
    <w:p>
      <w:pPr>
        <w:spacing w:after="0" w:line="243" w:lineRule="exact"/>
        <w:rPr>
          <w:sz w:val="20"/>
          <w:szCs w:val="20"/>
          <w:color w:val="auto"/>
        </w:rPr>
      </w:pPr>
    </w:p>
    <w:p>
      <w:pPr>
        <w:ind w:left="940" w:hanging="318"/>
        <w:spacing w:after="0" w:line="294"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Occupancy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ratio of actual number of days our units are occupied during any measurement period to the number of units available for occupancy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such measurement period.</w:t>
      </w:r>
    </w:p>
    <w:p>
      <w:pPr>
        <w:spacing w:after="0" w:line="36" w:lineRule="exact"/>
        <w:rPr>
          <w:rFonts w:ascii="Times New Roman" w:cs="Times New Roman" w:eastAsia="Times New Roman" w:hAnsi="Times New Roman"/>
          <w:sz w:val="17"/>
          <w:szCs w:val="17"/>
          <w:color w:val="auto"/>
        </w:rPr>
      </w:pPr>
    </w:p>
    <w:p>
      <w:pPr>
        <w:ind w:left="940" w:hanging="318"/>
        <w:spacing w:after="0" w:line="294"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Average monthly revenue per occupied unit</w:t>
      </w:r>
      <w:r>
        <w:rPr>
          <w:rFonts w:ascii="Times New Roman" w:cs="Times New Roman" w:eastAsia="Times New Roman" w:hAnsi="Times New Roman"/>
          <w:sz w:val="17"/>
          <w:szCs w:val="17"/>
          <w:color w:val="auto"/>
        </w:rPr>
        <w:t>. The revenue for senior living services during any measurement period divided by actual occupied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senior living units for such measurement period divided by the number of months for such measurement period.</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senior living statistics for the periods indicated:</w:t>
      </w:r>
    </w:p>
    <w:p>
      <w:pPr>
        <w:spacing w:after="0" w:line="278"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19685</wp:posOffset>
            </wp:positionV>
            <wp:extent cx="2145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17" w:lineRule="exact"/>
        <w:rPr>
          <w:sz w:val="20"/>
          <w:szCs w:val="20"/>
          <w:color w:val="auto"/>
        </w:rPr>
      </w:pPr>
    </w:p>
    <w:p>
      <w:pPr>
        <w:ind w:left="8520"/>
        <w:spacing w:after="0"/>
        <w:tabs>
          <w:tab w:leader="none" w:pos="10240" w:val="left"/>
        </w:tabs>
        <w:rPr>
          <w:sz w:val="20"/>
          <w:szCs w:val="20"/>
          <w:color w:val="auto"/>
        </w:rPr>
      </w:pPr>
      <w:r>
        <w:rPr>
          <w:rFonts w:ascii="Times New Roman" w:cs="Times New Roman" w:eastAsia="Times New Roman" w:hAnsi="Times New Roman"/>
          <w:sz w:val="17"/>
          <w:szCs w:val="17"/>
          <w:b w:val="1"/>
          <w:bCs w:val="1"/>
          <w:color w:val="auto"/>
        </w:rPr>
        <w:t>2023</w:t>
      </w:r>
      <w:r>
        <w:rPr>
          <w:sz w:val="20"/>
          <w:szCs w:val="20"/>
          <w:color w:val="auto"/>
        </w:rPr>
        <w:tab/>
      </w:r>
      <w:r>
        <w:rPr>
          <w:rFonts w:ascii="Times New Roman" w:cs="Times New Roman" w:eastAsia="Times New Roman" w:hAnsi="Times New Roman"/>
          <w:sz w:val="17"/>
          <w:szCs w:val="17"/>
          <w:b w:val="1"/>
          <w:bCs w:val="1"/>
          <w:color w:val="auto"/>
        </w:rPr>
        <w:t>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w:t>
            </w: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78.5 %</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75.7 %</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monthly revenue per occupied unit</w:t>
            </w: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3,969</w:t>
            </w:r>
          </w:p>
        </w:tc>
        <w:tc>
          <w:tcPr>
            <w:tcW w:w="10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3,516</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Sources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Home Health and Hospice Services</w:t>
      </w:r>
    </w:p>
    <w:p>
      <w:pPr>
        <w:spacing w:after="0" w:line="24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Home Health</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derive the majority of our home health revenue from Medicare and managed care. The Medicare payment is adjusted for differences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w:t>
      </w:r>
    </w:p>
    <w:p>
      <w:pPr>
        <w:spacing w:after="0" w:line="191"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Hospice. </w:t>
      </w:r>
      <w:r>
        <w:rPr>
          <w:rFonts w:ascii="Times New Roman" w:cs="Times New Roman" w:eastAsia="Times New Roman" w:hAnsi="Times New Roman"/>
          <w:sz w:val="17"/>
          <w:szCs w:val="17"/>
          <w:color w:val="auto"/>
        </w:rPr>
        <w:t>We derive the majority of our hospice business revenue from Medicare reimbursement. The estimated payment rates are calculated as daily rates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197" w:lineRule="exact"/>
        <w:rPr>
          <w:sz w:val="20"/>
          <w:szCs w:val="20"/>
          <w:color w:val="auto"/>
        </w:rPr>
      </w:pPr>
    </w:p>
    <w:p>
      <w:pPr>
        <w:ind w:left="620" w:hanging="307"/>
        <w:spacing w:after="0" w:line="224" w:lineRule="auto"/>
        <w:tabs>
          <w:tab w:leader="none" w:pos="61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b w:val="1"/>
          <w:bCs w:val="1"/>
          <w:i w:val="1"/>
          <w:iCs w:val="1"/>
          <w:color w:val="auto"/>
        </w:rPr>
        <w:t xml:space="preserve">Routine Home Care (“RHC”). </w:t>
      </w:r>
      <w:r>
        <w:rPr>
          <w:rFonts w:ascii="Times New Roman" w:cs="Times New Roman" w:eastAsia="Times New Roman" w:hAnsi="Times New Roman"/>
          <w:sz w:val="17"/>
          <w:szCs w:val="17"/>
          <w:color w:val="auto"/>
        </w:rPr>
        <w:t>Care that is not classified under any of the other levels of care, such as the work of nurses, social workers or home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aides.</w:t>
      </w:r>
    </w:p>
    <w:p>
      <w:pPr>
        <w:spacing w:after="0" w:line="69" w:lineRule="exact"/>
        <w:rPr>
          <w:rFonts w:ascii="Arial" w:cs="Arial" w:eastAsia="Arial" w:hAnsi="Arial"/>
          <w:sz w:val="21"/>
          <w:szCs w:val="21"/>
          <w:color w:val="auto"/>
        </w:rPr>
      </w:pPr>
    </w:p>
    <w:p>
      <w:pPr>
        <w:ind w:left="620" w:hanging="307"/>
        <w:spacing w:after="0" w:line="224" w:lineRule="auto"/>
        <w:tabs>
          <w:tab w:leader="none" w:pos="61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b w:val="1"/>
          <w:bCs w:val="1"/>
          <w:i w:val="1"/>
          <w:iCs w:val="1"/>
          <w:color w:val="auto"/>
        </w:rPr>
        <w:t xml:space="preserve">General Inpatient Care. </w:t>
      </w:r>
      <w:r>
        <w:rPr>
          <w:rFonts w:ascii="Times New Roman" w:cs="Times New Roman" w:eastAsia="Times New Roman" w:hAnsi="Times New Roman"/>
          <w:sz w:val="17"/>
          <w:szCs w:val="17"/>
          <w:color w:val="auto"/>
        </w:rPr>
        <w:t>Pain control or acute or chronic symptom management that cannot be managed in a setting other than an inpatient Medicare-certified facility, such as a hospital, skilled nursing facility or hospice inpatient facility.</w:t>
      </w:r>
    </w:p>
    <w:p>
      <w:pPr>
        <w:spacing w:after="0" w:line="82" w:lineRule="exact"/>
        <w:rPr>
          <w:rFonts w:ascii="Arial" w:cs="Arial" w:eastAsia="Arial" w:hAnsi="Arial"/>
          <w:sz w:val="21"/>
          <w:szCs w:val="21"/>
          <w:color w:val="auto"/>
        </w:rPr>
      </w:pPr>
    </w:p>
    <w:p>
      <w:pPr>
        <w:ind w:left="620" w:hanging="307"/>
        <w:spacing w:after="0" w:line="224" w:lineRule="auto"/>
        <w:tabs>
          <w:tab w:leader="none" w:pos="61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b w:val="1"/>
          <w:bCs w:val="1"/>
          <w:i w:val="1"/>
          <w:iCs w:val="1"/>
          <w:color w:val="auto"/>
        </w:rPr>
        <w:t xml:space="preserve">Continuous Home Care. </w:t>
      </w:r>
      <w:r>
        <w:rPr>
          <w:rFonts w:ascii="Times New Roman" w:cs="Times New Roman" w:eastAsia="Times New Roman" w:hAnsi="Times New Roman"/>
          <w:sz w:val="17"/>
          <w:szCs w:val="17"/>
          <w:color w:val="auto"/>
        </w:rPr>
        <w:t>Care for patients experiencing a medical crisis that requires nursing services to achieve palliation and symptom control, if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agency provides a minimum of eight hours of care within a 24-hour period.</w:t>
      </w:r>
    </w:p>
    <w:p>
      <w:pPr>
        <w:spacing w:after="0" w:line="56" w:lineRule="exact"/>
        <w:rPr>
          <w:rFonts w:ascii="Arial" w:cs="Arial" w:eastAsia="Arial" w:hAnsi="Arial"/>
          <w:sz w:val="21"/>
          <w:szCs w:val="21"/>
          <w:color w:val="auto"/>
        </w:rPr>
      </w:pPr>
    </w:p>
    <w:p>
      <w:pPr>
        <w:ind w:left="620" w:hanging="307"/>
        <w:spacing w:after="0"/>
        <w:tabs>
          <w:tab w:leader="none" w:pos="62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b w:val="1"/>
          <w:bCs w:val="1"/>
          <w:i w:val="1"/>
          <w:iCs w:val="1"/>
          <w:color w:val="auto"/>
        </w:rPr>
        <w:t xml:space="preserve">Inpatient Respite Care. </w:t>
      </w:r>
      <w:r>
        <w:rPr>
          <w:rFonts w:ascii="Times New Roman" w:cs="Times New Roman" w:eastAsia="Times New Roman" w:hAnsi="Times New Roman"/>
          <w:sz w:val="17"/>
          <w:szCs w:val="17"/>
          <w:color w:val="auto"/>
        </w:rPr>
        <w:t>Short-term, inpatient care to give temporary relief to the caregiver who regularly provides care to the patient.</w:t>
      </w:r>
    </w:p>
    <w:p>
      <w:pPr>
        <w:spacing w:after="0" w:line="3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CMS has established a two-tiered payment system for RHC. Hospices are reimbursed at a higher rate for RHC services provided from days of service 1 through 60 and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w:t>
      </w:r>
    </w:p>
    <w:p>
      <w:pPr>
        <w:spacing w:after="0" w:line="185"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Senior Living Services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Within our senior living operations, we generate revenue primarily from private pay sources, with a portion earned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Medicaid or other state-specific programs.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Primary Components of Expense</w:t>
      </w:r>
    </w:p>
    <w:p>
      <w:pPr>
        <w:spacing w:after="0" w:line="24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Cost of Services (excluding rent, general and administrative expense and depreciation and amortization)</w:t>
      </w:r>
      <w:r>
        <w:rPr>
          <w:rFonts w:ascii="Times New Roman" w:cs="Times New Roman" w:eastAsia="Times New Roman" w:hAnsi="Times New Roman"/>
          <w:sz w:val="17"/>
          <w:szCs w:val="17"/>
          <w:color w:val="auto"/>
        </w:rPr>
        <w:t>. Our cost of services represents the costs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operating our independent operating subsidiaries, which primarily consists of employee wages and related benefits, share-based compensation, supplies, purchased services, and ancillary expenses such as the cost of pharmacy and therapy services provided to patients or residents. Cost of services also includes the cost of general and professional liability insurance and other general cost of services specifically attributable to our operations.</w:t>
      </w:r>
    </w:p>
    <w:p>
      <w:pPr>
        <w:spacing w:after="0" w:line="161"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Rent—Cost of Services</w:t>
      </w:r>
      <w:r>
        <w:rPr>
          <w:rFonts w:ascii="Times New Roman" w:cs="Times New Roman" w:eastAsia="Times New Roman" w:hAnsi="Times New Roman"/>
          <w:sz w:val="17"/>
          <w:szCs w:val="17"/>
          <w:color w:val="auto"/>
        </w:rPr>
        <w:t>. Rent—cost of services consists solely of base minimum rent amounts payable under lease agreements to our landlords.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subsidiaries lease and operate but do not own the underlying real estate at our operations, and these amounts do not include taxes, insurance, impounds, capital reserves or other charges payable under the applicable lease agreements, which are included in cost of services and general and administrative expense.</w:t>
      </w:r>
    </w:p>
    <w:p>
      <w:pPr>
        <w:spacing w:after="0" w:line="18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w:t>
      </w:r>
      <w:r>
        <w:rPr>
          <w:rFonts w:ascii="Times New Roman" w:cs="Times New Roman" w:eastAsia="Times New Roman" w:hAnsi="Times New Roman"/>
          <w:sz w:val="17"/>
          <w:szCs w:val="17"/>
          <w:color w:val="auto"/>
        </w:rPr>
        <w:t>. General and administrative expense consists primarily of payroll and related benefits and travel expenses for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 Center personnel in providing training and other operational support. General and administrative expense also includes professional fees (such as accounting and legal fees), costs relating to our information systems, share-based compensation and rent for our Service Center offices.</w:t>
      </w:r>
    </w:p>
    <w:p>
      <w:pPr>
        <w:spacing w:after="0" w:line="158"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r>
        <w:rPr>
          <w:rFonts w:ascii="Times New Roman" w:cs="Times New Roman" w:eastAsia="Times New Roman" w:hAnsi="Times New Roman"/>
          <w:sz w:val="17"/>
          <w:szCs w:val="17"/>
          <w:color w:val="auto"/>
        </w:rPr>
        <w:t>. Property and equipment are initially recorded at their historical cost. Depreciation is computed using the straight-line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method over the estimated useful lives of the depreciable assets (ranging from one to 40 years). Leasehold improvements are amortized on a straight-line basis over the shorter of their estimated useful lives or the remaining lease term.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Our discussion and analysis of our financial condition and results of operations are based on our consolidated financial statements, which have been prepared in accordance with U.S. generally accepted accounting principles (“GAAP”). The preparation of these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periods. On an ongoing basis we review our judgments and estimates, including but not limited to those related to self-insurance reserves, revenue, and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 w:cs="Times New Roman" w:eastAsia="Times New Roman" w:hAnsi="Times New Roman"/>
          <w:sz w:val="17"/>
          <w:szCs w:val="17"/>
          <w:i w:val="1"/>
          <w:iCs w:val="1"/>
          <w:color w:val="auto"/>
        </w:rPr>
        <w:t>Basis of Presentation and Summary of Significant Accounting Policies</w:t>
      </w:r>
      <w:r>
        <w:rPr>
          <w:rFonts w:ascii="Times New Roman" w:cs="Times New Roman" w:eastAsia="Times New Roman" w:hAnsi="Times New Roman"/>
          <w:sz w:val="17"/>
          <w:szCs w:val="17"/>
          <w:color w:val="auto"/>
        </w:rPr>
        <w:t>, within the Consolidated Financial Statements for further information on our critical accounting estimates and policies, which are as follows:</w:t>
      </w:r>
    </w:p>
    <w:p>
      <w:pPr>
        <w:spacing w:after="0" w:line="195" w:lineRule="exact"/>
        <w:rPr>
          <w:sz w:val="20"/>
          <w:szCs w:val="20"/>
          <w:color w:val="auto"/>
        </w:rPr>
      </w:pPr>
    </w:p>
    <w:p>
      <w:pPr>
        <w:ind w:left="620" w:hanging="307"/>
        <w:spacing w:after="0" w:line="29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Self-insurance reserves </w:t>
      </w:r>
      <w:r>
        <w:rPr>
          <w:rFonts w:ascii="Times New Roman" w:cs="Times New Roman" w:eastAsia="Times New Roman" w:hAnsi="Times New Roman"/>
          <w:sz w:val="17"/>
          <w:szCs w:val="17"/>
          <w:color w:val="auto"/>
        </w:rPr>
        <w:t>- The valuation methods and assumptions used in estimating costs up to retention amounts to settle open claims of insureds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 estimate of the cost of insured claims up to retention amounts that have been incurred but not reported;</w:t>
      </w:r>
    </w:p>
    <w:p>
      <w:pPr>
        <w:spacing w:after="0" w:line="36"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1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 The amounts owed by private pay individuals for services and estimate of variable considerations to arrive at the transaction price,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methods and assumptions, used to determine settlements with Medicare and Medicaid adjustments due to audits and reviews; and</w:t>
      </w:r>
    </w:p>
    <w:p>
      <w:pPr>
        <w:spacing w:after="0" w:line="36" w:lineRule="exact"/>
        <w:rPr>
          <w:rFonts w:ascii="Times New Roman" w:cs="Times New Roman" w:eastAsia="Times New Roman" w:hAnsi="Times New Roman"/>
          <w:sz w:val="17"/>
          <w:szCs w:val="17"/>
          <w:b w:val="1"/>
          <w:bCs w:val="1"/>
          <w:i w:val="1"/>
          <w:iCs w:val="1"/>
          <w:color w:val="auto"/>
        </w:rPr>
      </w:pPr>
    </w:p>
    <w:p>
      <w:pPr>
        <w:jc w:val="both"/>
        <w:ind w:left="620" w:hanging="307"/>
        <w:spacing w:after="0" w:line="27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Acquisition accounting and goodwill </w:t>
      </w:r>
      <w:r>
        <w:rPr>
          <w:rFonts w:ascii="Times New Roman" w:cs="Times New Roman" w:eastAsia="Times New Roman" w:hAnsi="Times New Roman"/>
          <w:sz w:val="17"/>
          <w:szCs w:val="17"/>
          <w:color w:val="auto"/>
        </w:rPr>
        <w:t>- The assumptions used to allocate the purchase price paid for assets acquired and liabilities assumed in connection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our acquisitions, and the review of goodwill for impairment at the Company’s annual impairment test date or upon the occurrence of a triggering event.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3" w:lineRule="exact"/>
        <w:rPr>
          <w:sz w:val="20"/>
          <w:szCs w:val="20"/>
          <w:color w:val="auto"/>
        </w:rPr>
      </w:pPr>
    </w:p>
    <w:p>
      <w:pPr>
        <w:ind w:firstLine="223"/>
        <w:spacing w:after="0" w:line="292" w:lineRule="auto"/>
        <w:rPr>
          <w:sz w:val="20"/>
          <w:szCs w:val="20"/>
          <w:color w:val="auto"/>
        </w:rPr>
      </w:pPr>
      <w:r>
        <w:rPr>
          <w:rFonts w:ascii="Times New Roman" w:cs="Times New Roman" w:eastAsia="Times New Roman" w:hAnsi="Times New Roman"/>
          <w:sz w:val="17"/>
          <w:szCs w:val="17"/>
          <w:color w:val="auto"/>
        </w:rPr>
        <w:t xml:space="preserve">Information concerning recently issued accounting pronouncements which are not yet effective is included in Note 2, </w:t>
      </w:r>
      <w:r>
        <w:rPr>
          <w:rFonts w:ascii="Times New Roman" w:cs="Times New Roman" w:eastAsia="Times New Roman" w:hAnsi="Times New Roman"/>
          <w:sz w:val="17"/>
          <w:szCs w:val="17"/>
          <w:i w:val="1"/>
          <w:iCs w:val="1"/>
          <w:color w:val="auto"/>
        </w:rPr>
        <w:t>Basis of Presentation and 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Significant Accounting Policies </w:t>
      </w:r>
      <w:r>
        <w:rPr>
          <w:rFonts w:ascii="Times New Roman" w:cs="Times New Roman" w:eastAsia="Times New Roman" w:hAnsi="Times New Roman"/>
          <w:sz w:val="17"/>
          <w:szCs w:val="17"/>
          <w:color w:val="auto"/>
        </w:rPr>
        <w:t>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details of our expenses and earnings as a percentage of total revenue for the periods indicated: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40" w:type="dxa"/>
            <w:vAlign w:val="bottom"/>
          </w:tcPr>
          <w:p>
            <w:pPr>
              <w:spacing w:after="0"/>
              <w:rPr>
                <w:sz w:val="19"/>
                <w:szCs w:val="19"/>
                <w:color w:val="auto"/>
              </w:rPr>
            </w:pPr>
          </w:p>
        </w:tc>
        <w:tc>
          <w:tcPr>
            <w:tcW w:w="322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r>
      <w:tr>
        <w:trPr>
          <w:trHeight w:val="212"/>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7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services</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79.7</w:t>
            </w:r>
          </w:p>
        </w:tc>
      </w:tr>
      <w:tr>
        <w:trPr>
          <w:trHeight w:val="21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Rent—cost of services</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9.3</w:t>
            </w:r>
          </w:p>
        </w:tc>
      </w:tr>
      <w:tr>
        <w:trPr>
          <w:trHeight w:val="219"/>
        </w:trPr>
        <w:tc>
          <w:tcPr>
            <w:tcW w:w="7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8.2</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7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asset dispositions and impairment, net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0.6</w:t>
            </w:r>
          </w:p>
        </w:tc>
      </w:tr>
      <w:tr>
        <w:trPr>
          <w:trHeight w:val="212"/>
        </w:trPr>
        <w:tc>
          <w:tcPr>
            <w:tcW w:w="70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expenses</w:t>
            </w:r>
          </w:p>
        </w:tc>
        <w:tc>
          <w:tcPr>
            <w:tcW w:w="13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95.3</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97.3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98.9</w:t>
            </w: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7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income</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78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expense, net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(0.5)</w:t>
            </w:r>
          </w:p>
        </w:tc>
      </w:tr>
      <w:tr>
        <w:trPr>
          <w:trHeight w:val="212"/>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(0.5)</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r>
      <w:tr>
        <w:trPr>
          <w:trHeight w:val="212"/>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r>
      <w:tr>
        <w:trPr>
          <w:trHeight w:val="237"/>
        </w:trPr>
        <w:tc>
          <w:tcPr>
            <w:tcW w:w="7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attributable to Pennant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r>
      <w:tr>
        <w:trPr>
          <w:trHeight w:val="212"/>
        </w:trPr>
        <w:tc>
          <w:tcPr>
            <w:tcW w:w="4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4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GAAP Financial Measures:</w:t>
            </w:r>
          </w:p>
        </w:tc>
        <w:tc>
          <w:tcPr>
            <w:tcW w:w="3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3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473,241</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439,694</w:t>
            </w: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3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460,502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434,999</w:t>
            </w: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6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12,739</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4,695</w:t>
            </w:r>
          </w:p>
        </w:tc>
      </w:tr>
      <w:tr>
        <w:trPr>
          <w:trHeight w:val="1041"/>
        </w:trPr>
        <w:tc>
          <w:tcPr>
            <w:tcW w:w="4300" w:type="dxa"/>
            <w:vAlign w:val="bottom"/>
          </w:tcPr>
          <w:p>
            <w:pPr>
              <w:spacing w:after="0"/>
              <w:rPr>
                <w:sz w:val="24"/>
                <w:szCs w:val="24"/>
                <w:color w:val="auto"/>
              </w:rPr>
            </w:pPr>
          </w:p>
        </w:tc>
        <w:tc>
          <w:tcPr>
            <w:tcW w:w="3060" w:type="dxa"/>
            <w:vAlign w:val="bottom"/>
          </w:tcPr>
          <w:p>
            <w:pPr>
              <w:jc w:val="right"/>
              <w:ind w:right="1574"/>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8"/>
        </w:trPr>
        <w:tc>
          <w:tcPr>
            <w:tcW w:w="430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certain financial information regarding our reportable segments. General and administrative expenses are not allocated to the reportable segments and are included in “All Other”: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9"/>
              </w:rPr>
              <w:t>Home Health and</w:t>
            </w:r>
          </w:p>
        </w:tc>
        <w:tc>
          <w:tcPr>
            <w:tcW w:w="260" w:type="dxa"/>
            <w:vAlign w:val="bottom"/>
          </w:tcPr>
          <w:p>
            <w:pPr>
              <w:spacing w:after="0"/>
              <w:rPr>
                <w:sz w:val="17"/>
                <w:szCs w:val="17"/>
                <w:color w:val="auto"/>
              </w:rPr>
            </w:pPr>
          </w:p>
        </w:tc>
        <w:tc>
          <w:tcPr>
            <w:tcW w:w="13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Senior Living</w:t>
            </w:r>
          </w:p>
        </w:tc>
        <w:tc>
          <w:tcPr>
            <w:tcW w:w="340" w:type="dxa"/>
            <w:vAlign w:val="bottom"/>
          </w:tcPr>
          <w:p>
            <w:pPr>
              <w:spacing w:after="0"/>
              <w:rPr>
                <w:sz w:val="17"/>
                <w:szCs w:val="17"/>
                <w:color w:val="auto"/>
              </w:rPr>
            </w:pPr>
          </w:p>
        </w:tc>
        <w:tc>
          <w:tcPr>
            <w:tcW w:w="132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400" w:type="dxa"/>
            <w:vAlign w:val="bottom"/>
          </w:tcPr>
          <w:p>
            <w:pPr>
              <w:spacing w:after="0"/>
              <w:rPr>
                <w:sz w:val="17"/>
                <w:szCs w:val="17"/>
                <w:color w:val="auto"/>
              </w:rPr>
            </w:pPr>
          </w:p>
        </w:tc>
        <w:tc>
          <w:tcPr>
            <w:tcW w:w="1180" w:type="dxa"/>
            <w:vAlign w:val="bottom"/>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3"/>
          </w:tcPr>
          <w:p>
            <w:pPr>
              <w:jc w:val="right"/>
              <w:ind w:right="99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394,464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150,427</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65,606</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45,294</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(31,704)</w:t>
            </w:r>
          </w:p>
        </w:tc>
        <w:tc>
          <w:tcPr>
            <w:tcW w:w="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79,196</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342,249</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130,992</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473,241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37,563</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(31,435)</w:t>
            </w:r>
          </w:p>
        </w:tc>
        <w:tc>
          <w:tcPr>
            <w:tcW w:w="4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67,955</w:t>
            </w: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309,570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130,124</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439,694</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55,565</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37,517</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(26,208)</w:t>
            </w:r>
          </w:p>
        </w:tc>
        <w:tc>
          <w:tcPr>
            <w:tcW w:w="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66,874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provides a reconciliation of Segment Adjusted EBITDAR from Operations above to income from operations: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2"/>
        </w:trPr>
        <w:tc>
          <w:tcPr>
            <w:tcW w:w="4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Segment Adjusted EBITDAR from Operations</w:t>
            </w:r>
            <w:r>
              <w:rPr>
                <w:rFonts w:ascii="Times New Roman" w:cs="Times New Roman" w:eastAsia="Times New Roman" w:hAnsi="Times New Roman"/>
                <w:sz w:val="22"/>
                <w:szCs w:val="22"/>
                <w:color w:val="auto"/>
                <w:vertAlign w:val="superscript"/>
              </w:rPr>
              <w:t>(a)</w:t>
            </w:r>
          </w:p>
        </w:tc>
        <w:tc>
          <w:tcPr>
            <w:tcW w:w="27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66,874</w:t>
            </w: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Depreciation and amortization</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4,784</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Rent—cost of services</w:t>
            </w: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40,863</w:t>
            </w:r>
          </w:p>
        </w:tc>
        <w:tc>
          <w:tcPr>
            <w:tcW w:w="0" w:type="dxa"/>
            <w:vAlign w:val="bottom"/>
          </w:tcPr>
          <w:p>
            <w:pPr>
              <w:spacing w:after="0"/>
              <w:rPr>
                <w:sz w:val="1"/>
                <w:szCs w:val="1"/>
                <w:color w:val="auto"/>
              </w:rPr>
            </w:pPr>
          </w:p>
        </w:tc>
      </w:tr>
      <w:tr>
        <w:trPr>
          <w:trHeight w:val="219"/>
        </w:trPr>
        <w:tc>
          <w:tcPr>
            <w:tcW w:w="4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(expense) income</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Segment EBITDAR from Operations:</w:t>
            </w: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Less: Costs at start-up operations</w:t>
            </w:r>
            <w:r>
              <w:rPr>
                <w:rFonts w:ascii="Times New Roman" w:cs="Times New Roman" w:eastAsia="Times New Roman" w:hAnsi="Times New Roman"/>
                <w:sz w:val="22"/>
                <w:szCs w:val="22"/>
                <w:color w:val="auto"/>
                <w:vertAlign w:val="superscript"/>
              </w:rPr>
              <w:t>(b)</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Share-based compensation expense</w:t>
            </w:r>
            <w:r>
              <w:rPr>
                <w:rFonts w:ascii="Times New Roman" w:cs="Times New Roman" w:eastAsia="Times New Roman" w:hAnsi="Times New Roman"/>
                <w:sz w:val="22"/>
                <w:szCs w:val="22"/>
                <w:color w:val="auto"/>
                <w:vertAlign w:val="superscript"/>
              </w:rPr>
              <w:t>(c)</w:t>
            </w: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10,040</w:t>
            </w:r>
          </w:p>
        </w:tc>
        <w:tc>
          <w:tcPr>
            <w:tcW w:w="0" w:type="dxa"/>
            <w:vAlign w:val="bottom"/>
          </w:tcPr>
          <w:p>
            <w:pPr>
              <w:spacing w:after="0"/>
              <w:rPr>
                <w:sz w:val="1"/>
                <w:szCs w:val="1"/>
                <w:color w:val="auto"/>
              </w:rPr>
            </w:pPr>
          </w:p>
        </w:tc>
      </w:tr>
      <w:tr>
        <w:trPr>
          <w:trHeight w:val="219"/>
        </w:trPr>
        <w:tc>
          <w:tcPr>
            <w:tcW w:w="488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Acquisition related costs and credit allowances</w:t>
            </w:r>
            <w:r>
              <w:rPr>
                <w:rFonts w:ascii="Times New Roman" w:cs="Times New Roman" w:eastAsia="Times New Roman" w:hAnsi="Times New Roman"/>
                <w:sz w:val="22"/>
                <w:szCs w:val="22"/>
                <w:color w:val="auto"/>
                <w:vertAlign w:val="superscript"/>
              </w:rPr>
              <w:t>(d)</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Transition services costs</w:t>
            </w:r>
            <w:r>
              <w:rPr>
                <w:rFonts w:ascii="Times New Roman" w:cs="Times New Roman" w:eastAsia="Times New Roman" w:hAnsi="Times New Roman"/>
                <w:sz w:val="22"/>
                <w:szCs w:val="22"/>
                <w:color w:val="auto"/>
                <w:vertAlign w:val="superscript"/>
              </w:rPr>
              <w:t>(e)</w:t>
            </w: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0" w:type="dxa"/>
            <w:vAlign w:val="bottom"/>
          </w:tcPr>
          <w:p>
            <w:pPr>
              <w:spacing w:after="0"/>
              <w:rPr>
                <w:sz w:val="1"/>
                <w:szCs w:val="1"/>
                <w:color w:val="auto"/>
              </w:rPr>
            </w:pPr>
          </w:p>
        </w:tc>
      </w:tr>
      <w:tr>
        <w:trPr>
          <w:trHeight w:val="219"/>
        </w:trPr>
        <w:tc>
          <w:tcPr>
            <w:tcW w:w="488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Costs associated with transitioning operations</w:t>
            </w:r>
            <w:r>
              <w:rPr>
                <w:rFonts w:ascii="Times New Roman" w:cs="Times New Roman" w:eastAsia="Times New Roman" w:hAnsi="Times New Roman"/>
                <w:sz w:val="22"/>
                <w:szCs w:val="22"/>
                <w:color w:val="auto"/>
                <w:vertAlign w:val="superscript"/>
              </w:rPr>
              <w:t>(f)</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2,835</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Unusual or non-recurring charges</w:t>
            </w:r>
            <w:r>
              <w:rPr>
                <w:rFonts w:ascii="Times New Roman" w:cs="Times New Roman" w:eastAsia="Times New Roman" w:hAnsi="Times New Roman"/>
                <w:sz w:val="22"/>
                <w:szCs w:val="22"/>
                <w:color w:val="auto"/>
                <w:vertAlign w:val="superscript"/>
              </w:rPr>
              <w:t>(g)</w:t>
            </w: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Add: Net income (loss) attributable to noncontrolling interest</w:t>
            </w:r>
          </w:p>
        </w:tc>
        <w:tc>
          <w:tcPr>
            <w:tcW w:w="2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1534"/>
              <w:spacing w:after="0"/>
              <w:rPr>
                <w:sz w:val="20"/>
                <w:szCs w:val="20"/>
                <w:color w:val="auto"/>
              </w:rPr>
            </w:pPr>
            <w:r>
              <w:rPr>
                <w:rFonts w:ascii="Times New Roman" w:cs="Times New Roman" w:eastAsia="Times New Roman" w:hAnsi="Times New Roman"/>
                <w:sz w:val="17"/>
                <w:szCs w:val="17"/>
                <w:color w:val="auto"/>
              </w:rPr>
              <w:t>36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8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ind w:left="460" w:right="180" w:hanging="440"/>
        <w:spacing w:after="0" w:line="214"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Adjusted EBITDAR from Operations is net income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expense, (3) acquisition related costs and credit allowances, (4) transition services costs, (5) costs associated with transitioning operations, (6) unusual, non-recurring or redundant charges, and (7) net income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15"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32" w:lineRule="exact"/>
        <w:rPr>
          <w:rFonts w:ascii="Times New Roman" w:cs="Times New Roman" w:eastAsia="Times New Roman" w:hAnsi="Times New Roman"/>
          <w:sz w:val="14"/>
          <w:szCs w:val="14"/>
          <w:color w:val="auto"/>
        </w:rPr>
      </w:pPr>
    </w:p>
    <w:p>
      <w:pPr>
        <w:ind w:left="460" w:right="200" w:hanging="440"/>
        <w:spacing w:after="0" w:line="238"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including the impact of the modification of certain restricted stock units described below in Note 12, Options and Awards, to the Consolidated Financial Statements. Share-based compensation expense and related payroll taxes are included in cost of services and general and administrative expense.</w:t>
      </w:r>
    </w:p>
    <w:p>
      <w:pPr>
        <w:spacing w:after="0" w:line="3"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and credit allowances for amounts in dispute with the prior owners of certain acquired operations.</w:t>
      </w:r>
    </w:p>
    <w:p>
      <w:pPr>
        <w:spacing w:after="0" w:line="32" w:lineRule="exact"/>
        <w:rPr>
          <w:rFonts w:ascii="Times New Roman" w:cs="Times New Roman" w:eastAsia="Times New Roman" w:hAnsi="Times New Roman"/>
          <w:sz w:val="14"/>
          <w:szCs w:val="14"/>
          <w:color w:val="auto"/>
        </w:rPr>
      </w:pPr>
    </w:p>
    <w:p>
      <w:pPr>
        <w:jc w:val="both"/>
        <w:ind w:left="460" w:right="200" w:hanging="440"/>
        <w:spacing w:after="0" w:line="223"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$1,035, $1,561, and $3,124 for the year ended December 31, 2023, 2022 and 2021, respectively.</w:t>
      </w:r>
    </w:p>
    <w:p>
      <w:pPr>
        <w:spacing w:after="0" w:line="15" w:lineRule="exact"/>
        <w:rPr>
          <w:rFonts w:ascii="Times New Roman" w:cs="Times New Roman" w:eastAsia="Times New Roman" w:hAnsi="Times New Roman"/>
          <w:sz w:val="14"/>
          <w:szCs w:val="14"/>
          <w:color w:val="auto"/>
        </w:rPr>
      </w:pPr>
    </w:p>
    <w:p>
      <w:pPr>
        <w:jc w:val="both"/>
        <w:ind w:left="460" w:right="200" w:hanging="440"/>
        <w:spacing w:after="0" w:line="223"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w:t>
      </w:r>
    </w:p>
    <w:p>
      <w:pPr>
        <w:spacing w:after="0" w:line="92" w:lineRule="exact"/>
        <w:rPr>
          <w:rFonts w:ascii="Times New Roman" w:cs="Times New Roman" w:eastAsia="Times New Roman" w:hAnsi="Times New Roman"/>
          <w:sz w:val="14"/>
          <w:szCs w:val="14"/>
          <w:color w:val="auto"/>
        </w:rPr>
      </w:pPr>
    </w:p>
    <w:p>
      <w:pPr>
        <w:jc w:val="both"/>
        <w:ind w:left="460" w:right="180"/>
        <w:spacing w:after="0" w:line="22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p>
      <w:pPr>
        <w:spacing w:after="0" w:line="15" w:lineRule="exact"/>
        <w:rPr>
          <w:rFonts w:ascii="Times New Roman" w:cs="Times New Roman" w:eastAsia="Times New Roman" w:hAnsi="Times New Roman"/>
          <w:sz w:val="14"/>
          <w:szCs w:val="14"/>
          <w:color w:val="auto"/>
        </w:rPr>
      </w:pPr>
    </w:p>
    <w:p>
      <w:pPr>
        <w:jc w:val="both"/>
        <w:ind w:left="460" w:right="180" w:hanging="440"/>
        <w:spacing w:after="0" w:line="223"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 The amounts reported for the year ended December 31, 2022 include certain costs identified as redundant or non-recurring incurred by the Company for services provided by Ensign under the Transition Services Agreement, and were included in general and administrative expense.</w:t>
      </w:r>
    </w:p>
    <w:p>
      <w:pPr>
        <w:sectPr>
          <w:pgSz w:w="11900" w:h="16838" w:orient="portrait"/>
          <w:cols w:equalWidth="0" w:num="1">
            <w:col w:w="11180"/>
          </w:cols>
          <w:pgMar w:left="320" w:top="123" w:right="399" w:bottom="1440" w:gutter="0" w:footer="0" w:header="0"/>
        </w:sectPr>
      </w:pP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Performance and Valuation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Consolidated EBITDA</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Valuation Metric</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Consolidated Adjusted EBITDAR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Segment Non-GAAP Measures:</w:t>
      </w:r>
      <w:r>
        <w:rPr>
          <w:rFonts w:ascii="Times New Roman" w:cs="Times New Roman" w:eastAsia="Times New Roman" w:hAnsi="Times New Roman"/>
          <w:sz w:val="22"/>
          <w:szCs w:val="22"/>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38670" cy="139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Segment Adjusted EBITDA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7"/>
          <w:szCs w:val="17"/>
          <w:color w:val="auto"/>
        </w:rPr>
        <w:t>Home health and hospice services</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Senior living services</w:t>
      </w:r>
    </w:p>
    <w:p>
      <w:pPr>
        <w:spacing w:after="0" w:line="132" w:lineRule="exact"/>
        <w:rPr>
          <w:sz w:val="20"/>
          <w:szCs w:val="20"/>
          <w:color w:val="auto"/>
        </w:rPr>
      </w:pPr>
    </w:p>
    <w:p>
      <w:pPr>
        <w:ind w:left="760" w:hanging="430"/>
        <w:spacing w:after="0"/>
        <w:tabs>
          <w:tab w:leader="none" w:pos="7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and administrative expenses are not allocated to any segment for purposes of determining segment profit or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22675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jc w:val="both"/>
        <w:ind w:left="369"/>
        <w:spacing w:after="0"/>
        <w:tabs>
          <w:tab w:leader="none" w:pos="1569" w:val="left"/>
          <w:tab w:leader="none" w:pos="2809" w:val="left"/>
        </w:tabs>
        <w:rPr>
          <w:sz w:val="20"/>
          <w:szCs w:val="20"/>
          <w:color w:val="auto"/>
        </w:rPr>
      </w:pPr>
      <w:r>
        <w:rPr>
          <w:rFonts w:ascii="Times New Roman" w:cs="Times New Roman" w:eastAsia="Times New Roman" w:hAnsi="Times New Roman"/>
          <w:sz w:val="17"/>
          <w:szCs w:val="17"/>
          <w:b w:val="1"/>
          <w:bCs w:val="1"/>
          <w:color w:val="auto"/>
        </w:rPr>
        <w:t>2023</w:t>
      </w:r>
      <w:r>
        <w:rPr>
          <w:sz w:val="20"/>
          <w:szCs w:val="20"/>
          <w:color w:val="auto"/>
        </w:rPr>
        <w:tab/>
      </w: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2267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ind w:left="122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66" w:lineRule="exact"/>
        <w:rPr>
          <w:sz w:val="20"/>
          <w:szCs w:val="20"/>
          <w:color w:val="auto"/>
        </w:rPr>
      </w:pPr>
    </w:p>
    <w:tbl>
      <w:tblPr>
        <w:tblLayout w:type="fixed"/>
        <w:tblInd w:w="9" w:type="dxa"/>
        <w:tblCellMar>
          <w:top w:w="0" w:type="dxa"/>
          <w:left w:w="0" w:type="dxa"/>
          <w:bottom w:w="0" w:type="dxa"/>
          <w:right w:w="0" w:type="dxa"/>
        </w:tblCellMar>
      </w:tblPr>
      <w:tr>
        <w:trPr>
          <w:trHeight w:val="219"/>
        </w:trPr>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30,107</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17,008</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10,003</w:t>
            </w:r>
          </w:p>
        </w:tc>
      </w:tr>
      <w:tr>
        <w:trPr>
          <w:trHeight w:val="223"/>
        </w:trPr>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40,716</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31,545</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26,407</w:t>
            </w:r>
          </w:p>
        </w:tc>
      </w:tr>
    </w:tbl>
    <w:p>
      <w:pPr>
        <w:spacing w:after="0" w:line="215" w:lineRule="exact"/>
        <w:rPr>
          <w:sz w:val="20"/>
          <w:szCs w:val="20"/>
          <w:color w:val="auto"/>
        </w:rPr>
      </w:pPr>
    </w:p>
    <w:p>
      <w:pPr>
        <w:ind w:left="569" w:hanging="569"/>
        <w:spacing w:after="0"/>
        <w:tabs>
          <w:tab w:leader="none" w:pos="56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79,196</w:t>
      </w:r>
    </w:p>
    <w:p>
      <w:pPr>
        <w:spacing w:after="0" w:line="355"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22675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jc w:val="both"/>
        <w:ind w:left="369"/>
        <w:spacing w:after="0"/>
        <w:tabs>
          <w:tab w:leader="none" w:pos="1569" w:val="left"/>
          <w:tab w:leader="none" w:pos="2809" w:val="left"/>
        </w:tabs>
        <w:rPr>
          <w:sz w:val="20"/>
          <w:szCs w:val="20"/>
          <w:color w:val="auto"/>
        </w:rPr>
      </w:pPr>
      <w:r>
        <w:rPr>
          <w:rFonts w:ascii="Times New Roman" w:cs="Times New Roman" w:eastAsia="Times New Roman" w:hAnsi="Times New Roman"/>
          <w:sz w:val="17"/>
          <w:szCs w:val="17"/>
          <w:b w:val="1"/>
          <w:bCs w:val="1"/>
          <w:color w:val="auto"/>
        </w:rPr>
        <w:t>2023</w:t>
      </w:r>
      <w:r>
        <w:rPr>
          <w:sz w:val="20"/>
          <w:szCs w:val="20"/>
          <w:color w:val="auto"/>
        </w:rPr>
        <w:tab/>
      </w: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22675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ind w:left="122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66" w:lineRule="exact"/>
        <w:rPr>
          <w:sz w:val="20"/>
          <w:szCs w:val="20"/>
          <w:color w:val="auto"/>
        </w:rPr>
      </w:pPr>
    </w:p>
    <w:tbl>
      <w:tblPr>
        <w:tblLayout w:type="fixed"/>
        <w:tblInd w:w="9" w:type="dxa"/>
        <w:tblCellMar>
          <w:top w:w="0" w:type="dxa"/>
          <w:left w:w="0" w:type="dxa"/>
          <w:bottom w:w="0" w:type="dxa"/>
          <w:right w:w="0" w:type="dxa"/>
        </w:tblCellMar>
      </w:tblPr>
      <w:tr>
        <w:trPr>
          <w:trHeight w:val="219"/>
        </w:trPr>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60,128</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56,977</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51,045</w:t>
            </w:r>
          </w:p>
        </w:tc>
      </w:tr>
      <w:tr>
        <w:trPr>
          <w:trHeight w:val="223"/>
        </w:trPr>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12,293</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6,003</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w:t>
            </w:r>
          </w:p>
        </w:tc>
      </w:tr>
    </w:tbl>
    <w:p>
      <w:pPr>
        <w:spacing w:after="0" w:line="457" w:lineRule="exact"/>
        <w:rPr>
          <w:sz w:val="20"/>
          <w:szCs w:val="20"/>
          <w:color w:val="auto"/>
        </w:rPr>
      </w:pPr>
    </w:p>
    <w:p>
      <w:pPr>
        <w:sectPr>
          <w:pgSz w:w="11900" w:h="16838" w:orient="portrait"/>
          <w:cols w:equalWidth="0" w:num="2">
            <w:col w:w="7420" w:space="271"/>
            <w:col w:w="3489"/>
          </w:cols>
          <w:pgMar w:left="320" w:top="12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table below reconciles Consolidated Net Income to Consolidated EBITDA, Consolidated Adjusted EBITDA and Consolidated Adjusted EBITDAR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12"/>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Net income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13,910</w:t>
            </w:r>
          </w:p>
        </w:tc>
        <w:tc>
          <w:tcPr>
            <w:tcW w:w="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w:t>
            </w:r>
          </w:p>
        </w:tc>
      </w:tr>
      <w:tr>
        <w:trPr>
          <w:trHeight w:val="21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Provision for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r>
      <w:tr>
        <w:trPr>
          <w:trHeight w:val="219"/>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1,941</w:t>
            </w:r>
          </w:p>
        </w:tc>
      </w:tr>
      <w:tr>
        <w:trPr>
          <w:trHeight w:val="219"/>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w:t>
            </w:r>
          </w:p>
        </w:tc>
      </w:tr>
      <w:tr>
        <w:trPr>
          <w:trHeight w:val="212"/>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Consolidated EBITDA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10,003</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Consolidated EBITDA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76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Add: Costs at start-up operations</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Share-based compensation expense</w:t>
            </w:r>
            <w:r>
              <w:rPr>
                <w:rFonts w:ascii="Times New Roman" w:cs="Times New Roman" w:eastAsia="Times New Roman" w:hAnsi="Times New Roman"/>
                <w:sz w:val="22"/>
                <w:szCs w:val="22"/>
                <w:color w:val="auto"/>
                <w:vertAlign w:val="superscript"/>
              </w:rPr>
              <w:t>(b)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10,040</w:t>
            </w:r>
          </w:p>
        </w:tc>
      </w:tr>
      <w:tr>
        <w:trPr>
          <w:trHeight w:val="219"/>
        </w:trPr>
        <w:tc>
          <w:tcPr>
            <w:tcW w:w="768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Acquisition related costs and credit allowances</w:t>
            </w:r>
            <w:r>
              <w:rPr>
                <w:rFonts w:ascii="Times New Roman" w:cs="Times New Roman" w:eastAsia="Times New Roman" w:hAnsi="Times New Roman"/>
                <w:sz w:val="22"/>
                <w:szCs w:val="22"/>
                <w:color w:val="auto"/>
                <w:vertAlign w:val="superscript"/>
              </w:rPr>
              <w:t>(c)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Transition services costs</w:t>
            </w:r>
            <w:r>
              <w:rPr>
                <w:rFonts w:ascii="Times New Roman" w:cs="Times New Roman" w:eastAsia="Times New Roman" w:hAnsi="Times New Roman"/>
                <w:sz w:val="22"/>
                <w:szCs w:val="22"/>
                <w:color w:val="auto"/>
                <w:vertAlign w:val="superscript"/>
              </w:rPr>
              <w:t>(d)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w:t>
            </w:r>
          </w:p>
        </w:tc>
      </w:tr>
      <w:tr>
        <w:trPr>
          <w:trHeight w:val="219"/>
        </w:trPr>
        <w:tc>
          <w:tcPr>
            <w:tcW w:w="768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Costs associated with transitioning operations</w:t>
            </w:r>
            <w:r>
              <w:rPr>
                <w:rFonts w:ascii="Times New Roman" w:cs="Times New Roman" w:eastAsia="Times New Roman" w:hAnsi="Times New Roman"/>
                <w:sz w:val="22"/>
                <w:szCs w:val="22"/>
                <w:color w:val="auto"/>
                <w:vertAlign w:val="superscript"/>
              </w:rPr>
              <w: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2,835</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Unusual or non-recurring charges</w:t>
            </w:r>
            <w:r>
              <w:rPr>
                <w:rFonts w:ascii="Times New Roman" w:cs="Times New Roman" w:eastAsia="Times New Roman" w:hAnsi="Times New Roman"/>
                <w:sz w:val="22"/>
                <w:szCs w:val="22"/>
                <w:color w:val="auto"/>
                <w:vertAlign w:val="superscript"/>
              </w:rPr>
              <w:t>(f)</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Rent related to items (a) and (e) above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12"/>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Consolidated Adjusted EBITDA</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26,407</w:t>
            </w:r>
          </w:p>
        </w:tc>
      </w:tr>
      <w:tr>
        <w:trPr>
          <w:trHeight w:val="212"/>
        </w:trPr>
        <w:tc>
          <w:tcPr>
            <w:tcW w:w="7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Rent—cost of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40,863</w:t>
            </w:r>
          </w:p>
        </w:tc>
      </w:tr>
      <w:tr>
        <w:trPr>
          <w:trHeight w:val="219"/>
        </w:trPr>
        <w:tc>
          <w:tcPr>
            <w:tcW w:w="7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Rent related to items (a) and (e) above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12"/>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Adjusted rent—cost of services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36,410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40,467</w:t>
            </w:r>
          </w:p>
        </w:tc>
      </w:tr>
      <w:tr>
        <w:trPr>
          <w:trHeight w:val="237"/>
        </w:trPr>
        <w:tc>
          <w:tcPr>
            <w:tcW w:w="7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Consolidated Adjusted EBITDAR</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108" w:lineRule="exact"/>
        <w:rPr>
          <w:sz w:val="20"/>
          <w:szCs w:val="20"/>
          <w:color w:val="auto"/>
        </w:rPr>
      </w:pPr>
    </w:p>
    <w:p>
      <w:pPr>
        <w:ind w:left="460" w:hanging="440"/>
        <w:spacing w:after="0"/>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32" w:lineRule="exact"/>
        <w:rPr>
          <w:rFonts w:ascii="Times New Roman" w:cs="Times New Roman" w:eastAsia="Times New Roman" w:hAnsi="Times New Roman"/>
          <w:sz w:val="14"/>
          <w:szCs w:val="14"/>
          <w:color w:val="auto"/>
        </w:rPr>
      </w:pPr>
    </w:p>
    <w:p>
      <w:pPr>
        <w:ind w:left="460" w:right="20" w:hanging="440"/>
        <w:spacing w:after="0" w:line="229"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including the impact of the modification of certain restricted stock units described below in Note 12, Options and Awards, to the Consolidated Financial Statements. Share-based compensation expense and related payroll taxes are included in cost of services and general and administrative expense.</w:t>
      </w:r>
    </w:p>
    <w:p>
      <w:pPr>
        <w:spacing w:after="0" w:line="15"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and credit allowances for amounts in dispute with the prior owners of certain acquired operations.</w:t>
      </w:r>
    </w:p>
    <w:p>
      <w:pPr>
        <w:spacing w:after="0" w:line="32" w:lineRule="exact"/>
        <w:rPr>
          <w:rFonts w:ascii="Times New Roman" w:cs="Times New Roman" w:eastAsia="Times New Roman" w:hAnsi="Times New Roman"/>
          <w:sz w:val="14"/>
          <w:szCs w:val="14"/>
          <w:color w:val="auto"/>
        </w:rPr>
      </w:pPr>
    </w:p>
    <w:p>
      <w:pPr>
        <w:jc w:val="both"/>
        <w:ind w:left="460" w:right="20" w:hanging="440"/>
        <w:spacing w:after="0" w:line="223"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$1,035, $1,561, and $3,124 for the year ended December 31, 2023, 2022 and 2021, respectively.</w:t>
      </w:r>
    </w:p>
    <w:p>
      <w:pPr>
        <w:spacing w:after="0" w:line="15" w:lineRule="exact"/>
        <w:rPr>
          <w:rFonts w:ascii="Times New Roman" w:cs="Times New Roman" w:eastAsia="Times New Roman" w:hAnsi="Times New Roman"/>
          <w:sz w:val="14"/>
          <w:szCs w:val="14"/>
          <w:color w:val="auto"/>
        </w:rPr>
      </w:pPr>
    </w:p>
    <w:p>
      <w:pPr>
        <w:jc w:val="both"/>
        <w:ind w:left="460" w:right="20" w:hanging="440"/>
        <w:spacing w:after="0" w:line="223"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w:t>
      </w:r>
    </w:p>
    <w:p>
      <w:pPr>
        <w:spacing w:after="0" w:line="92" w:lineRule="exact"/>
        <w:rPr>
          <w:rFonts w:ascii="Times New Roman" w:cs="Times New Roman" w:eastAsia="Times New Roman" w:hAnsi="Times New Roman"/>
          <w:sz w:val="14"/>
          <w:szCs w:val="14"/>
          <w:color w:val="auto"/>
        </w:rPr>
      </w:pPr>
    </w:p>
    <w:p>
      <w:pPr>
        <w:jc w:val="both"/>
        <w:ind w:left="460" w:right="20"/>
        <w:spacing w:after="0" w:line="22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p>
      <w:pPr>
        <w:spacing w:after="0" w:line="15" w:lineRule="exact"/>
        <w:rPr>
          <w:rFonts w:ascii="Times New Roman" w:cs="Times New Roman" w:eastAsia="Times New Roman" w:hAnsi="Times New Roman"/>
          <w:sz w:val="14"/>
          <w:szCs w:val="14"/>
          <w:color w:val="auto"/>
        </w:rPr>
      </w:pPr>
    </w:p>
    <w:p>
      <w:pPr>
        <w:jc w:val="both"/>
        <w:ind w:left="460" w:right="20" w:hanging="440"/>
        <w:spacing w:after="0" w:line="223"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 The amounts reported for the year ended December 31, 2022 include certain costs identified as redundant or non-recurring incurred by the Company for services provided by Ensign under the Transition Services Agreement, and were included in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reconciles Segment Adjusted EBITDAR from Operations to Segment Adjusted EBITDA from Operations for the periods presented: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2"/>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8"/>
          </w:tcPr>
          <w:p>
            <w:pPr>
              <w:ind w:left="320"/>
              <w:spacing w:after="0"/>
              <w:rPr>
                <w:sz w:val="20"/>
                <w:szCs w:val="20"/>
                <w:color w:val="auto"/>
              </w:rPr>
            </w:pPr>
            <w:r>
              <w:rPr>
                <w:rFonts w:ascii="Times New Roman" w:cs="Times New Roman" w:eastAsia="Times New Roman" w:hAnsi="Times New Roman"/>
                <w:sz w:val="17"/>
                <w:szCs w:val="17"/>
                <w:b w:val="1"/>
                <w:bCs w:val="1"/>
                <w:color w:val="auto"/>
              </w:rPr>
              <w:t>Home Health and Hospice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Senior Living</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61,827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45,294</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37,517</w:t>
            </w:r>
          </w:p>
        </w:tc>
      </w:tr>
      <w:tr>
        <w:trPr>
          <w:trHeight w:val="219"/>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Rent—cost of services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35,957</w:t>
            </w:r>
          </w:p>
        </w:tc>
      </w:tr>
      <w:tr>
        <w:trPr>
          <w:trHeight w:val="219"/>
        </w:trPr>
        <w:tc>
          <w:tcPr>
            <w:tcW w:w="5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Rent related to start-up and transitioning operations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 from Operations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56,977</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these Non-GAAP Financial Measures are useful to investors and other external users of our financial statements regarding our results of operations because:</w:t>
      </w:r>
    </w:p>
    <w:p>
      <w:pPr>
        <w:spacing w:after="0" w:line="177" w:lineRule="exact"/>
        <w:rPr>
          <w:sz w:val="20"/>
          <w:szCs w:val="20"/>
          <w:color w:val="auto"/>
        </w:rPr>
      </w:pPr>
    </w:p>
    <w:p>
      <w:pPr>
        <w:jc w:val="both"/>
        <w:ind w:left="620" w:hanging="307"/>
        <w:spacing w:after="0" w:line="26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length of the lease to which the asset applies, the method by which assets were acquired, and differences in capital structures;</w:t>
      </w:r>
    </w:p>
    <w:p>
      <w:pPr>
        <w:spacing w:after="0" w:line="6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help investors evaluate and compare the results of our operations from period to period by removing the impact of our asset base and capital structure from our operating results; and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Adjusted EBITDAR is used by investors and analysts in our industry to value the companies in our industry without regard to capital structures.</w:t>
      </w:r>
    </w:p>
    <w:p>
      <w:pPr>
        <w:spacing w:after="0" w:line="17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Non-GAAP Financial Measures: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measurements of our operating performance to assist us in comparing our operating performance on a consistent basis from period to period;</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allocate resources to enhance the financial performance of our business;</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assess the value of a potential acquisition;</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assess the value of a transformed operation’s performance;</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evaluate the effectiveness of our operational strategies; and</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compare our operating performance to that of our competitors.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191"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our current or future cash requirements for capital expenditures or contractual commitments;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changes in, or cash requirements for, our working capital needs;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net interest expense, or the cash requirements necessary to service interest or principal payments, on our debt;</w:t>
      </w:r>
    </w:p>
    <w:p>
      <w:pPr>
        <w:spacing w:after="0" w:line="75" w:lineRule="exact"/>
        <w:rPr>
          <w:rFonts w:ascii="Times New Roman" w:cs="Times New Roman" w:eastAsia="Times New Roman" w:hAnsi="Times New Roman"/>
          <w:sz w:val="17"/>
          <w:szCs w:val="17"/>
          <w:color w:val="auto"/>
        </w:rPr>
      </w:pPr>
    </w:p>
    <w:p>
      <w:pPr>
        <w:ind w:left="620" w:hanging="307"/>
        <w:spacing w:after="0" w:line="25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Consolidated Adjusted EBITDAR, it does not reflect rent expenses, which are normal and recurring operating expenses that are necessary to operate our leased operations;</w:t>
      </w:r>
    </w:p>
    <w:p>
      <w:pPr>
        <w:spacing w:after="0" w:line="3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any income tax payments we may be required to make;</w:t>
      </w:r>
    </w:p>
    <w:p>
      <w:pPr>
        <w:spacing w:after="0" w:line="75" w:lineRule="exact"/>
        <w:rPr>
          <w:rFonts w:ascii="Times New Roman" w:cs="Times New Roman" w:eastAsia="Times New Roman" w:hAnsi="Times New Roman"/>
          <w:sz w:val="17"/>
          <w:szCs w:val="17"/>
          <w:color w:val="auto"/>
        </w:rPr>
      </w:pPr>
    </w:p>
    <w:p>
      <w:pPr>
        <w:ind w:left="620" w:hanging="307"/>
        <w:spacing w:after="0" w:line="25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in the future, and these non-cash charges do not reflect any cash requirements for such replacements; and</w:t>
      </w:r>
    </w:p>
    <w:p>
      <w:pPr>
        <w:spacing w:after="0" w:line="35" w:lineRule="exact"/>
        <w:rPr>
          <w:rFonts w:ascii="Times New Roman" w:cs="Times New Roman" w:eastAsia="Times New Roman" w:hAnsi="Times New Roman"/>
          <w:sz w:val="17"/>
          <w:szCs w:val="17"/>
          <w:color w:val="auto"/>
        </w:rPr>
      </w:pPr>
    </w:p>
    <w:p>
      <w:pPr>
        <w:ind w:left="620" w:hanging="307"/>
        <w:spacing w:after="0" w:line="239"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 our industry may calculate the same Non-GAAP Financial Measures differently than we do, which may limit their usefulness as comparative measures.</w:t>
      </w:r>
    </w:p>
    <w:p>
      <w:pPr>
        <w:spacing w:after="0" w:line="20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strongly encourage investors to review our Consolidated Financial Statements, included in this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our Consolidated Financial Statements and related notes included elsewhere in this report.</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the following Non-GAAP Financial Measures are useful to investors as key operating performance measures and valuation measures: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Measures: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 EBITDA</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17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calculate Consolidated EBITDA as net income, adjusted for net income (loss) attributable to noncontrolling interest, before (a) interest expense (b) provision for income taxes and (c) depreciation and amortization.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 Adjusted EBITDA</w:t>
      </w:r>
    </w:p>
    <w:p>
      <w:pPr>
        <w:spacing w:after="0" w:line="24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calculate Consolidated Adjusted EBITDA by adjusting Consolidated EBITDA to exclude the effects of non-core business items, which for the reported periods includes, to the extent applicable:</w:t>
      </w:r>
    </w:p>
    <w:p>
      <w:pPr>
        <w:spacing w:after="0" w:line="177"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at start-up operations;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compensation expense;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related costs and credit allowances;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redundant or nonrecurring costs associated with the Transition Services Agreement (as defined in Note 3, </w:t>
      </w:r>
      <w:r>
        <w:rPr>
          <w:rFonts w:ascii="Times New Roman" w:cs="Times New Roman" w:eastAsia="Times New Roman" w:hAnsi="Times New Roman"/>
          <w:sz w:val="17"/>
          <w:szCs w:val="17"/>
          <w:i w:val="1"/>
          <w:iCs w:val="1"/>
          <w:color w:val="auto"/>
        </w:rPr>
        <w:t>Transactions with Ensign</w:t>
      </w: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transitioning operations;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unusual or non-recurring charges.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Segment Adjusted EBITDA from Operations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Measure</w:t>
      </w:r>
      <w:r>
        <w:rPr>
          <w:rFonts w:ascii="Times New Roman" w:cs="Times New Roman" w:eastAsia="Times New Roman" w:hAnsi="Times New Roman"/>
          <w:sz w:val="17"/>
          <w:szCs w:val="17"/>
          <w:b w:val="1"/>
          <w:bCs w:val="1"/>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 Adjusted EBITDAR</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or financed leases. A significant portion of financed lease expenditures are recorded in interest, whereas operating lease expenditures are recorded in rent expense.</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2023 Compared to the Year Ended December 31,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77"/>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12"/>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35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334"/>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212"/>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Revenue Dollars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Revenue Percentage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Revenue Dollars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Revenue Percentage</w:t>
            </w:r>
          </w:p>
        </w:tc>
      </w:tr>
      <w:tr>
        <w:trPr>
          <w:trHeight w:val="212"/>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 services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Home health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175,044</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32.1 %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159,858</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33.8 %</w:t>
            </w: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Hospice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194,627</w:t>
            </w:r>
          </w:p>
        </w:tc>
        <w:tc>
          <w:tcPr>
            <w:tcW w:w="180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160,520</w:t>
            </w:r>
          </w:p>
        </w:tc>
        <w:tc>
          <w:tcPr>
            <w:tcW w:w="178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33.9</w:t>
            </w:r>
          </w:p>
        </w:tc>
      </w:tr>
      <w:tr>
        <w:trPr>
          <w:trHeight w:val="219"/>
        </w:trPr>
        <w:tc>
          <w:tcPr>
            <w:tcW w:w="47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Home care and other</w:t>
            </w:r>
            <w:r>
              <w:rPr>
                <w:rFonts w:ascii="Times New Roman" w:cs="Times New Roman" w:eastAsia="Times New Roman" w:hAnsi="Times New Roman"/>
                <w:sz w:val="22"/>
                <w:szCs w:val="22"/>
                <w:color w:val="auto"/>
                <w:vertAlign w:val="superscript"/>
              </w:rPr>
              <w: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24,793</w:t>
            </w:r>
          </w:p>
        </w:tc>
        <w:tc>
          <w:tcPr>
            <w:tcW w:w="18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21,871</w:t>
            </w:r>
          </w:p>
        </w:tc>
        <w:tc>
          <w:tcPr>
            <w:tcW w:w="178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4.6</w:t>
            </w:r>
          </w:p>
        </w:tc>
      </w:tr>
      <w:tr>
        <w:trPr>
          <w:trHeight w:val="212"/>
        </w:trPr>
        <w:tc>
          <w:tcPr>
            <w:tcW w:w="4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home health and hospice services</w:t>
            </w: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394,464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342,249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72.3</w:t>
            </w:r>
          </w:p>
        </w:tc>
      </w:tr>
      <w:tr>
        <w:trPr>
          <w:trHeight w:val="21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living services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150,427</w:t>
            </w:r>
          </w:p>
        </w:tc>
        <w:tc>
          <w:tcPr>
            <w:tcW w:w="18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130,992</w:t>
            </w:r>
          </w:p>
        </w:tc>
        <w:tc>
          <w:tcPr>
            <w:tcW w:w="178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27.7</w:t>
            </w:r>
          </w:p>
        </w:tc>
      </w:tr>
      <w:tr>
        <w:trPr>
          <w:trHeight w:val="237"/>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473,241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60" w:hanging="440"/>
        <w:spacing w:after="0"/>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care and other revenue is included with home health revenue in other disclosures in this report.</w:t>
      </w:r>
    </w:p>
    <w:p>
      <w:pPr>
        <w:spacing w:after="0" w:line="33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consolidated revenue increased $71.7 million, or 15.1%, driven by the net organic growth of existing operations across all segments of $58.4 million or 12.3% as well as increased revenue from acquired operations of $13.3 million, or 2.8%,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Home Health and Hospice Services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5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 revenue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Home health services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159,858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Hospice services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Home care and other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home health and hospice revenue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342,249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52,215</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15.3 %</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Home health services: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5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199"/>
        </w:trPr>
        <w:tc>
          <w:tcPr>
            <w:tcW w:w="5380" w:type="dxa"/>
            <w:vAlign w:val="bottom"/>
            <w:gridSpan w:val="2"/>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home health admissions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0" w:type="dxa"/>
            <w:vAlign w:val="bottom"/>
          </w:tcPr>
          <w:p>
            <w:pPr>
              <w:spacing w:after="0"/>
              <w:rPr>
                <w:sz w:val="1"/>
                <w:szCs w:val="1"/>
                <w:color w:val="auto"/>
              </w:rPr>
            </w:pPr>
          </w:p>
        </w:tc>
      </w:tr>
      <w:tr>
        <w:trPr>
          <w:trHeight w:val="219"/>
        </w:trPr>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 Medicare home health admissions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tcPr>
          <w:p>
            <w:pPr>
              <w:spacing w:after="0"/>
              <w:rPr>
                <w:sz w:val="19"/>
                <w:szCs w:val="19"/>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340"/>
              <w:spacing w:after="0" w:line="219" w:lineRule="exact"/>
              <w:rPr>
                <w:sz w:val="20"/>
                <w:szCs w:val="20"/>
                <w:color w:val="auto"/>
              </w:rPr>
            </w:pPr>
            <w:r>
              <w:rPr>
                <w:rFonts w:ascii="Times New Roman" w:cs="Times New Roman" w:eastAsia="Times New Roman" w:hAnsi="Times New Roman"/>
                <w:sz w:val="17"/>
                <w:szCs w:val="17"/>
                <w:color w:val="auto"/>
              </w:rPr>
              <w:t>Average Medicare revenue per 60-day completed episode</w:t>
            </w:r>
            <w:r>
              <w:rPr>
                <w:rFonts w:ascii="Times New Roman" w:cs="Times New Roman" w:eastAsia="Times New Roman" w:hAnsi="Times New Roman"/>
                <w:sz w:val="22"/>
                <w:szCs w:val="22"/>
                <w:color w:val="auto"/>
                <w:vertAlign w:val="superscript"/>
              </w:rPr>
              <w:t>(a)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Hospice services: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hospice admissions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9"/>
        </w:trPr>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Average daily census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9"/>
                <w:szCs w:val="19"/>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Hospice Medicare revenue per day</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Number of home health and hospice agencies at period end</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16.8 %</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60" w:hanging="440"/>
        <w:spacing w:after="0"/>
        <w:tabs>
          <w:tab w:leader="none" w:pos="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to date average for Medicare revenue per 60-day completed episode includes post period claim adjustments for prior periods.</w:t>
      </w:r>
    </w:p>
    <w:p>
      <w:pPr>
        <w:spacing w:after="0" w:line="33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Home health and hospice revenue increased $52.2 million, or 15.3%. Revenue grew due to an increase in all key performance indicators including an increase in total home health admissions of 7.6%, an increase in Medicare home health admissions of 4.0%, an increase in average Medicare revenue per 60-day completed episode of 0.1%, an increase of 6.3% in total hospice admissions, an increase of 3.9% in hospice Medicare revenue per day, and an increase of 13.5% in hospice average daily census. The improvement in these metrics resulted in net organic revenue growth of $40.8 million for the year ended December 31, 2023. Growth was also driven by the acquisition of 11 home health, home care, and hospice operations, between December 31, 2022 and December 31, 2023, resulting in an increase in revenue of $11.4 million, or 3.3% overall.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Senior Living Services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77"/>
        </w:trPr>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5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thousands)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150,427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130,992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19,435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14.8 %</w:t>
            </w: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communities at period end</w:t>
            </w:r>
          </w:p>
        </w:tc>
        <w:tc>
          <w:tcPr>
            <w:tcW w:w="30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monthly revenue per occupied unit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3,969</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3,516</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12.9 %</w:t>
            </w:r>
          </w:p>
        </w:tc>
      </w:tr>
    </w:tbl>
    <w:p>
      <w:pPr>
        <w:spacing w:after="0" w:line="30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Senior living revenue increased $19.4 million, or 14.8%, for the year ended December 31, 2023 when compared to the same period in the prior year primarily due to a 12.9% increase in average monthly revenue per occupied unit and a 2.8% increase in occupancy rate between December 31, 2022 and December 31, 2023. Growth in revenue was also driven by the acquisition of two senior living communities, between December 31, 2022 and December 31, 2023, resulting in an increase of $1.9 million, or 1.4% overall.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Services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total cost of services by each of our reportable segments for the periods indicated: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2"/>
        </w:trPr>
        <w:tc>
          <w:tcPr>
            <w:tcW w:w="56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331,844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48,856</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w w:val="99"/>
              </w:rPr>
              <w:t>17.3 %</w:t>
            </w:r>
          </w:p>
        </w:tc>
      </w:tr>
      <w:tr>
        <w:trPr>
          <w:trHeight w:val="21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Senior Living</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12,602</w:t>
            </w:r>
          </w:p>
        </w:tc>
        <w:tc>
          <w:tcPr>
            <w:tcW w:w="1540" w:type="dxa"/>
            <w:vAlign w:val="bottom"/>
            <w:tcBorders>
              <w:bottom w:val="single" w:sz="8" w:color="CCEEFF"/>
            </w:tcBorders>
            <w:gridSpan w:val="2"/>
          </w:tcPr>
          <w:p>
            <w:pPr>
              <w:ind w:left="1040"/>
              <w:spacing w:after="0"/>
              <w:rPr>
                <w:sz w:val="20"/>
                <w:szCs w:val="20"/>
                <w:color w:val="auto"/>
              </w:rPr>
            </w:pPr>
            <w:r>
              <w:rPr>
                <w:rFonts w:ascii="Times New Roman" w:cs="Times New Roman" w:eastAsia="Times New Roman" w:hAnsi="Times New Roman"/>
                <w:sz w:val="17"/>
                <w:szCs w:val="17"/>
                <w:color w:val="auto"/>
              </w:rPr>
              <w:t>13.5</w:t>
            </w:r>
          </w:p>
        </w:tc>
      </w:tr>
      <w:tr>
        <w:trPr>
          <w:trHeight w:val="237"/>
        </w:trPr>
        <w:tc>
          <w:tcPr>
            <w:tcW w:w="5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cost of services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376,638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61,458</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w w:val="99"/>
              </w:rPr>
              <w:t>16.3 %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Consolidated cost of services increased $61.5 million, or 16.3%, for the year ended December 31, 2023 when compared to the year ended December 31, 2022. The increase in the amount of cost of services was driven primarily by volume of services provided. Cost of services as a percentage of revenue increased by 80 basis points from 79.6% to 80.4% over the same time period. The increase was driven primarily by increased wages and benefits.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Home Health and Hospice Services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7"/>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331,844</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282,988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48,856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17.3 %</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services as a percentage of revenue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84.1 %</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8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Cost of services related to our Home Health and Hospice services segment increased $48.9 million, or 17.3%, primarily due to increased volume of services from the growth in admissions and average daily census. Cost of services as a percentage of revenue for the year ended December 31, 2023 increased by 140 basis points compared to the year ended December 31, 2022 primarily due to increased wages and benefits.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Senior Living Services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7"/>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2"/>
        </w:trPr>
        <w:tc>
          <w:tcPr>
            <w:tcW w:w="5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5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106,252</w:t>
            </w:r>
          </w:p>
        </w:tc>
        <w:tc>
          <w:tcPr>
            <w:tcW w:w="5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93,650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12,602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13.5 %</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services as a percentage of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70.6 %</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30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Cost of services related to our Senior Living services segment increased $12.6 million, or 13.5%, during the year ended December 31, 2023 in response to higher occupancy and wage rate increases. As a percentage of revenue, costs of service decreased by 90 basis points during the year ended December 31, 2023 when compared to the year ended December 31, 2022 due to cost optimization, as occupancy increases toward approximately 80.0%.</w:t>
      </w:r>
    </w:p>
    <w:p>
      <w:pPr>
        <w:spacing w:after="0" w:line="187"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Rent—Cost of Services</w:t>
      </w:r>
      <w:r>
        <w:rPr>
          <w:rFonts w:ascii="Times New Roman" w:cs="Times New Roman" w:eastAsia="Times New Roman" w:hAnsi="Times New Roman"/>
          <w:sz w:val="17"/>
          <w:szCs w:val="17"/>
          <w:color w:val="auto"/>
        </w:rPr>
        <w:t>. Rent increased 4.6% from $38.0 million to $39.8 million for the year ended December 31, 2023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2022, primarily as a result of the newly acquired senior living communities. As a percentage of revenue, rent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cost of services decreased 70 basis points when compared to the year ended December 31, 2022 due to improved senior living performance.</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 </w:t>
      </w:r>
      <w:r>
        <w:rPr>
          <w:rFonts w:ascii="Times New Roman" w:cs="Times New Roman" w:eastAsia="Times New Roman" w:hAnsi="Times New Roman"/>
          <w:sz w:val="17"/>
          <w:szCs w:val="17"/>
          <w:color w:val="auto"/>
        </w:rPr>
        <w:t>General and administrative expense increased $2.7 million, or 7.9%, from $34.0 million to $36.7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December 31, 2023 when compared to the year ended December 31, 2022. The increase in general and administrative expense was due to an increase of $1.5 million in share-based compensation for the year ended December 31, 2023 when compared to the year ended December 31, 2022.</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 decreased slightly as a percentage of total revenue.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Loss on Asset Dispositions and Impairment, Net. </w:t>
      </w:r>
      <w:r>
        <w:rPr>
          <w:rFonts w:ascii="Times New Roman" w:cs="Times New Roman" w:eastAsia="Times New Roman" w:hAnsi="Times New Roman"/>
          <w:sz w:val="17"/>
          <w:szCs w:val="17"/>
          <w:color w:val="auto"/>
        </w:rPr>
        <w:t>Loss on asset dispositions and impairment, net decreased $6.9 million for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when compared to the year ended December 31, 2022 due to the transfer of senior living communities to Ensign in 2022.</w:t>
      </w:r>
    </w:p>
    <w:p>
      <w:pPr>
        <w:spacing w:after="0" w:line="16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Provision for Income Taxes</w:t>
      </w:r>
      <w:r>
        <w:rPr>
          <w:rFonts w:ascii="Times New Roman" w:cs="Times New Roman" w:eastAsia="Times New Roman" w:hAnsi="Times New Roman"/>
          <w:sz w:val="17"/>
          <w:szCs w:val="17"/>
          <w:color w:val="auto"/>
        </w:rPr>
        <w:t>. Our effective tax rate for the year ended December 31, 2023 was 29.0% of earnings before income taxes compared with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tax rate of 18.5% for the year ended December 31, 2022. The increase in the effective tax rate is primarily due to a change in nondeductible equity compensation expenses. See Note 14</w:t>
      </w:r>
      <w:r>
        <w:rPr>
          <w:rFonts w:ascii="Times New Roman" w:cs="Times New Roman" w:eastAsia="Times New Roman" w:hAnsi="Times New Roman"/>
          <w:sz w:val="17"/>
          <w:szCs w:val="17"/>
          <w:i w:val="1"/>
          <w:iCs w:val="1"/>
          <w:color w:val="auto"/>
        </w:rPr>
        <w:t>, Income Taxes</w:t>
      </w:r>
      <w:r>
        <w:rPr>
          <w:rFonts w:ascii="Times New Roman" w:cs="Times New Roman" w:eastAsia="Times New Roman" w:hAnsi="Times New Roman"/>
          <w:sz w:val="17"/>
          <w:szCs w:val="17"/>
          <w:color w:val="auto"/>
        </w:rPr>
        <w:t>, to the Consolidated Financial Statements included elsewhere in this report filed on Form 10-K for further discussion.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Prior Year Information</w:t>
      </w:r>
    </w:p>
    <w:p>
      <w:pPr>
        <w:spacing w:after="0" w:line="249"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For a comparison of our results of operations of the fiscal year ended December 31, 2022 as compared to the year ended December 31, 2021 refer to Item 7. Management's Discussion and Analysis of Financial Condition and Results of Operations on Form 10-K filed with the SEC on February 23,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primary sources of liquidity are cash generated through operating activities and borrowings under our revolving credit facility.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Credit Facility</w:t>
      </w:r>
    </w:p>
    <w:p>
      <w:pPr>
        <w:spacing w:after="0" w:line="247"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On June 12, 2023, Pennant entered into the Second Amendment to its existing credit agreement (as amended, the “Credit Agreement”), to replace the LIBOR-based rates in the Credit Agreement with Standard Overnight Financing Rate (“SOFR”) based rates, due to the phase-out of LIBOR as a preferred global reference rate. The Credit Agreement provides for a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except that the loans may become due immediately if the Company triggers an event of default under the terms of the Credit Agreement. The Company is permitted to prepay all or any portion of the loans under the Revolving Credit Facility prior to maturity without premium or penalty, subject to reimbursement of any LIBOR breakage costs of the lenders.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2023, we were in compliance with all covenants.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2023 we had $6.1 million of cash and $80.8 million of available borrowing capacity on our Revolving Credit Facility.</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that our existing cash, cash generated through operations, and access to available borrowing capacity under our Credit Agreement, will be sufficient to provide adequate liquidity for the next twelve months for both our operating activities and opportunities for acquisition growth.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8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54"/>
        </w:trPr>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selected data from our statement of cash flows for the periods presented: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7"/>
        </w:trPr>
        <w:tc>
          <w:tcPr>
            <w:tcW w:w="12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12"/>
        </w:trPr>
        <w:tc>
          <w:tcPr>
            <w:tcW w:w="12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12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9,044</w:t>
            </w:r>
          </w:p>
        </w:tc>
      </w:tr>
      <w:tr>
        <w:trPr>
          <w:trHeight w:val="21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(24,239)</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12,084</w:t>
            </w:r>
          </w:p>
        </w:tc>
      </w:tr>
      <w:tr>
        <w:trPr>
          <w:trHeight w:val="212"/>
        </w:trPr>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change in cash</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(3,111)</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5,190</w:t>
            </w:r>
          </w:p>
        </w:tc>
      </w:tr>
      <w:tr>
        <w:trPr>
          <w:trHeight w:val="212"/>
        </w:trPr>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Cash at end of year</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2,079</w:t>
            </w:r>
          </w:p>
        </w:tc>
      </w:tr>
      <w:tr>
        <w:trPr>
          <w:trHeight w:val="20"/>
        </w:trPr>
        <w:tc>
          <w:tcPr>
            <w:tcW w:w="12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2023 Compared to the Year Ended December 31, 2022</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net cash flow from operating activities for the year ended December 31, 2023 increased by $24.0 million when compared to the year ended December 31, 2022. The primary drivers of this difference was a $6.7 million increase in net income, a $12.9 million net increase in cash flows from the change in operating assets and liabilities, and an increase of $4.4 million in non-cash expenses.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net cash used in investing activities for the year ended December 31, 2023 increased by $6.0 million compared to the year ended December 31, 2022, primarily driven by a $11.9 million increase in business acquisitions and other assets, offset by a $6.1 million decrease in purchases of property and equipment during the year ended December 31, 2023 compared to the year ended December 31, 2022.</w:t>
      </w:r>
    </w:p>
    <w:p>
      <w:pPr>
        <w:spacing w:after="0" w:line="191" w:lineRule="exact"/>
        <w:rPr>
          <w:sz w:val="20"/>
          <w:szCs w:val="20"/>
          <w:color w:val="auto"/>
        </w:rPr>
      </w:pPr>
    </w:p>
    <w:p>
      <w:pPr>
        <w:jc w:val="both"/>
        <w:ind w:firstLine="175"/>
        <w:spacing w:after="0" w:line="287" w:lineRule="auto"/>
        <w:rPr>
          <w:sz w:val="20"/>
          <w:szCs w:val="20"/>
          <w:color w:val="auto"/>
        </w:rPr>
      </w:pPr>
      <w:r>
        <w:rPr>
          <w:rFonts w:ascii="Times New Roman" w:cs="Times New Roman" w:eastAsia="Times New Roman" w:hAnsi="Times New Roman"/>
          <w:sz w:val="17"/>
          <w:szCs w:val="17"/>
          <w:color w:val="auto"/>
        </w:rPr>
        <w:t>Our net cash provided by financing activities decreased by $11.0 million for the year ended December 31, 2023 when compared to the year ended December 31, 2022 primarily due to a decrease in our net borrowings.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Interest Rate Risk</w:t>
      </w:r>
      <w:r>
        <w:rPr>
          <w:rFonts w:ascii="Times New Roman" w:cs="Times New Roman" w:eastAsia="Times New Roman" w:hAnsi="Times New Roman"/>
          <w:sz w:val="17"/>
          <w:szCs w:val="17"/>
          <w:color w:val="auto"/>
        </w:rPr>
        <w:t>. We are exposed to risks associated with market changes in interest rates. On June 12, 2023, Pennant entered into the Second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to the Credit Agreement, which replaced the reference rate under the Credit Agreement from LIBOR-based rate to SOFR-based rate. A 1.0% interest rate change would cause interest expense to change by approximately $0.7 million annually based upon our outstanding long-term debt as of December 31, 2023. We manage our exposure to this market risk by monitoring available financing alternatives.</w:t>
      </w:r>
    </w:p>
    <w:p>
      <w:pPr>
        <w:spacing w:after="0" w:line="18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49" w:lineRule="exact"/>
        <w:rPr>
          <w:sz w:val="20"/>
          <w:szCs w:val="20"/>
          <w:color w:val="auto"/>
        </w:rPr>
      </w:pPr>
    </w:p>
    <w:p>
      <w:pPr>
        <w:ind w:right="720"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and accompanying notes listed in Part IV, Item 15(a)(1) of this Annual Report on Form 10-K are included elsewhere in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Annual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management, including our Chief Executive Officer and Chief Financial Officer, as appropriate, to allow timely decisions regarding required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promulgated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internal control over financial reporting using the criteria set forth by the Committee of Sponsoring Organizations of the Treadway Commission in Internal Control - Integrated Framework (2013). As a result of this assessment, management concluded that, as of December 31, 2023,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independent registered public accounting firm, Deloitte &amp; Touche LLP, has audited the consolidated financial statements included in this Annual Report on Form 10-K and, as part of their audit, has issued an audit report, included herein, on the effectiveness of our internal control over financial reporting. Their report is set forth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fiscal quarter ended December 31, 2023, there were no material changes in our internal control over financial reporting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The Pennant Group,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audited the internal control over financial reporting of The Pennant Group,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Internal Control — Integrated Framework (2013) issued by COSO.</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Boise, 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Plan Election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Brent J. Guerisoli, Chief Executive Officer, entered into a Rule 10b5-1 trading arrangement on May 5, 2023 (the "Rule 10b5-1 Plan"). Mr. Guerisoli’s 10b5-1 Plan provides for the potential sale of up to 2,514 shares of the Company's common stock between August 7, 2023 and May 7, 2024.</w:t>
      </w:r>
    </w:p>
    <w:p>
      <w:pPr>
        <w:spacing w:after="0" w:line="177"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John J. Gochnour, President and Chief Operating Officer, entered into a Rule 10b5-1 trading arrangement on December 14, 2023 (the "Rule 10b5-1 Plan"). Mr. Gochnour's 10b5-1 Plan provides for the potential sale of up to 15,715 shares of the Company's common stock between March 15, 2024 and July 30, 2024, and 6,286 shares of the Company’s common stock between March 15, 2024 and May 21, 2025.</w:t>
      </w:r>
    </w:p>
    <w:p>
      <w:pPr>
        <w:spacing w:after="0" w:line="19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This Rule 10b5-1 trading arrangement was entered into during open trading windows and is intended to satisfy the affirmative defense conditions of Rule 10b5-1 (c) under the Securities Exchange Act of 1934, as amended, and the Company's policies regarding transactions in Company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2024 Annual Meeting of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2024 Annual Meeting of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2024 Annual Meeting of Stockholders.</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2024 Annual Meeting of Stockholders.</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Financial Statements and Schedules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documents are filed as a part of this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(a)(1) Financial Statements: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Consolidated Financial Statements of the Company are included in Part II, Item 8 of this Annual Report on Form 10-K.</w:t>
      </w:r>
    </w:p>
    <w:p>
      <w:pPr>
        <w:spacing w:after="0" w:line="230" w:lineRule="exact"/>
        <w:rPr>
          <w:sz w:val="20"/>
          <w:szCs w:val="20"/>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of Independent Registered Public Accounting Firm</w:t>
      </w:r>
    </w:p>
    <w:p>
      <w:pPr>
        <w:spacing w:after="0" w:line="7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Balance Sheets as of December 31, 2023 and 2022</w:t>
      </w:r>
    </w:p>
    <w:p>
      <w:pPr>
        <w:spacing w:after="0" w:line="8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Income for the Years Ended December 31, 2023, 2022 and 2021</w:t>
      </w:r>
    </w:p>
    <w:p>
      <w:pPr>
        <w:spacing w:after="0" w:line="7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Changes in Stockholders' Equity for the Years Ended December 31, 2023, 2022 and 2021</w:t>
      </w:r>
    </w:p>
    <w:p>
      <w:pPr>
        <w:spacing w:after="0" w:line="7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Cash Flows for the Years Ended December 31, 2023, 2022 and 2021</w:t>
      </w:r>
    </w:p>
    <w:p>
      <w:pPr>
        <w:spacing w:after="0" w:line="8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the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(a)(2) Financial Statement Schedules: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no financial schedules included in this Report as they are either not applicable or included in the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(3) Exhibits: The following exhibits are filed with this Report or incorporated by reference: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0140" w:type="dxa"/>
            <w:vAlign w:val="bottom"/>
          </w:tcPr>
          <w:p>
            <w:pPr>
              <w:spacing w:after="0"/>
              <w:rPr>
                <w:sz w:val="19"/>
                <w:szCs w:val="19"/>
                <w:color w:val="auto"/>
              </w:rPr>
            </w:pPr>
          </w:p>
        </w:tc>
      </w:tr>
      <w:tr>
        <w:trPr>
          <w:trHeight w:val="490"/>
        </w:trPr>
        <w:tc>
          <w:tcPr>
            <w:tcW w:w="20" w:type="dxa"/>
            <w:vAlign w:val="bottom"/>
          </w:tcPr>
          <w:p>
            <w:pPr>
              <w:spacing w:after="0"/>
              <w:rPr>
                <w:sz w:val="24"/>
                <w:szCs w:val="24"/>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Exhibit No.</w:t>
            </w:r>
          </w:p>
        </w:tc>
        <w:tc>
          <w:tcPr>
            <w:tcW w:w="10140" w:type="dxa"/>
            <w:vAlign w:val="bottom"/>
          </w:tcPr>
          <w:p>
            <w:pPr>
              <w:ind w:left="4440"/>
              <w:spacing w:after="0"/>
              <w:rPr>
                <w:sz w:val="20"/>
                <w:szCs w:val="20"/>
                <w:color w:val="auto"/>
              </w:rPr>
            </w:pPr>
            <w:r>
              <w:rPr>
                <w:rFonts w:ascii="Times New Roman" w:cs="Times New Roman" w:eastAsia="Times New Roman" w:hAnsi="Times New Roman"/>
                <w:sz w:val="17"/>
                <w:szCs w:val="17"/>
                <w:color w:val="auto"/>
              </w:rPr>
              <w:t>Exhibit Description</w:t>
            </w:r>
          </w:p>
        </w:tc>
      </w:tr>
      <w:tr>
        <w:trPr>
          <w:trHeight w:val="206"/>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Master Separation Agreement, dated as of October 1, 2019, by and between The Ensign Group, Inc. and The Pennant Group, Inc. (incorporated</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by reference to Exhibit 2.1 to The Pennant Group, Inc.’s Current Report on Form 8-K (File No. 001-38900) filed with the SEC on October 3,</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2019).</w:t>
            </w:r>
          </w:p>
        </w:tc>
      </w:tr>
      <w:tr>
        <w:trPr>
          <w:trHeight w:val="206"/>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2#</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Operations Transfer Agreement, dated as of January 27, 2022, entered into by affiliates of the Company and affiliates of Ensign</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(incorporated by reference to Exhibit 2.1 to The Pennant Group, Inc.’s Current Report on Form 8-K (File No. 001-38900) filed with the SEC on</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January 27, 2022).</w:t>
            </w:r>
          </w:p>
        </w:tc>
      </w:tr>
      <w:tr>
        <w:trPr>
          <w:trHeight w:val="206"/>
        </w:trPr>
        <w:tc>
          <w:tcPr>
            <w:tcW w:w="320" w:type="dxa"/>
            <w:vAlign w:val="bottom"/>
            <w:gridSpan w:val="3"/>
          </w:tcPr>
          <w:p>
            <w:pPr>
              <w:ind w:left="20"/>
              <w:spacing w:after="0"/>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Amended and Restated Certificate of Incorporation of The Pennant Group, Inc., effective as of September 27, 2019 (incorporated by reference to</w:t>
            </w: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Exhibit 3.1 to The Pennant Group, Inc.’s Current Report on Form 8-K (File No. 001-38900) filed with the SEC on October 3, 2019).</w:t>
            </w:r>
          </w:p>
        </w:tc>
      </w:tr>
      <w:tr>
        <w:trPr>
          <w:trHeight w:val="219"/>
        </w:trPr>
        <w:tc>
          <w:tcPr>
            <w:tcW w:w="320" w:type="dxa"/>
            <w:vAlign w:val="bottom"/>
            <w:gridSpan w:val="3"/>
          </w:tcPr>
          <w:p>
            <w:pPr>
              <w:ind w:left="20"/>
              <w:spacing w:after="0"/>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Second Amended and Restated Bylaws of The Pennant Group, Inc., effective as of February 21, 2022 (incorporated by reference to Exhibit 3.1 to</w:t>
            </w: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Pennant Group, Inc.’s Current Report on Form 8-K (File No. 001-38900) filed with the SEC February 22, 2022).</w:t>
            </w:r>
          </w:p>
        </w:tc>
      </w:tr>
      <w:tr>
        <w:trPr>
          <w:trHeight w:val="219"/>
        </w:trPr>
        <w:tc>
          <w:tcPr>
            <w:tcW w:w="320" w:type="dxa"/>
            <w:vAlign w:val="bottom"/>
            <w:gridSpan w:val="3"/>
          </w:tcPr>
          <w:p>
            <w:pPr>
              <w:ind w:left="20"/>
              <w:spacing w:after="0"/>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Description of Securities of The Pennant Group, Inc. (incorporated by reference to Exhibit 4.1 to The Pennant Group, Inc.’s Annual Report on</w:t>
            </w: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10-K (File No. 001-389000) filed with the SEC on March 4, 2020).</w:t>
            </w:r>
          </w:p>
        </w:tc>
      </w:tr>
      <w:tr>
        <w:trPr>
          <w:trHeight w:val="219"/>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Transition Services Agreement, dated as of October 1, 2019, by and between The Ensign Group, Inc. and The Pennant Group, Inc. (incorporated</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by reference to Exhibit 10.1 to The Pennant Group, Inc.’s Current Report on Form 8-K (File No. 001-38900) filed with the SEC on October 3,</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2019).</w:t>
            </w:r>
          </w:p>
        </w:tc>
      </w:tr>
      <w:tr>
        <w:trPr>
          <w:trHeight w:val="206"/>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Tax Matters Agreement, dated as of October 1, 2019, by and between The Ensign Group, Inc. and The Pennant Group, Inc. (incorporated by</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reference to Exhibit 10.2 to The Pennant Group, Inc.’s Current Report on Form 8-K (File No. 001-38900) filed with the SEC on October 3,</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2019).</w:t>
            </w:r>
          </w:p>
        </w:tc>
      </w:tr>
      <w:tr>
        <w:trPr>
          <w:trHeight w:val="206"/>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Employee Matters Agreement, dated as of October 1, 2019, by and between The Ensign Group, Inc. and The Pennant Group, Inc. (incorporated</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by reference to Exhibit 10.3 to The Pennant Group, Inc.’s Current Report on Form 8-K (File No. 001-38900) filed with the SEC on October 3,</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2019).</w:t>
            </w:r>
          </w:p>
        </w:tc>
      </w:tr>
      <w:tr>
        <w:trPr>
          <w:trHeight w:val="206"/>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Lease Agreement by and among subsidiaries of The Ensign Group, Inc. and subsidiaries of The Pennant Group, Inc. (incorporated by</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reference to Exhibit 10.4 to The Pennant Group, Inc.’s Amendment No. 2 to the Registration Statement on Form 10 (File No. 001-38900) filed</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with the SEC on August 19, 2019).</w:t>
            </w:r>
          </w:p>
        </w:tc>
      </w:tr>
      <w:tr>
        <w:trPr>
          <w:trHeight w:val="83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Times New Roman" w:cs="Times New Roman" w:eastAsia="Times New Roman" w:hAnsi="Times New Roman"/>
                <w:sz w:val="17"/>
                <w:szCs w:val="17"/>
                <w:color w:val="auto"/>
              </w:rPr>
              <w:t>49</w:t>
            </w:r>
          </w:p>
        </w:tc>
      </w:tr>
      <w:tr>
        <w:trPr>
          <w:trHeight w:val="108"/>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gridSpan w:val="4"/>
          </w:tcPr>
          <w:p>
            <w:pPr>
              <w:ind w:left="20"/>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5+</w:t>
              </w:r>
            </w:hyperlink>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Pennant Group, Inc. 2019 Omnibus Incentive Plan (incorporated by reference to Exhibit 10.12 to The Pennant Group, Inc.’s Current Report</w:t>
            </w:r>
          </w:p>
        </w:tc>
      </w:tr>
      <w:tr>
        <w:trPr>
          <w:trHeight w:val="212"/>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 Form 8-K (File No. 001-38900) filed with the SEC on October 3, 2019).</w:t>
            </w:r>
          </w:p>
        </w:tc>
      </w:tr>
      <w:tr>
        <w:trPr>
          <w:trHeight w:val="219"/>
        </w:trPr>
        <w:tc>
          <w:tcPr>
            <w:tcW w:w="500" w:type="dxa"/>
            <w:vAlign w:val="bottom"/>
            <w:gridSpan w:val="4"/>
          </w:tcPr>
          <w:p>
            <w:pPr>
              <w:ind w:left="20"/>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6+</w:t>
              </w:r>
            </w:hyperlink>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Form of Options Granted Under The Pennant Group, Inc. 2019 Omnibus Incentive Plan (incorporated by reference to Exhibit 10.6 to The</w:t>
            </w:r>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Pennant Group, Inc.’s Amendment No. 2 to the Registration Statement on Form 10 (File No. 001-38900) filed with the SEC on August 19,</w:t>
            </w: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2019).</w:t>
            </w:r>
          </w:p>
        </w:tc>
      </w:tr>
      <w:tr>
        <w:trPr>
          <w:trHeight w:val="206"/>
        </w:trPr>
        <w:tc>
          <w:tcPr>
            <w:tcW w:w="500" w:type="dxa"/>
            <w:vAlign w:val="bottom"/>
            <w:gridSpan w:val="4"/>
          </w:tcPr>
          <w:p>
            <w:pPr>
              <w:ind w:left="20"/>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w:t>
              </w:r>
            </w:hyperlink>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Form of RSUs Granted Under The Pennant Group, Inc. 2019 Omnibus Incentive Plan (incorporated by reference to Exhibit 10.7 to The Pennant</w:t>
            </w:r>
          </w:p>
        </w:tc>
      </w:tr>
      <w:tr>
        <w:trPr>
          <w:trHeight w:val="212"/>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Group, Inc.’s Amendment No. 2 to the Registration Statement on Form 10 (File No. 001-38900) filed with the SEC on August 19, 2019).</w:t>
            </w:r>
          </w:p>
        </w:tc>
      </w:tr>
      <w:tr>
        <w:trPr>
          <w:trHeight w:val="219"/>
        </w:trPr>
        <w:tc>
          <w:tcPr>
            <w:tcW w:w="500" w:type="dxa"/>
            <w:vAlign w:val="bottom"/>
            <w:gridSpan w:val="4"/>
          </w:tcPr>
          <w:p>
            <w:pPr>
              <w:ind w:left="20"/>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8+</w:t>
              </w:r>
            </w:hyperlink>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Form of RS Granted Under The Pennant Group, Inc. 2019 Omnibus Incentive Plan (incorporated by reference to Exhibit 10.8 to The Pennant</w:t>
            </w:r>
          </w:p>
        </w:tc>
      </w:tr>
      <w:tr>
        <w:trPr>
          <w:trHeight w:val="212"/>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Group, Inc.’s Amendment No. 2 to the Registration Statement on Form 10 (File No. 001-38900) filed with the SEC on August 19, 2019).</w:t>
            </w:r>
          </w:p>
        </w:tc>
      </w:tr>
      <w:tr>
        <w:trPr>
          <w:trHeight w:val="219"/>
        </w:trPr>
        <w:tc>
          <w:tcPr>
            <w:tcW w:w="500" w:type="dxa"/>
            <w:vAlign w:val="bottom"/>
            <w:gridSpan w:val="4"/>
          </w:tcPr>
          <w:p>
            <w:pPr>
              <w:ind w:left="20"/>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9+</w:t>
              </w:r>
            </w:hyperlink>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Pennant Group, Inc. 2019 Long Term Incentive Plan (incorporated by reference to Exhibit 10.11 to The Pennant Group, Inc.’s Current</w:t>
            </w:r>
          </w:p>
        </w:tc>
      </w:tr>
      <w:tr>
        <w:trPr>
          <w:trHeight w:val="212"/>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Report on Form 8-K (File No. 001-38900) filed with the SEC on October 3, 2019).</w:t>
            </w:r>
          </w:p>
        </w:tc>
      </w:tr>
      <w:tr>
        <w:trPr>
          <w:trHeight w:val="219"/>
        </w:trPr>
        <w:tc>
          <w:tcPr>
            <w:tcW w:w="980" w:type="dxa"/>
            <w:vAlign w:val="bottom"/>
            <w:gridSpan w:val="5"/>
          </w:tcPr>
          <w:p>
            <w:pPr>
              <w:ind w:left="20"/>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10+</w:t>
              </w:r>
            </w:hyperlink>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Form of LTIP RS Granted Under The Pennant Group, Inc. 2019 Long Term Incentive Plan (incorporated by reference to Exhibit 10.10 to The</w:t>
            </w:r>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Pennant Group, Inc.’s Amendment No. 2 to the Registration Statement on Form 10 (File No. 001-38900) filed with the SEC on August 19,</w:t>
            </w: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2019).</w:t>
            </w:r>
          </w:p>
        </w:tc>
      </w:tr>
      <w:tr>
        <w:trPr>
          <w:trHeight w:val="206"/>
        </w:trPr>
        <w:tc>
          <w:tcPr>
            <w:tcW w:w="400" w:type="dxa"/>
            <w:vAlign w:val="bottom"/>
            <w:gridSpan w:val="2"/>
          </w:tcPr>
          <w:p>
            <w:pPr>
              <w:ind w:left="20"/>
              <w:spacing w:after="0"/>
              <w:rPr>
                <w:rFonts w:ascii="Times New Roman" w:cs="Times New Roman" w:eastAsia="Times New Roman" w:hAnsi="Times New Roman"/>
                <w:sz w:val="17"/>
                <w:szCs w:val="17"/>
                <w:color w:val="0000FF"/>
                <w:w w:val="93"/>
              </w:rPr>
            </w:pPr>
            <w:hyperlink r:id="rId96">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11</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Form of Indemnification Agreement to be entered into between The Pennant Group, Inc. and each of its directors and executive officers</w:t>
            </w:r>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(incorporated by reference to Exhibit 10.11 to The Pennant Group, Inc.’s Amendment No. 2 to the Registration Statement on Form 10 (File No.</w:t>
            </w: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001-38900) filed with the SEC on August 19, 2019).</w:t>
            </w:r>
          </w:p>
        </w:tc>
      </w:tr>
      <w:tr>
        <w:trPr>
          <w:trHeight w:val="206"/>
        </w:trPr>
        <w:tc>
          <w:tcPr>
            <w:tcW w:w="400" w:type="dxa"/>
            <w:vAlign w:val="bottom"/>
            <w:gridSpan w:val="2"/>
          </w:tcPr>
          <w:p>
            <w:pPr>
              <w:ind w:left="20"/>
              <w:spacing w:after="0"/>
              <w:rPr>
                <w:rFonts w:ascii="Times New Roman" w:cs="Times New Roman" w:eastAsia="Times New Roman" w:hAnsi="Times New Roman"/>
                <w:sz w:val="17"/>
                <w:szCs w:val="17"/>
                <w:color w:val="0000FF"/>
                <w:w w:val="93"/>
              </w:rPr>
            </w:pPr>
            <w:hyperlink r:id="rId97">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12</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Credit Agreement, dated February 23, 2021, by and among the Company and certain of its subsidiaries, the lenders named therein, and Truist</w:t>
            </w:r>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Bank (successor by merger to SunTrust Bank), as administrative agent for the lenders (incorporated by reference to Exhibit 10.1 to The Pennant</w:t>
            </w: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Group, Inc.’s Current Report on Form 8-K (File No. 001-38900) filed with the SEC on February 24, 2021).</w:t>
            </w:r>
          </w:p>
        </w:tc>
      </w:tr>
      <w:tr>
        <w:trPr>
          <w:trHeight w:val="206"/>
        </w:trPr>
        <w:tc>
          <w:tcPr>
            <w:tcW w:w="980" w:type="dxa"/>
            <w:vAlign w:val="bottom"/>
            <w:gridSpan w:val="5"/>
          </w:tcPr>
          <w:p>
            <w:pPr>
              <w:ind w:left="20"/>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13+</w:t>
              </w:r>
            </w:hyperlink>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Cornerstone Healthcare, Inc. 2016 Omnibus Incentive Plan (incorporated by reference to Exhibit 10.13 to The Pennant Group, Inc.’s Amendment</w:t>
            </w:r>
          </w:p>
        </w:tc>
      </w:tr>
      <w:tr>
        <w:trPr>
          <w:trHeight w:val="212"/>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 3 to the Registration Statement on Form 10 (File No. 001-38900) filed with the SEC on September 3, 2019).</w:t>
            </w:r>
          </w:p>
        </w:tc>
      </w:tr>
      <w:tr>
        <w:trPr>
          <w:trHeight w:val="219"/>
        </w:trPr>
        <w:tc>
          <w:tcPr>
            <w:tcW w:w="980" w:type="dxa"/>
            <w:vAlign w:val="bottom"/>
            <w:gridSpan w:val="5"/>
          </w:tcPr>
          <w:p>
            <w:pPr>
              <w:ind w:left="20"/>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14+</w:t>
              </w:r>
            </w:hyperlink>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Ensign Group, Inc. 2017 Omnibus Incentive Plan (incorporated by reference to Exhibit 10.14 to The Pennant Group, Inc.’s Amendment No.</w:t>
            </w:r>
          </w:p>
        </w:tc>
      </w:tr>
      <w:tr>
        <w:trPr>
          <w:trHeight w:val="212"/>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 to the Registration Statement on Form 10 (File No. 001-38900) filed with the SEC on September 3, 2019).</w:t>
            </w:r>
          </w:p>
        </w:tc>
      </w:tr>
      <w:tr>
        <w:trPr>
          <w:trHeight w:val="219"/>
        </w:trPr>
        <w:tc>
          <w:tcPr>
            <w:tcW w:w="980" w:type="dxa"/>
            <w:vAlign w:val="bottom"/>
            <w:gridSpan w:val="5"/>
          </w:tcPr>
          <w:p>
            <w:pPr>
              <w:ind w:left="20"/>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15+</w:t>
              </w:r>
            </w:hyperlink>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Consulting Agreement, dated July 25, 2022, by and between The Pennant Group, Inc. and Daniel H. Walker (incorporated by reference to Exhibit</w:t>
            </w:r>
          </w:p>
        </w:tc>
      </w:tr>
      <w:tr>
        <w:trPr>
          <w:trHeight w:val="212"/>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10.1 to The Pennant Group, Inc.’s Current Report on Form 8-K (File No. 001-38900) filed with the SEC on July 29, 2022).</w:t>
            </w:r>
          </w:p>
        </w:tc>
      </w:tr>
      <w:tr>
        <w:trPr>
          <w:trHeight w:val="219"/>
        </w:trPr>
        <w:tc>
          <w:tcPr>
            <w:tcW w:w="980" w:type="dxa"/>
            <w:vAlign w:val="bottom"/>
            <w:gridSpan w:val="5"/>
          </w:tcPr>
          <w:p>
            <w:pPr>
              <w:ind w:left="20"/>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16+</w:t>
              </w:r>
            </w:hyperlink>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Amendment to Restricted Stock Unit Agreement, dated July 25, 2022, by and between The Pennant Group, Inc. and Daniel H. Walker</w:t>
            </w:r>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(incorporated by reference to Exhibit 10.2 to The Pennant Group, Inc.’s Current Report on Form 8-K (File No. 001-38900) filed with the SEC on</w:t>
            </w: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July 29, 2022).</w:t>
            </w:r>
          </w:p>
        </w:tc>
      </w:tr>
      <w:tr>
        <w:trPr>
          <w:trHeight w:val="206"/>
        </w:trPr>
        <w:tc>
          <w:tcPr>
            <w:tcW w:w="400" w:type="dxa"/>
            <w:vAlign w:val="bottom"/>
            <w:gridSpan w:val="2"/>
          </w:tcPr>
          <w:p>
            <w:pPr>
              <w:ind w:left="20"/>
              <w:spacing w:after="0"/>
              <w:rPr>
                <w:rFonts w:ascii="Times New Roman" w:cs="Times New Roman" w:eastAsia="Times New Roman" w:hAnsi="Times New Roman"/>
                <w:sz w:val="17"/>
                <w:szCs w:val="17"/>
                <w:color w:val="0000FF"/>
                <w:w w:val="93"/>
              </w:rPr>
            </w:pPr>
            <w:hyperlink r:id="rId102">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17</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Credit Agreement, dated June 12, 2023, by and among the Company and certain of its subsidiaries, the lenders named therein, and Truist Bank</w:t>
            </w:r>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(successor by merger to SunTrust Bank), as administrative agent for the lenders (incorporated by reference to Exhibit 10.1 to The Pennant Group,</w:t>
            </w: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Inc.’s Current Report on Form 8-K (File No. 001-38900) filed with the SEC on June 12, 2023).</w:t>
            </w:r>
          </w:p>
        </w:tc>
      </w:tr>
      <w:tr>
        <w:trPr>
          <w:trHeight w:val="206"/>
        </w:trPr>
        <w:tc>
          <w:tcPr>
            <w:tcW w:w="20" w:type="dxa"/>
            <w:vAlign w:val="bottom"/>
          </w:tcPr>
          <w:p>
            <w:pPr>
              <w:spacing w:after="0"/>
              <w:rPr>
                <w:sz w:val="17"/>
                <w:szCs w:val="17"/>
                <w:color w:val="auto"/>
              </w:rPr>
            </w:pPr>
          </w:p>
        </w:tc>
        <w:tc>
          <w:tcPr>
            <w:tcW w:w="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21.</w:t>
            </w:r>
            <w:r>
              <w:rPr>
                <w:rFonts w:ascii="Times New Roman" w:cs="Times New Roman" w:eastAsia="Times New Roman" w:hAnsi="Times New Roman"/>
                <w:sz w:val="17"/>
                <w:szCs w:val="17"/>
                <w:u w:val="single" w:color="auto"/>
                <w:color w:val="0000FF"/>
                <w:w w:val="93"/>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Subsidiaries of The Pennant Group, Inc.</w:t>
            </w:r>
          </w:p>
        </w:tc>
      </w:tr>
      <w:tr>
        <w:trPr>
          <w:trHeight w:val="225"/>
        </w:trPr>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23.</w:t>
            </w:r>
            <w:r>
              <w:rPr>
                <w:rFonts w:ascii="Times New Roman" w:cs="Times New Roman" w:eastAsia="Times New Roman" w:hAnsi="Times New Roman"/>
                <w:sz w:val="17"/>
                <w:szCs w:val="17"/>
                <w:u w:val="single" w:color="auto"/>
                <w:color w:val="0000FF"/>
                <w:w w:val="93"/>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Consent of Deloitte &amp; Touche LLP.</w:t>
            </w:r>
          </w:p>
        </w:tc>
      </w:tr>
      <w:tr>
        <w:trPr>
          <w:trHeight w:val="225"/>
        </w:trPr>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Certification of Chief Executive Officer pursuant to Section 302 of the Sarbanes-Oxley Act of 2002.</w:t>
            </w:r>
          </w:p>
        </w:tc>
      </w:tr>
      <w:tr>
        <w:trPr>
          <w:trHeight w:val="225"/>
        </w:trPr>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Certification of Chief Financial Officer pursuant to Section 302 of the Sarbanes-Oxley Act of 2002.</w:t>
            </w:r>
          </w:p>
        </w:tc>
      </w:tr>
      <w:tr>
        <w:trPr>
          <w:trHeight w:val="225"/>
        </w:trPr>
        <w:tc>
          <w:tcPr>
            <w:tcW w:w="5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8"/>
              </w:rPr>
              <w:t>32.</w:t>
            </w:r>
            <w:r>
              <w:rPr>
                <w:rFonts w:ascii="Times New Roman" w:cs="Times New Roman" w:eastAsia="Times New Roman" w:hAnsi="Times New Roman"/>
                <w:sz w:val="17"/>
                <w:szCs w:val="17"/>
                <w:u w:val="single" w:color="auto"/>
                <w:color w:val="0000FF"/>
                <w:w w:val="98"/>
              </w:rPr>
              <w:t>1**</w:t>
            </w: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Certification of Chief Executive Officer pursuant to 18 U.S.C. Section 1350, as adopted pursuant to Section 906 of the Sarbanes-Oxley Act of</w:t>
            </w:r>
          </w:p>
        </w:tc>
      </w:tr>
      <w:tr>
        <w:trPr>
          <w:trHeight w:val="212"/>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2002.</w:t>
            </w:r>
          </w:p>
        </w:tc>
      </w:tr>
      <w:tr>
        <w:trPr>
          <w:trHeight w:val="219"/>
        </w:trPr>
        <w:tc>
          <w:tcPr>
            <w:tcW w:w="20" w:type="dxa"/>
            <w:vAlign w:val="bottom"/>
          </w:tcPr>
          <w:p>
            <w:pPr>
              <w:spacing w:after="0"/>
              <w:rPr>
                <w:sz w:val="19"/>
                <w:szCs w:val="19"/>
                <w:color w:val="auto"/>
              </w:rPr>
            </w:pPr>
          </w:p>
        </w:tc>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32.</w:t>
            </w:r>
            <w:r>
              <w:rPr>
                <w:rFonts w:ascii="Times New Roman" w:cs="Times New Roman" w:eastAsia="Times New Roman" w:hAnsi="Times New Roman"/>
                <w:sz w:val="17"/>
                <w:szCs w:val="17"/>
                <w:u w:val="single" w:color="auto"/>
                <w:color w:val="0000FF"/>
                <w:w w:val="98"/>
              </w:rPr>
              <w:t>2**</w:t>
            </w: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Certification of Chief Financial Officer pursuant 18 U.S.C. Section 1350, as adopted pursuant to Section 906 of the Sarbanes-Oxley Act of 2002.</w:t>
            </w:r>
          </w:p>
        </w:tc>
      </w:tr>
      <w:tr>
        <w:trPr>
          <w:trHeight w:val="264"/>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3"/>
              </w:rPr>
              <w:t>97.1*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Clawback Policy of The Pennant Group, Inc.</w:t>
            </w:r>
          </w:p>
        </w:tc>
      </w:tr>
      <w:tr>
        <w:trPr>
          <w:trHeight w:val="215"/>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101.INS*</w:t>
            </w: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Instance Document - the instance document does not appear in the Interactive Data File because its XBRL tags are embedded within the Inline</w:t>
            </w: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XBRL document.</w:t>
            </w:r>
          </w:p>
        </w:tc>
      </w:tr>
      <w:tr>
        <w:trPr>
          <w:trHeight w:val="258"/>
        </w:trPr>
        <w:tc>
          <w:tcPr>
            <w:tcW w:w="20" w:type="dxa"/>
            <w:vAlign w:val="bottom"/>
          </w:tcPr>
          <w:p>
            <w:pPr>
              <w:spacing w:after="0"/>
              <w:rPr>
                <w:sz w:val="22"/>
                <w:szCs w:val="22"/>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101.SCH*</w:t>
            </w: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83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60" w:type="dxa"/>
            <w:vAlign w:val="bottom"/>
          </w:tcPr>
          <w:p>
            <w:pPr>
              <w:ind w:left="4560"/>
              <w:spacing w:after="0"/>
              <w:rPr>
                <w:sz w:val="20"/>
                <w:szCs w:val="20"/>
                <w:color w:val="auto"/>
              </w:rPr>
            </w:pPr>
            <w:r>
              <w:rPr>
                <w:rFonts w:ascii="Times New Roman" w:cs="Times New Roman" w:eastAsia="Times New Roman" w:hAnsi="Times New Roman"/>
                <w:sz w:val="17"/>
                <w:szCs w:val="17"/>
                <w:color w:val="auto"/>
              </w:rPr>
              <w:t>50</w:t>
            </w:r>
          </w:p>
        </w:tc>
      </w:tr>
      <w:tr>
        <w:trPr>
          <w:trHeight w:val="108"/>
        </w:trPr>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3" w:right="37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49" w:lineRule="exact"/>
        <w:rPr>
          <w:sz w:val="20"/>
          <w:szCs w:val="20"/>
          <w:color w:val="auto"/>
        </w:rPr>
      </w:pPr>
    </w:p>
    <w:p>
      <w:pPr>
        <w:sectPr>
          <w:pgSz w:w="11900" w:h="16838" w:orient="portrait"/>
          <w:cols w:equalWidth="0" w:num="2">
            <w:col w:w="760" w:space="440"/>
            <w:col w:w="10000"/>
          </w:cols>
          <w:pgMar w:left="320" w:top="123"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49" w:lineRule="exact"/>
        <w:rPr>
          <w:sz w:val="20"/>
          <w:szCs w:val="20"/>
          <w:color w:val="auto"/>
        </w:rPr>
      </w:pPr>
    </w:p>
    <w:p>
      <w:pPr>
        <w:sectPr>
          <w:pgSz w:w="11900" w:h="16838" w:orient="portrait"/>
          <w:cols w:equalWidth="0" w:num="2">
            <w:col w:w="740" w:space="460"/>
            <w:col w:w="10000"/>
          </w:cols>
          <w:pgMar w:left="320" w:top="123"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p>
      <w:pPr>
        <w:spacing w:after="0" w:line="49" w:lineRule="exact"/>
        <w:rPr>
          <w:sz w:val="20"/>
          <w:szCs w:val="20"/>
          <w:color w:val="auto"/>
        </w:rPr>
      </w:pPr>
    </w:p>
    <w:p>
      <w:pPr>
        <w:sectPr>
          <w:pgSz w:w="11900" w:h="16838" w:orient="portrait"/>
          <w:cols w:equalWidth="0" w:num="2">
            <w:col w:w="760" w:space="440"/>
            <w:col w:w="10000"/>
          </w:cols>
          <w:pgMar w:left="320" w:top="123"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49" w:lineRule="exact"/>
        <w:rPr>
          <w:sz w:val="20"/>
          <w:szCs w:val="20"/>
          <w:color w:val="auto"/>
        </w:rPr>
      </w:pPr>
    </w:p>
    <w:p>
      <w:pPr>
        <w:sectPr>
          <w:pgSz w:w="11900" w:h="16838" w:orient="portrait"/>
          <w:cols w:equalWidth="0" w:num="2">
            <w:col w:w="720" w:space="480"/>
            <w:col w:w="10000"/>
          </w:cols>
          <w:pgMar w:left="320" w:top="123"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 the cover page XBRL tags are embedded within the Inline XBRL document.</w:t>
      </w:r>
    </w:p>
    <w:p>
      <w:pPr>
        <w:spacing w:after="0" w:line="49" w:lineRule="exact"/>
        <w:rPr>
          <w:sz w:val="20"/>
          <w:szCs w:val="20"/>
          <w:color w:val="auto"/>
        </w:rPr>
      </w:pPr>
    </w:p>
    <w:p>
      <w:pPr>
        <w:sectPr>
          <w:pgSz w:w="11900" w:h="16838" w:orient="portrait"/>
          <w:cols w:equalWidth="0" w:num="2">
            <w:col w:w="480" w:space="720"/>
            <w:col w:w="10000"/>
          </w:cols>
          <w:pgMar w:left="320" w:top="123" w:right="3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 Filed with this report.</w:t>
      </w:r>
    </w:p>
    <w:p>
      <w:pPr>
        <w:spacing w:after="0" w:line="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Furnished with this report.</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Exhibit constitutes a management contract or compensatory plan or agreement.</w:t>
      </w:r>
    </w:p>
    <w:p>
      <w:pPr>
        <w:ind w:left="1200"/>
        <w:spacing w:after="0" w:line="237" w:lineRule="auto"/>
        <w:rPr>
          <w:sz w:val="20"/>
          <w:szCs w:val="20"/>
          <w:color w:val="auto"/>
        </w:rPr>
      </w:pPr>
      <w:r>
        <w:rPr>
          <w:rFonts w:ascii="Times New Roman" w:cs="Times New Roman" w:eastAsia="Times New Roman" w:hAnsi="Times New Roman"/>
          <w:sz w:val="17"/>
          <w:szCs w:val="17"/>
          <w:color w:val="auto"/>
        </w:rPr>
        <w:t># Schedules omitted pursuant to Item 601(b)(2) of Regulation S-K. The Pennant Group Inc. agrees to furnish a supplemental copy of any omitted</w:t>
      </w:r>
    </w:p>
    <w:p>
      <w:pPr>
        <w:ind w:left="1200"/>
        <w:spacing w:after="0"/>
        <w:rPr>
          <w:sz w:val="20"/>
          <w:szCs w:val="20"/>
          <w:color w:val="auto"/>
        </w:rPr>
      </w:pPr>
      <w:r>
        <w:rPr>
          <w:rFonts w:ascii="Times New Roman" w:cs="Times New Roman" w:eastAsia="Times New Roman" w:hAnsi="Times New Roman"/>
          <w:sz w:val="17"/>
          <w:szCs w:val="17"/>
          <w:color w:val="auto"/>
        </w:rPr>
        <w:t>schedule to the SEC upon request.</w:t>
      </w:r>
    </w:p>
    <w:p>
      <w:pPr>
        <w:sectPr>
          <w:pgSz w:w="11900" w:h="16838" w:orient="portrait"/>
          <w:cols w:equalWidth="0" w:num="1">
            <w:col w:w="11200"/>
          </w:cols>
          <w:pgMar w:left="320" w:top="123" w:right="379" w:bottom="1440" w:gutter="0" w:footer="0" w:header="0"/>
          <w:type w:val="continuous"/>
        </w:sectPr>
      </w:pPr>
    </w:p>
    <w:p>
      <w:pPr>
        <w:spacing w:after="0" w:line="3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82"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80" w:type="dxa"/>
            <w:vAlign w:val="bottom"/>
          </w:tcPr>
          <w:p>
            <w:pPr>
              <w:spacing w:after="0"/>
              <w:rPr>
                <w:sz w:val="19"/>
                <w:szCs w:val="19"/>
                <w:color w:val="auto"/>
              </w:rPr>
            </w:pPr>
          </w:p>
        </w:tc>
        <w:tc>
          <w:tcPr>
            <w:tcW w:w="7520" w:type="dxa"/>
            <w:vAlign w:val="bottom"/>
            <w:gridSpan w:val="2"/>
          </w:tcPr>
          <w:p>
            <w:pPr>
              <w:ind w:left="1900"/>
              <w:spacing w:after="0"/>
              <w:rPr>
                <w:sz w:val="20"/>
                <w:szCs w:val="20"/>
                <w:color w:val="auto"/>
              </w:rPr>
            </w:pPr>
            <w:r>
              <w:rPr>
                <w:rFonts w:ascii="Times New Roman" w:cs="Times New Roman" w:eastAsia="Times New Roman" w:hAnsi="Times New Roman"/>
                <w:sz w:val="17"/>
                <w:szCs w:val="17"/>
                <w:color w:val="auto"/>
              </w:rPr>
              <w:t>The Pennant Group, Inc.</w:t>
            </w: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28, 2024</w:t>
            </w:r>
          </w:p>
        </w:tc>
        <w:tc>
          <w:tcPr>
            <w:tcW w:w="268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LYNETTE B. WALBOM</w:t>
            </w:r>
          </w:p>
        </w:tc>
      </w:tr>
      <w:tr>
        <w:trPr>
          <w:trHeight w:val="216"/>
        </w:trPr>
        <w:tc>
          <w:tcPr>
            <w:tcW w:w="3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Lynette B. Walbom</w:t>
            </w:r>
          </w:p>
        </w:tc>
      </w:tr>
    </w:tbl>
    <w:p>
      <w:pPr>
        <w:ind w:left="6380"/>
        <w:spacing w:after="0" w:line="218" w:lineRule="auto"/>
        <w:rPr>
          <w:sz w:val="20"/>
          <w:szCs w:val="20"/>
          <w:color w:val="auto"/>
        </w:rPr>
      </w:pPr>
      <w:r>
        <w:rPr>
          <w:rFonts w:ascii="Times New Roman" w:cs="Times New Roman" w:eastAsia="Times New Roman" w:hAnsi="Times New Roman"/>
          <w:sz w:val="17"/>
          <w:szCs w:val="17"/>
          <w:color w:val="auto"/>
        </w:rPr>
        <w:t>Chief Financial Officer (Principal Financial Officer, Principal</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00" w:type="dxa"/>
            <w:vAlign w:val="bottom"/>
          </w:tcPr>
          <w:p>
            <w:pPr>
              <w:spacing w:after="0"/>
              <w:rPr>
                <w:sz w:val="19"/>
                <w:szCs w:val="19"/>
                <w:color w:val="auto"/>
              </w:rPr>
            </w:pP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20" w:type="dxa"/>
            <w:vAlign w:val="bottom"/>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Chief Executive Officer (Principal Executive</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BRENT J. GUERISOLI</w:t>
            </w: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Officer)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Brent J. Guerisoli</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LYNETTE B. WALBOM</w:t>
            </w:r>
          </w:p>
        </w:tc>
        <w:tc>
          <w:tcPr>
            <w:tcW w:w="100" w:type="dxa"/>
            <w:vAlign w:val="bottom"/>
          </w:tcPr>
          <w:p>
            <w:pPr>
              <w:spacing w:after="0"/>
              <w:rPr>
                <w:sz w:val="14"/>
                <w:szCs w:val="14"/>
                <w:color w:val="auto"/>
              </w:rPr>
            </w:pPr>
          </w:p>
        </w:tc>
        <w:tc>
          <w:tcPr>
            <w:tcW w:w="378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7"/>
                <w:szCs w:val="17"/>
                <w:color w:val="auto"/>
              </w:rPr>
              <w:t>Principal Accounting Officer and Duly Authorized</w:t>
            </w:r>
          </w:p>
        </w:tc>
        <w:tc>
          <w:tcPr>
            <w:tcW w:w="3660" w:type="dxa"/>
            <w:vAlign w:val="bottom"/>
            <w:vMerge w:val="restart"/>
          </w:tcPr>
          <w:p>
            <w:pPr>
              <w:ind w:left="1200"/>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r>
        <w:trPr>
          <w:trHeight w:val="224"/>
        </w:trPr>
        <w:tc>
          <w:tcPr>
            <w:tcW w:w="3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Officer)</w:t>
            </w:r>
          </w:p>
        </w:tc>
        <w:tc>
          <w:tcPr>
            <w:tcW w:w="3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Lynette B. Walbom</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BARRY M. SMITH</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Chairman</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Barry M. Smith</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CHRISTOPER R. CHRISTENSEN</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Christopher R. Christensen</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JOHN G. NACKEL, Ph.D.</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John G. Nackel, Ph.D.</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STEPHEN M. R. COVEY</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Stephen M. R. Covey</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JOANNE STRINGFIELD</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JoAnne Stringfield</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SCOTT E. LAMB</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Scott E. Lamb</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GREGORY K. MORRIS</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Gregory K. Morris</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104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80" w:type="dxa"/>
            <w:vAlign w:val="bottom"/>
          </w:tcPr>
          <w:p>
            <w:pPr>
              <w:spacing w:after="0"/>
              <w:rPr>
                <w:sz w:val="17"/>
                <w:szCs w:val="17"/>
                <w:color w:val="auto"/>
              </w:rPr>
            </w:pPr>
          </w:p>
        </w:tc>
      </w:tr>
      <w:tr>
        <w:trPr>
          <w:trHeight w:val="733"/>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6980" w:type="dxa"/>
            <w:vAlign w:val="bottom"/>
            <w:gridSpan w:val="7"/>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1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40" w:type="dxa"/>
            <w:vAlign w:val="bottom"/>
            <w:gridSpan w:val="8"/>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INDEX TO THE CONSOLIDATED FINANCIAL STATEMENTS</w:t>
            </w:r>
          </w:p>
        </w:tc>
        <w:tc>
          <w:tcPr>
            <w:tcW w:w="18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980" w:type="dxa"/>
            <w:vAlign w:val="bottom"/>
            <w:gridSpan w:val="7"/>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AND FINANCIAL STATEMENT SCHEDULE</w:t>
            </w:r>
          </w:p>
        </w:tc>
        <w:tc>
          <w:tcPr>
            <w:tcW w:w="180" w:type="dxa"/>
            <w:vAlign w:val="bottom"/>
          </w:tcPr>
          <w:p>
            <w:pPr>
              <w:spacing w:after="0"/>
              <w:rPr>
                <w:sz w:val="19"/>
                <w:szCs w:val="19"/>
                <w:color w:val="auto"/>
              </w:rPr>
            </w:pPr>
          </w:p>
        </w:tc>
      </w:tr>
      <w:tr>
        <w:trPr>
          <w:trHeight w:val="902"/>
        </w:trPr>
        <w:tc>
          <w:tcPr>
            <w:tcW w:w="20" w:type="dxa"/>
            <w:vAlign w:val="bottom"/>
          </w:tcPr>
          <w:p>
            <w:pPr>
              <w:spacing w:after="0"/>
              <w:rPr>
                <w:sz w:val="24"/>
                <w:szCs w:val="24"/>
                <w:color w:val="auto"/>
              </w:rPr>
            </w:pPr>
          </w:p>
        </w:tc>
        <w:tc>
          <w:tcPr>
            <w:tcW w:w="104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(PCAOB ID No. </w:t>
            </w:r>
            <w:r>
              <w:rPr>
                <w:rFonts w:ascii="Times New Roman" w:cs="Times New Roman" w:eastAsia="Times New Roman" w:hAnsi="Times New Roman"/>
                <w:sz w:val="17"/>
                <w:szCs w:val="17"/>
                <w:color w:val="0E32E1"/>
              </w:rPr>
              <w:t>34)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54</w:t>
            </w:r>
          </w:p>
        </w:tc>
      </w:tr>
      <w:tr>
        <w:trPr>
          <w:trHeight w:val="234"/>
        </w:trPr>
        <w:tc>
          <w:tcPr>
            <w:tcW w:w="20" w:type="dxa"/>
            <w:vAlign w:val="bottom"/>
          </w:tcPr>
          <w:p>
            <w:pPr>
              <w:spacing w:after="0"/>
              <w:rPr>
                <w:sz w:val="20"/>
                <w:szCs w:val="20"/>
                <w:color w:val="auto"/>
              </w:rPr>
            </w:pPr>
          </w:p>
        </w:tc>
        <w:tc>
          <w:tcPr>
            <w:tcW w:w="5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240" w:type="dxa"/>
            <w:vAlign w:val="bottom"/>
            <w:tcBorders>
              <w:top w:val="single" w:sz="8" w:color="0E32E1"/>
            </w:tcBorders>
          </w:tcPr>
          <w:p>
            <w:pPr>
              <w:spacing w:after="0"/>
              <w:rPr>
                <w:sz w:val="20"/>
                <w:szCs w:val="20"/>
                <w:color w:val="auto"/>
              </w:rPr>
            </w:pPr>
          </w:p>
        </w:tc>
        <w:tc>
          <w:tcPr>
            <w:tcW w:w="4940" w:type="dxa"/>
            <w:vAlign w:val="bottom"/>
            <w:gridSpan w:val="4"/>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60" w:type="dxa"/>
            <w:vAlign w:val="bottom"/>
            <w:tcBorders>
              <w:bottom w:val="single" w:sz="8" w:color="0000FF"/>
            </w:tcBorders>
            <w:gridSpan w:val="6"/>
          </w:tcPr>
          <w:p>
            <w:pPr>
              <w:spacing w:after="0" w:line="184" w:lineRule="exact"/>
              <w:rPr>
                <w:sz w:val="20"/>
                <w:szCs w:val="20"/>
                <w:color w:val="auto"/>
              </w:rPr>
            </w:pPr>
            <w:r>
              <w:rPr>
                <w:rFonts w:ascii="Times New Roman" w:cs="Times New Roman" w:eastAsia="Times New Roman" w:hAnsi="Times New Roman"/>
                <w:sz w:val="17"/>
                <w:szCs w:val="17"/>
                <w:color w:val="0000FF"/>
              </w:rPr>
              <w:t>Consolidated Balance Sheets as of December 31, 2023 and 2022</w:t>
            </w:r>
          </w:p>
        </w:tc>
        <w:tc>
          <w:tcPr>
            <w:tcW w:w="3880" w:type="dxa"/>
            <w:vAlign w:val="bottom"/>
            <w:gridSpan w:val="3"/>
          </w:tcPr>
          <w:p>
            <w:pPr>
              <w:spacing w:after="0"/>
              <w:rPr>
                <w:sz w:val="16"/>
                <w:szCs w:val="16"/>
                <w:color w:val="auto"/>
              </w:rPr>
            </w:pPr>
          </w:p>
        </w:tc>
        <w:tc>
          <w:tcPr>
            <w:tcW w:w="180" w:type="dxa"/>
            <w:vAlign w:val="bottom"/>
            <w:tcBorders>
              <w:bottom w:val="single" w:sz="8" w:color="0000FF"/>
            </w:tcBorders>
          </w:tcPr>
          <w:p>
            <w:pPr>
              <w:jc w:val="right"/>
              <w:spacing w:after="0" w:line="184" w:lineRule="exact"/>
              <w:rPr>
                <w:sz w:val="20"/>
                <w:szCs w:val="20"/>
                <w:color w:val="auto"/>
              </w:rPr>
            </w:pPr>
            <w:r>
              <w:rPr>
                <w:rFonts w:ascii="Times New Roman" w:cs="Times New Roman" w:eastAsia="Times New Roman" w:hAnsi="Times New Roman"/>
                <w:sz w:val="17"/>
                <w:szCs w:val="17"/>
                <w:color w:val="0000FF"/>
                <w:w w:val="93"/>
              </w:rPr>
              <w:t>56</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Income for the Years Ended December 31, 2023, 2022 and 2021</w:t>
            </w:r>
          </w:p>
        </w:tc>
        <w:tc>
          <w:tcPr>
            <w:tcW w:w="3880" w:type="dxa"/>
            <w:vAlign w:val="bottom"/>
            <w:gridSpan w:val="3"/>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57</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2023, 2022 and 2021</w:t>
            </w:r>
          </w:p>
        </w:tc>
        <w:tc>
          <w:tcPr>
            <w:tcW w:w="296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58</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2023, 2022 and 2021</w:t>
            </w:r>
          </w:p>
        </w:tc>
        <w:tc>
          <w:tcPr>
            <w:tcW w:w="358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59</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Notes to the Consolidated Financial Statements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61</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40"/>
          </w:cols>
          <w:pgMar w:left="320" w:top="112" w:right="9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The Pennant Group,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The Pennant Group, Inc. and subsidiaries (the "Company") as of December 31, 2023 and 2022, the related consolidated statements of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28, 2024, expressed an unqualified opinion on the Company's internal control over financial 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Self-Insurance Reserve — Refer to Note 2 and Note 16 to the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is self-insured for general and professional liability, workers’ compensation, automobile, and its employee health plans while maintaining stop-loss coverage with third-party insurers to limit its total liability exposure. The self-insurance reserves are undiscounted. Self-insurance reserves consist of the projected settlement value of reported and unreported claims. The projected settlement values are estimated based on the Company’s historical claim experience, supplemented with industry experience, as necessary and are established using actuarial methods followed in the insurance industry.</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identified the evaluation of the Company’s self-insurance reserves for general and professional liability and workers’ compensation as a critical audit matter because estimating projected settlement value of reported and unreported claims involves significant estimation by management. This required a high degree of auditor judgment and an increased extent of effort, including the need to involve our actuarial specialists, when performing audit procedures to evaluate whether self-insurance reserves were appropriately recorded as of December 31, 2023.</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self-insurance reserves for general and professional liability and workers’ compensation included the following among others:</w:t>
      </w:r>
    </w:p>
    <w:p>
      <w:pPr>
        <w:spacing w:after="0" w:line="243" w:lineRule="exact"/>
        <w:rPr>
          <w:sz w:val="20"/>
          <w:szCs w:val="20"/>
          <w:color w:val="auto"/>
        </w:rPr>
      </w:pPr>
    </w:p>
    <w:p>
      <w:pPr>
        <w:ind w:left="620" w:hanging="61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related to self-insurance reserves for general and professional liability and workers’ compensation, including management’s controls over the review of the historical claim data and the projection of the settlement value of the reported and unreported claims.</w:t>
      </w:r>
    </w:p>
    <w:p>
      <w:pPr>
        <w:spacing w:after="0" w:line="177" w:lineRule="exact"/>
        <w:rPr>
          <w:rFonts w:ascii="Times New Roman" w:cs="Times New Roman" w:eastAsia="Times New Roman" w:hAnsi="Times New Roman"/>
          <w:sz w:val="17"/>
          <w:szCs w:val="17"/>
          <w:color w:val="auto"/>
        </w:rPr>
      </w:pPr>
    </w:p>
    <w:p>
      <w:pPr>
        <w:ind w:left="620" w:hanging="61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methods and assumptions used by management to estimate the self-insurance reserves for general and professional liability and workers’ compensation by:</w:t>
      </w:r>
    </w:p>
    <w:p>
      <w:pPr>
        <w:spacing w:after="0" w:line="177"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Reading the Company’s insurance policies and compared the coverage and terms to the assumptions used by management.</w:t>
      </w:r>
    </w:p>
    <w:p>
      <w:pPr>
        <w:spacing w:after="0" w:line="242" w:lineRule="exact"/>
        <w:rPr>
          <w:rFonts w:ascii="Times New Roman" w:cs="Times New Roman" w:eastAsia="Times New Roman" w:hAnsi="Times New Roman"/>
          <w:sz w:val="17"/>
          <w:szCs w:val="17"/>
          <w:color w:val="auto"/>
        </w:rPr>
      </w:pPr>
    </w:p>
    <w:p>
      <w:pPr>
        <w:ind w:left="1240" w:hanging="618"/>
        <w:spacing w:after="0" w:line="287" w:lineRule="auto"/>
        <w:tabs>
          <w:tab w:leader="none" w:pos="1236"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underlying data that served as the basis for the actuarial analysis, including historical claims, to test that the inputs to the actuarial estimate were accurate and complete.</w:t>
      </w:r>
    </w:p>
    <w:p>
      <w:pPr>
        <w:spacing w:after="0" w:line="177" w:lineRule="exact"/>
        <w:rPr>
          <w:rFonts w:ascii="Times New Roman" w:cs="Times New Roman" w:eastAsia="Times New Roman" w:hAnsi="Times New Roman"/>
          <w:sz w:val="17"/>
          <w:szCs w:val="17"/>
          <w:color w:val="auto"/>
        </w:rPr>
      </w:pPr>
    </w:p>
    <w:p>
      <w:pPr>
        <w:ind w:left="1240" w:hanging="618"/>
        <w:spacing w:after="0" w:line="287" w:lineRule="auto"/>
        <w:tabs>
          <w:tab w:leader="none" w:pos="1236"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Comparing management's change in ultimate loss to the differential between expected development and actuals incurred during the current year to identify potential bias in the determination of the insurance reserves.</w:t>
      </w:r>
    </w:p>
    <w:p>
      <w:pPr>
        <w:spacing w:after="0" w:line="177" w:lineRule="exact"/>
        <w:rPr>
          <w:rFonts w:ascii="Times New Roman" w:cs="Times New Roman" w:eastAsia="Times New Roman" w:hAnsi="Times New Roman"/>
          <w:sz w:val="17"/>
          <w:szCs w:val="17"/>
          <w:color w:val="auto"/>
        </w:rPr>
      </w:pPr>
    </w:p>
    <w:p>
      <w:pPr>
        <w:ind w:left="620" w:hanging="61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actuarial specialists, we developed independent estimates of self-insurance reserves for general and professional liability and workers’ compensation and compared our estimates to management’s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Boise, 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5960" w:type="dxa"/>
            <w:vAlign w:val="bottom"/>
          </w:tcPr>
          <w:p>
            <w:pPr>
              <w:jc w:val="center"/>
              <w:ind w:left="2754"/>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5960" w:type="dxa"/>
            <w:vAlign w:val="bottom"/>
          </w:tcPr>
          <w:p>
            <w:pPr>
              <w:jc w:val="center"/>
              <w:ind w:left="277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5960" w:type="dxa"/>
            <w:vAlign w:val="bottom"/>
          </w:tcPr>
          <w:p>
            <w:pPr>
              <w:jc w:val="center"/>
              <w:ind w:left="2754"/>
              <w:spacing w:after="0"/>
              <w:rPr>
                <w:sz w:val="20"/>
                <w:szCs w:val="20"/>
                <w:color w:val="auto"/>
              </w:rPr>
            </w:pPr>
            <w:r>
              <w:rPr>
                <w:rFonts w:ascii="Times New Roman" w:cs="Times New Roman" w:eastAsia="Times New Roman" w:hAnsi="Times New Roman"/>
                <w:sz w:val="17"/>
                <w:szCs w:val="17"/>
                <w:b w:val="1"/>
                <w:bCs w:val="1"/>
                <w:color w:val="auto"/>
              </w:rPr>
              <w:t>(In thousands, except par value)</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21"/>
                <w:szCs w:val="21"/>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00" w:type="dxa"/>
            <w:vAlign w:val="bottom"/>
          </w:tcPr>
          <w:p>
            <w:pPr>
              <w:spacing w:after="0"/>
              <w:rPr>
                <w:sz w:val="21"/>
                <w:szCs w:val="21"/>
                <w:color w:val="auto"/>
              </w:rPr>
            </w:pP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0" w:type="dxa"/>
            <w:vAlign w:val="bottom"/>
          </w:tcPr>
          <w:p>
            <w:pPr>
              <w:spacing w:after="0"/>
              <w:rPr>
                <w:sz w:val="1"/>
                <w:szCs w:val="1"/>
                <w:color w:val="auto"/>
              </w:rPr>
            </w:pPr>
          </w:p>
        </w:tc>
      </w:tr>
      <w:tr>
        <w:trPr>
          <w:trHeight w:val="199"/>
        </w:trPr>
        <w:tc>
          <w:tcPr>
            <w:tcW w:w="718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Cash</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w:t>
            </w:r>
          </w:p>
        </w:tc>
        <w:tc>
          <w:tcPr>
            <w:tcW w:w="0" w:type="dxa"/>
            <w:vAlign w:val="bottom"/>
          </w:tcPr>
          <w:p>
            <w:pPr>
              <w:spacing w:after="0"/>
              <w:rPr>
                <w:sz w:val="1"/>
                <w:szCs w:val="1"/>
                <w:color w:val="auto"/>
              </w:rPr>
            </w:pPr>
          </w:p>
        </w:tc>
      </w:tr>
      <w:tr>
        <w:trPr>
          <w:trHeight w:val="168"/>
        </w:trPr>
        <w:tc>
          <w:tcPr>
            <w:tcW w:w="718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Accounts receivable—less allowance for doubtful accounts of $259 and $592 at December 31, 2023</w:t>
            </w: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2022, respectively</w:t>
            </w: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53,420</w:t>
            </w:r>
          </w:p>
        </w:tc>
        <w:tc>
          <w:tcPr>
            <w:tcW w:w="0" w:type="dxa"/>
            <w:vAlign w:val="bottom"/>
          </w:tcPr>
          <w:p>
            <w:pPr>
              <w:spacing w:after="0"/>
              <w:rPr>
                <w:sz w:val="1"/>
                <w:szCs w:val="1"/>
                <w:color w:val="auto"/>
              </w:rPr>
            </w:pPr>
          </w:p>
        </w:tc>
      </w:tr>
      <w:tr>
        <w:trPr>
          <w:trHeight w:val="219"/>
        </w:trPr>
        <w:tc>
          <w:tcPr>
            <w:tcW w:w="7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18,323</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73,822</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26,621</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260,868</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 tax assets, net</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and other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79,497</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indefinite-lived intangibles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58,617</w:t>
            </w:r>
          </w:p>
        </w:tc>
        <w:tc>
          <w:tcPr>
            <w:tcW w:w="0" w:type="dxa"/>
            <w:vAlign w:val="bottom"/>
          </w:tcPr>
          <w:p>
            <w:pPr>
              <w:spacing w:after="0"/>
              <w:rPr>
                <w:sz w:val="1"/>
                <w:szCs w:val="1"/>
                <w:color w:val="auto"/>
              </w:rPr>
            </w:pPr>
          </w:p>
        </w:tc>
      </w:tr>
      <w:tr>
        <w:trPr>
          <w:trHeight w:val="212"/>
        </w:trPr>
        <w:tc>
          <w:tcPr>
            <w:tcW w:w="71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539,691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512,119</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18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13,647</w:t>
            </w:r>
          </w:p>
        </w:tc>
        <w:tc>
          <w:tcPr>
            <w:tcW w:w="0" w:type="dxa"/>
            <w:vAlign w:val="bottom"/>
          </w:tcPr>
          <w:p>
            <w:pPr>
              <w:spacing w:after="0"/>
              <w:rPr>
                <w:sz w:val="1"/>
                <w:szCs w:val="1"/>
                <w:color w:val="auto"/>
              </w:rPr>
            </w:pPr>
          </w:p>
        </w:tc>
      </w:tr>
      <w:tr>
        <w:trPr>
          <w:trHeight w:val="219"/>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Accrued wages and related liabilities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23,283</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liabilities—current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16,633</w:t>
            </w:r>
          </w:p>
        </w:tc>
        <w:tc>
          <w:tcPr>
            <w:tcW w:w="0" w:type="dxa"/>
            <w:vAlign w:val="bottom"/>
          </w:tcPr>
          <w:p>
            <w:pPr>
              <w:spacing w:after="0"/>
              <w:rPr>
                <w:sz w:val="1"/>
                <w:szCs w:val="1"/>
                <w:color w:val="auto"/>
              </w:rPr>
            </w:pPr>
          </w:p>
        </w:tc>
      </w:tr>
      <w:tr>
        <w:trPr>
          <w:trHeight w:val="219"/>
        </w:trPr>
        <w:tc>
          <w:tcPr>
            <w:tcW w:w="7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16,684</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70,247</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lease liabilities—less current portion</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247,042</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6,281</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Long-term debt, net</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62,892</w:t>
            </w:r>
          </w:p>
        </w:tc>
        <w:tc>
          <w:tcPr>
            <w:tcW w:w="0" w:type="dxa"/>
            <w:vAlign w:val="bottom"/>
          </w:tcPr>
          <w:p>
            <w:pPr>
              <w:spacing w:after="0"/>
              <w:rPr>
                <w:sz w:val="1"/>
                <w:szCs w:val="1"/>
                <w:color w:val="auto"/>
              </w:rPr>
            </w:pPr>
          </w:p>
        </w:tc>
      </w:tr>
      <w:tr>
        <w:trPr>
          <w:trHeight w:val="212"/>
        </w:trPr>
        <w:tc>
          <w:tcPr>
            <w:tcW w:w="7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394,176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386,462</w:t>
            </w:r>
          </w:p>
        </w:tc>
        <w:tc>
          <w:tcPr>
            <w:tcW w:w="0" w:type="dxa"/>
            <w:vAlign w:val="bottom"/>
          </w:tcPr>
          <w:p>
            <w:pPr>
              <w:spacing w:after="0"/>
              <w:rPr>
                <w:sz w:val="1"/>
                <w:szCs w:val="1"/>
                <w:color w:val="auto"/>
              </w:rPr>
            </w:pPr>
          </w:p>
        </w:tc>
      </w:tr>
      <w:tr>
        <w:trPr>
          <w:trHeight w:val="19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18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Common stock, $0.001 par value; 100,000 shares authorized; 30,297 and 29,948 shares issued and</w:t>
            </w: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180" w:type="dxa"/>
            <w:vAlign w:val="bottom"/>
            <w:gridSpan w:val="2"/>
            <w:shd w:val="clear" w:color="auto" w:fill="CCEEFF"/>
          </w:tcPr>
          <w:p>
            <w:pPr>
              <w:ind w:left="140"/>
              <w:spacing w:after="0" w:line="177" w:lineRule="exact"/>
              <w:rPr>
                <w:sz w:val="20"/>
                <w:szCs w:val="20"/>
                <w:color w:val="auto"/>
              </w:rPr>
            </w:pPr>
            <w:r>
              <w:rPr>
                <w:rFonts w:ascii="Times New Roman" w:cs="Times New Roman" w:eastAsia="Times New Roman" w:hAnsi="Times New Roman"/>
                <w:sz w:val="17"/>
                <w:szCs w:val="17"/>
                <w:color w:val="auto"/>
              </w:rPr>
              <w:t>outstanding at December 31, 2023, respectively, and 30,149 and 29,692 shares issued and outstanding</w:t>
            </w: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at December 31, 2022, respectively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99,764</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21,284</w:t>
            </w:r>
          </w:p>
        </w:tc>
        <w:tc>
          <w:tcPr>
            <w:tcW w:w="0" w:type="dxa"/>
            <w:vAlign w:val="bottom"/>
          </w:tcPr>
          <w:p>
            <w:pPr>
              <w:spacing w:after="0"/>
              <w:rPr>
                <w:sz w:val="1"/>
                <w:szCs w:val="1"/>
                <w:color w:val="auto"/>
              </w:rPr>
            </w:pPr>
          </w:p>
        </w:tc>
      </w:tr>
      <w:tr>
        <w:trPr>
          <w:trHeight w:val="219"/>
        </w:trPr>
        <w:tc>
          <w:tcPr>
            <w:tcW w:w="7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Treasury stock, at cost, 3 shares at December 31, 2023 and 2022</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The Pennant Group, Inc.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140,339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121,012</w:t>
            </w:r>
          </w:p>
        </w:tc>
        <w:tc>
          <w:tcPr>
            <w:tcW w:w="0" w:type="dxa"/>
            <w:vAlign w:val="bottom"/>
          </w:tcPr>
          <w:p>
            <w:pPr>
              <w:spacing w:after="0"/>
              <w:rPr>
                <w:sz w:val="1"/>
                <w:szCs w:val="1"/>
                <w:color w:val="auto"/>
              </w:rPr>
            </w:pPr>
          </w:p>
        </w:tc>
      </w:tr>
      <w:tr>
        <w:trPr>
          <w:trHeight w:val="212"/>
        </w:trPr>
        <w:tc>
          <w:tcPr>
            <w:tcW w:w="7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4,645</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125,657</w:t>
            </w:r>
          </w:p>
        </w:tc>
        <w:tc>
          <w:tcPr>
            <w:tcW w:w="0" w:type="dxa"/>
            <w:vAlign w:val="bottom"/>
          </w:tcPr>
          <w:p>
            <w:pPr>
              <w:spacing w:after="0"/>
              <w:rPr>
                <w:sz w:val="1"/>
                <w:szCs w:val="1"/>
                <w:color w:val="auto"/>
              </w:rPr>
            </w:pPr>
          </w:p>
        </w:tc>
      </w:tr>
      <w:tr>
        <w:trPr>
          <w:trHeight w:val="212"/>
        </w:trPr>
        <w:tc>
          <w:tcPr>
            <w:tcW w:w="71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539,691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512,119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6440" w:type="dxa"/>
            <w:vAlign w:val="bottom"/>
          </w:tcPr>
          <w:p>
            <w:pPr>
              <w:ind w:left="3540"/>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440" w:type="dxa"/>
            <w:vAlign w:val="bottom"/>
          </w:tcPr>
          <w:p>
            <w:pPr>
              <w:jc w:val="center"/>
              <w:ind w:left="2294"/>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6440" w:type="dxa"/>
            <w:vAlign w:val="bottom"/>
          </w:tcPr>
          <w:p>
            <w:pPr>
              <w:jc w:val="center"/>
              <w:ind w:left="2294"/>
              <w:spacing w:after="0"/>
              <w:rPr>
                <w:sz w:val="20"/>
                <w:szCs w:val="20"/>
                <w:color w:val="auto"/>
              </w:rPr>
            </w:pPr>
            <w:r>
              <w:rPr>
                <w:rFonts w:ascii="Times New Roman" w:cs="Times New Roman" w:eastAsia="Times New Roman" w:hAnsi="Times New Roman"/>
                <w:sz w:val="17"/>
                <w:szCs w:val="17"/>
                <w:b w:val="1"/>
                <w:bCs w:val="1"/>
                <w:color w:val="auto"/>
              </w:rPr>
              <w:t>(In thousands, except for per-share amounts)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12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473,241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439,694</w:t>
            </w:r>
          </w:p>
        </w:tc>
        <w:tc>
          <w:tcPr>
            <w:tcW w:w="0" w:type="dxa"/>
            <w:vAlign w:val="bottom"/>
          </w:tcPr>
          <w:p>
            <w:pPr>
              <w:spacing w:after="0"/>
              <w:rPr>
                <w:sz w:val="1"/>
                <w:szCs w:val="1"/>
                <w:color w:val="auto"/>
              </w:rPr>
            </w:pPr>
          </w:p>
        </w:tc>
      </w:tr>
      <w:tr>
        <w:trPr>
          <w:trHeight w:val="258"/>
        </w:trPr>
        <w:tc>
          <w:tcPr>
            <w:tcW w:w="766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438,096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376,638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350,236</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Rent—cost of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40,863</w:t>
            </w:r>
          </w:p>
        </w:tc>
        <w:tc>
          <w:tcPr>
            <w:tcW w:w="0" w:type="dxa"/>
            <w:vAlign w:val="bottom"/>
          </w:tcPr>
          <w:p>
            <w:pPr>
              <w:spacing w:after="0"/>
              <w:rPr>
                <w:sz w:val="1"/>
                <w:szCs w:val="1"/>
                <w:color w:val="auto"/>
              </w:rPr>
            </w:pPr>
          </w:p>
        </w:tc>
      </w:tr>
      <w:tr>
        <w:trPr>
          <w:trHeight w:val="219"/>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36,259</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Loss on asset dispositions and impairment,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2,857</w:t>
            </w:r>
          </w:p>
        </w:tc>
        <w:tc>
          <w:tcPr>
            <w:tcW w:w="0" w:type="dxa"/>
            <w:vAlign w:val="bottom"/>
          </w:tcPr>
          <w:p>
            <w:pPr>
              <w:spacing w:after="0"/>
              <w:rPr>
                <w:sz w:val="1"/>
                <w:szCs w:val="1"/>
                <w:color w:val="auto"/>
              </w:rPr>
            </w:pPr>
          </w:p>
        </w:tc>
      </w:tr>
      <w:tr>
        <w:trPr>
          <w:trHeight w:val="212"/>
        </w:trPr>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434,999</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4,695</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0" w:type="dxa"/>
            <w:vAlign w:val="bottom"/>
          </w:tcPr>
          <w:p>
            <w:pPr>
              <w:spacing w:after="0"/>
              <w:rPr>
                <w:sz w:val="1"/>
                <w:szCs w:val="1"/>
                <w:color w:val="auto"/>
              </w:rPr>
            </w:pPr>
          </w:p>
        </w:tc>
      </w:tr>
      <w:tr>
        <w:trPr>
          <w:trHeight w:val="212"/>
        </w:trPr>
        <w:tc>
          <w:tcPr>
            <w:tcW w:w="7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w:t>
            </w:r>
          </w:p>
        </w:tc>
        <w:tc>
          <w:tcPr>
            <w:tcW w:w="0" w:type="dxa"/>
            <w:vAlign w:val="bottom"/>
          </w:tcPr>
          <w:p>
            <w:pPr>
              <w:spacing w:after="0"/>
              <w:rPr>
                <w:sz w:val="1"/>
                <w:szCs w:val="1"/>
                <w:color w:val="auto"/>
              </w:rPr>
            </w:pPr>
          </w:p>
        </w:tc>
      </w:tr>
      <w:tr>
        <w:trPr>
          <w:trHeight w:val="21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12"/>
        </w:trPr>
        <w:tc>
          <w:tcPr>
            <w:tcW w:w="7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and other comprehensive income attributable to The Pennant Group, Inc.</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28,406</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30,642</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3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40" w:type="dxa"/>
            <w:vAlign w:val="bottom"/>
            <w:gridSpan w:val="4"/>
            <w:vMerge w:val="restart"/>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5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Paid-In</w:t>
            </w:r>
          </w:p>
        </w:tc>
        <w:tc>
          <w:tcPr>
            <w:tcW w:w="200" w:type="dxa"/>
            <w:vAlign w:val="bottom"/>
          </w:tcPr>
          <w:p>
            <w:pPr>
              <w:spacing w:after="0"/>
              <w:rPr>
                <w:sz w:val="9"/>
                <w:szCs w:val="9"/>
                <w:color w:val="auto"/>
              </w:rPr>
            </w:pPr>
          </w:p>
        </w:tc>
        <w:tc>
          <w:tcPr>
            <w:tcW w:w="1100" w:type="dxa"/>
            <w:vAlign w:val="bottom"/>
            <w:gridSpan w:val="2"/>
            <w:vMerge w:val="restart"/>
          </w:tcPr>
          <w:p>
            <w:pPr>
              <w:ind w:left="120"/>
              <w:spacing w:after="0" w:line="155"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5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140" w:type="dxa"/>
            <w:vAlign w:val="bottom"/>
          </w:tcPr>
          <w:p>
            <w:pPr>
              <w:spacing w:after="0"/>
              <w:rPr>
                <w:sz w:val="9"/>
                <w:szCs w:val="9"/>
                <w:color w:val="auto"/>
              </w:rPr>
            </w:pPr>
          </w:p>
        </w:tc>
        <w:tc>
          <w:tcPr>
            <w:tcW w:w="680" w:type="dxa"/>
            <w:vAlign w:val="bottom"/>
            <w:vMerge w:val="restart"/>
          </w:tcPr>
          <w:p>
            <w:pPr>
              <w:jc w:val="right"/>
              <w:ind w:right="163"/>
              <w:spacing w:after="0" w:line="155"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140" w:type="dxa"/>
            <w:vAlign w:val="bottom"/>
          </w:tcPr>
          <w:p>
            <w:pPr>
              <w:spacing w:after="0"/>
              <w:rPr>
                <w:sz w:val="17"/>
                <w:szCs w:val="17"/>
                <w:color w:val="auto"/>
              </w:rPr>
            </w:pPr>
          </w:p>
        </w:tc>
        <w:tc>
          <w:tcPr>
            <w:tcW w:w="6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39"/>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101,172</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256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Net income attributable to The Pennant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2,696</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2,696</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Group, Inc.</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060" w:type="dxa"/>
            <w:vAlign w:val="bottom"/>
          </w:tcPr>
          <w:p>
            <w:pPr>
              <w:spacing w:after="0"/>
              <w:rPr>
                <w:sz w:val="13"/>
                <w:szCs w:val="13"/>
                <w:color w:val="auto"/>
              </w:rPr>
            </w:pPr>
          </w:p>
        </w:tc>
        <w:tc>
          <w:tcPr>
            <w:tcW w:w="25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Net loss attributable to Non-controlling</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interests</w:t>
            </w: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10,040</w:t>
            </w:r>
          </w:p>
        </w:tc>
        <w:tc>
          <w:tcPr>
            <w:tcW w:w="0" w:type="dxa"/>
            <w:vAlign w:val="bottom"/>
          </w:tcPr>
          <w:p>
            <w:pPr>
              <w:spacing w:after="0"/>
              <w:rPr>
                <w:sz w:val="1"/>
                <w:szCs w:val="1"/>
                <w:color w:val="auto"/>
              </w:rPr>
            </w:pPr>
          </w:p>
        </w:tc>
      </w:tr>
      <w:tr>
        <w:trPr>
          <w:trHeight w:val="158"/>
        </w:trPr>
        <w:tc>
          <w:tcPr>
            <w:tcW w:w="1060" w:type="dxa"/>
            <w:vAlign w:val="bottom"/>
          </w:tcPr>
          <w:p>
            <w:pPr>
              <w:spacing w:after="0"/>
              <w:rPr>
                <w:sz w:val="13"/>
                <w:szCs w:val="13"/>
                <w:color w:val="auto"/>
              </w:rPr>
            </w:pPr>
          </w:p>
        </w:tc>
        <w:tc>
          <w:tcPr>
            <w:tcW w:w="25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from the</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issuance of restricted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1060" w:type="dxa"/>
            <w:vAlign w:val="bottom"/>
          </w:tcPr>
          <w:p>
            <w:pPr>
              <w:spacing w:after="0"/>
              <w:rPr>
                <w:sz w:val="19"/>
                <w:szCs w:val="19"/>
                <w:color w:val="auto"/>
              </w:rPr>
            </w:pPr>
          </w:p>
        </w:tc>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114,244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Times New Roman" w:cs="Times New Roman" w:eastAsia="Times New Roman" w:hAnsi="Times New Roman"/>
                <w:sz w:val="15"/>
                <w:szCs w:val="15"/>
                <w:color w:val="auto"/>
              </w:rPr>
              <w:t>Net income attributable to The Pennant</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06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8"/>
                <w:szCs w:val="8"/>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6,643</w:t>
            </w:r>
          </w:p>
        </w:tc>
        <w:tc>
          <w:tcPr>
            <w:tcW w:w="10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8"/>
                <w:szCs w:val="8"/>
                <w:color w:val="auto"/>
              </w:rPr>
            </w:pPr>
          </w:p>
        </w:tc>
        <w:tc>
          <w:tcPr>
            <w:tcW w:w="760" w:type="dxa"/>
            <w:vAlign w:val="bottom"/>
            <w:gridSpan w:val="2"/>
            <w:vMerge w:val="restart"/>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8"/>
                <w:szCs w:val="8"/>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6,643</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Group, Inc.</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060" w:type="dxa"/>
            <w:vAlign w:val="bottom"/>
          </w:tcPr>
          <w:p>
            <w:pPr>
              <w:spacing w:after="0"/>
              <w:rPr>
                <w:sz w:val="13"/>
                <w:szCs w:val="13"/>
                <w:color w:val="auto"/>
              </w:rPr>
            </w:pPr>
          </w:p>
        </w:tc>
        <w:tc>
          <w:tcPr>
            <w:tcW w:w="25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Net income attributable to Non-</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controlling interests</w:t>
            </w: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3,086</w:t>
            </w:r>
          </w:p>
        </w:tc>
        <w:tc>
          <w:tcPr>
            <w:tcW w:w="0" w:type="dxa"/>
            <w:vAlign w:val="bottom"/>
          </w:tcPr>
          <w:p>
            <w:pPr>
              <w:spacing w:after="0"/>
              <w:rPr>
                <w:sz w:val="1"/>
                <w:szCs w:val="1"/>
                <w:color w:val="auto"/>
              </w:rPr>
            </w:pPr>
          </w:p>
        </w:tc>
      </w:tr>
      <w:tr>
        <w:trPr>
          <w:trHeight w:val="158"/>
        </w:trPr>
        <w:tc>
          <w:tcPr>
            <w:tcW w:w="1060" w:type="dxa"/>
            <w:vAlign w:val="bottom"/>
          </w:tcPr>
          <w:p>
            <w:pPr>
              <w:spacing w:after="0"/>
              <w:rPr>
                <w:sz w:val="13"/>
                <w:szCs w:val="13"/>
                <w:color w:val="auto"/>
              </w:rPr>
            </w:pPr>
          </w:p>
        </w:tc>
        <w:tc>
          <w:tcPr>
            <w:tcW w:w="25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from the</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1,084</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issuance of restricted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1060" w:type="dxa"/>
            <w:vAlign w:val="bottom"/>
          </w:tcPr>
          <w:p>
            <w:pPr>
              <w:spacing w:after="0"/>
              <w:rPr>
                <w:sz w:val="19"/>
                <w:szCs w:val="19"/>
                <w:color w:val="auto"/>
              </w:rPr>
            </w:pPr>
          </w:p>
        </w:tc>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125,657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Times New Roman" w:cs="Times New Roman" w:eastAsia="Times New Roman" w:hAnsi="Times New Roman"/>
                <w:sz w:val="15"/>
                <w:szCs w:val="15"/>
                <w:color w:val="auto"/>
              </w:rPr>
              <w:t>Net income attributable to The Pennant</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06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8"/>
                <w:szCs w:val="8"/>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13,379</w:t>
            </w:r>
          </w:p>
        </w:tc>
        <w:tc>
          <w:tcPr>
            <w:tcW w:w="10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8"/>
                <w:szCs w:val="8"/>
                <w:color w:val="auto"/>
              </w:rPr>
            </w:pPr>
          </w:p>
        </w:tc>
        <w:tc>
          <w:tcPr>
            <w:tcW w:w="760" w:type="dxa"/>
            <w:vAlign w:val="bottom"/>
            <w:gridSpan w:val="2"/>
            <w:vMerge w:val="restart"/>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8"/>
                <w:szCs w:val="8"/>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13,379</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Group, Inc.</w:t>
            </w: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060" w:type="dxa"/>
            <w:vAlign w:val="bottom"/>
          </w:tcPr>
          <w:p>
            <w:pPr>
              <w:spacing w:after="0"/>
              <w:rPr>
                <w:sz w:val="13"/>
                <w:szCs w:val="13"/>
                <w:color w:val="auto"/>
              </w:rPr>
            </w:pPr>
          </w:p>
        </w:tc>
        <w:tc>
          <w:tcPr>
            <w:tcW w:w="25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Net income attributable to Non-</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controlling interests</w:t>
            </w: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0" w:type="dxa"/>
            <w:vAlign w:val="bottom"/>
          </w:tcPr>
          <w:p>
            <w:pPr>
              <w:spacing w:after="0"/>
              <w:rPr>
                <w:sz w:val="1"/>
                <w:szCs w:val="1"/>
                <w:color w:val="auto"/>
              </w:rPr>
            </w:pPr>
          </w:p>
        </w:tc>
      </w:tr>
      <w:tr>
        <w:trPr>
          <w:trHeight w:val="158"/>
        </w:trPr>
        <w:tc>
          <w:tcPr>
            <w:tcW w:w="1060" w:type="dxa"/>
            <w:vAlign w:val="bottom"/>
          </w:tcPr>
          <w:p>
            <w:pPr>
              <w:spacing w:after="0"/>
              <w:rPr>
                <w:sz w:val="13"/>
                <w:szCs w:val="13"/>
                <w:color w:val="auto"/>
              </w:rPr>
            </w:pPr>
          </w:p>
        </w:tc>
        <w:tc>
          <w:tcPr>
            <w:tcW w:w="25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from the</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issuance of restricted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4"/>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145,515</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60" w:type="dxa"/>
            <w:vAlign w:val="bottom"/>
            <w:vMerge w:val="continue"/>
          </w:tcPr>
          <w:p>
            <w:pPr>
              <w:spacing w:after="0"/>
              <w:rPr>
                <w:sz w:val="6"/>
                <w:szCs w:val="6"/>
                <w:color w:val="auto"/>
              </w:rPr>
            </w:pPr>
          </w:p>
        </w:tc>
        <w:tc>
          <w:tcPr>
            <w:tcW w:w="2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5800" w:type="dxa"/>
            <w:vAlign w:val="bottom"/>
            <w:gridSpan w:val="2"/>
          </w:tcPr>
          <w:p>
            <w:pPr>
              <w:jc w:val="center"/>
              <w:ind w:left="2914"/>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00" w:type="dxa"/>
            <w:vAlign w:val="bottom"/>
            <w:gridSpan w:val="4"/>
          </w:tcPr>
          <w:p>
            <w:pPr>
              <w:jc w:val="center"/>
              <w:ind w:left="1714"/>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5460" w:type="dxa"/>
            <w:vAlign w:val="bottom"/>
          </w:tcPr>
          <w:p>
            <w:pPr>
              <w:jc w:val="center"/>
              <w:ind w:left="327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12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jc w:val="right"/>
              <w:ind w:right="14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00" w:type="dxa"/>
            <w:vAlign w:val="bottom"/>
            <w:tcBorders>
              <w:bottom w:val="single" w:sz="8" w:color="auto"/>
            </w:tcBorders>
          </w:tcPr>
          <w:p>
            <w:pPr>
              <w:spacing w:after="0"/>
              <w:rPr>
                <w:sz w:val="21"/>
                <w:szCs w:val="21"/>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13,910</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7,243</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2,148</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(used in)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4,784</w:t>
            </w:r>
          </w:p>
        </w:tc>
      </w:tr>
      <w:tr>
        <w:trPr>
          <w:trHeight w:val="209"/>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deferred financing fees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w:t>
            </w: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Provision for doubtful accounts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w:t>
            </w:r>
          </w:p>
        </w:tc>
      </w:tr>
      <w:tr>
        <w:trPr>
          <w:trHeight w:val="209"/>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Share-based compensation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10,040</w:t>
            </w: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Deferred income taxes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(1,752)</w:t>
            </w:r>
          </w:p>
        </w:tc>
      </w:tr>
      <w:tr>
        <w:trPr>
          <w:trHeight w:val="209"/>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on asset dispositions and impairment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2,835</w:t>
            </w: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Change in operating assets and liabilities, net of effects of business acquisitions: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(7,335)</w:t>
            </w:r>
          </w:p>
        </w:tc>
      </w:tr>
      <w:tr>
        <w:trPr>
          <w:trHeight w:val="203"/>
        </w:trPr>
        <w:tc>
          <w:tcPr>
            <w:tcW w:w="6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(4,624)</w:t>
            </w:r>
          </w:p>
        </w:tc>
      </w:tr>
      <w:tr>
        <w:trPr>
          <w:trHeight w:val="209"/>
        </w:trPr>
        <w:tc>
          <w:tcPr>
            <w:tcW w:w="6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Operating lease obligations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w:t>
            </w:r>
          </w:p>
        </w:tc>
      </w:tr>
      <w:tr>
        <w:trPr>
          <w:trHeight w:val="203"/>
        </w:trPr>
        <w:tc>
          <w:tcPr>
            <w:tcW w:w="6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r>
      <w:tr>
        <w:trPr>
          <w:trHeight w:val="209"/>
        </w:trPr>
        <w:tc>
          <w:tcPr>
            <w:tcW w:w="6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wages and related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(3,864)</w:t>
            </w:r>
          </w:p>
        </w:tc>
      </w:tr>
      <w:tr>
        <w:trPr>
          <w:trHeight w:val="203"/>
        </w:trPr>
        <w:tc>
          <w:tcPr>
            <w:tcW w:w="6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2,570</w:t>
            </w:r>
          </w:p>
        </w:tc>
      </w:tr>
      <w:tr>
        <w:trPr>
          <w:trHeight w:val="209"/>
        </w:trPr>
        <w:tc>
          <w:tcPr>
            <w:tcW w:w="6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Advance payments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(21,786)</w:t>
            </w:r>
          </w:p>
        </w:tc>
      </w:tr>
      <w:tr>
        <w:trPr>
          <w:trHeight w:val="203"/>
        </w:trPr>
        <w:tc>
          <w:tcPr>
            <w:tcW w:w="66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(3,708)</w:t>
            </w:r>
          </w:p>
        </w:tc>
      </w:tr>
      <w:tr>
        <w:trPr>
          <w:trHeight w:val="202"/>
        </w:trPr>
        <w:tc>
          <w:tcPr>
            <w:tcW w:w="6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33,090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(18,223)</w:t>
            </w:r>
          </w:p>
        </w:tc>
      </w:tr>
      <w:tr>
        <w:trPr>
          <w:trHeight w:val="185"/>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(6,303)</w:t>
            </w: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Cash payments for business acquisitions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(21,376)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(13,550)</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Escrow deposits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Restricted and other assets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w:t>
            </w:r>
          </w:p>
        </w:tc>
      </w:tr>
      <w:tr>
        <w:trPr>
          <w:trHeight w:val="202"/>
        </w:trPr>
        <w:tc>
          <w:tcPr>
            <w:tcW w:w="6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(30,222)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(24,239)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(20,120)</w:t>
            </w:r>
          </w:p>
        </w:tc>
      </w:tr>
      <w:tr>
        <w:trPr>
          <w:trHeight w:val="185"/>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revolver agreement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125,500</w:t>
            </w: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Payments on revolver agreement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(181,500)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(118,500)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(81,500)</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Finance lease obligations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Payments for deferred financing costs</w:t>
            </w:r>
          </w:p>
        </w:tc>
        <w:tc>
          <w:tcPr>
            <w:tcW w:w="3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(1,394)</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Issuance of common stock upon the exercise of options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w:t>
            </w:r>
          </w:p>
        </w:tc>
      </w:tr>
      <w:tr>
        <w:trPr>
          <w:trHeight w:val="196"/>
        </w:trPr>
        <w:tc>
          <w:tcPr>
            <w:tcW w:w="668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12,084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43,490</w:t>
            </w:r>
          </w:p>
        </w:tc>
      </w:tr>
      <w:tr>
        <w:trPr>
          <w:trHeight w:val="202"/>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5,147</w:t>
            </w:r>
          </w:p>
        </w:tc>
      </w:tr>
      <w:tr>
        <w:trPr>
          <w:trHeight w:val="203"/>
        </w:trPr>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Cash beginning of period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5,190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2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end of period</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5,190</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201"/>
        </w:trPr>
        <w:tc>
          <w:tcPr>
            <w:tcW w:w="66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1,448</w:t>
            </w:r>
          </w:p>
        </w:tc>
      </w:tr>
      <w:tr>
        <w:trPr>
          <w:trHeight w:val="19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Income taxes</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2,616</w:t>
            </w:r>
          </w:p>
        </w:tc>
      </w:tr>
      <w:tr>
        <w:trPr>
          <w:trHeight w:val="20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35,994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39,151</w:t>
            </w:r>
          </w:p>
        </w:tc>
      </w:tr>
      <w:tr>
        <w:trPr>
          <w:trHeight w:val="19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Right-of-use assets obtained in exchange for new operating lease obligations</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12,826</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w:t>
            </w:r>
          </w:p>
        </w:tc>
      </w:tr>
      <w:tr>
        <w:trPr>
          <w:trHeight w:val="202"/>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Finance lease assets obtained in exchange for new finance lease obligations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Non-cash adjustment to right-of-use assets and lease liabilities from lease modifications</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5,195</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6,270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4,674</w:t>
            </w:r>
          </w:p>
        </w:tc>
      </w:tr>
      <w:tr>
        <w:trPr>
          <w:trHeight w:val="202"/>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Non-cash adjustment to right-of-use assets and lease liabilities from lease terminations and assignments</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66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Non-cash investing activity:</w:t>
            </w: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05"/>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Capital expenditures in accounts payable</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 and operational senior living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BUSINESS</w:t>
      </w:r>
    </w:p>
    <w:p>
      <w:pPr>
        <w:spacing w:after="0" w:line="5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December 31, 2023, the Company’s subsidiaries operated 111 home health, hospice and home care agencies and 51 senior living communities located in Arizona, California, Colorado, Idaho, Montana, Nevada, Oklahoma, Oregon, Texas, Utah, Washington, Wisconsin and Wyoming.</w:t>
      </w:r>
    </w:p>
    <w:p>
      <w:pPr>
        <w:spacing w:after="0" w:line="19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BASIS OF PRESENTATION AND SUMMARY OF SIGNIFICANT ACCOUNTING POLICIES</w:t>
      </w:r>
    </w:p>
    <w:p>
      <w:pPr>
        <w:spacing w:after="0" w:line="6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Basis of Presentation - </w:t>
      </w:r>
      <w:r>
        <w:rPr>
          <w:rFonts w:ascii="Times New Roman" w:cs="Times New Roman" w:eastAsia="Times New Roman" w:hAnsi="Times New Roman"/>
          <w:sz w:val="17"/>
          <w:szCs w:val="17"/>
          <w:color w:val="auto"/>
        </w:rPr>
        <w:t>The accompanying consolidated financial statements of the Company (the “Financial Statements”) reflect the Company’s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position for the years ended December 31, 2023 and 2022, and the Company’s results of operations and cash flows for the years ended December 31, 2023, 2022 and 2021 and have been prepared in accordance with accounting principles generally accepted in the United States (“GAAP”) and pursuant to the regulations of the Securities and Exchange Commission (“SEC”). The Company presents noncontrolling interests within the equity section of its consolidated balance sheets and the amount of consolidated net income (loss) that is attributable to The Pennant Group, Inc. and the noncontrolling interest in its consolidated statements of income.</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All intercompany transactions and balances between the various legal entities comprising the Company have been eliminated in consolidation. The consolidated statements of income reflect income that is attributable to the Company and the noncontrolling interest.</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consists of various limited liability companies and corporations established to operate home health, hospice, home care, and senior living operations. The Financial Statements include the accounts of all entities controlled by the Company through its ownership of a majority voting interest. Revenue was derived from transactional information specific to the Company’s services provided.</w:t>
      </w:r>
    </w:p>
    <w:p>
      <w:pPr>
        <w:spacing w:after="0" w:line="18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Reclassifications </w:t>
      </w:r>
      <w:r>
        <w:rPr>
          <w:rFonts w:ascii="Times New Roman" w:cs="Times New Roman" w:eastAsia="Times New Roman" w:hAnsi="Times New Roman"/>
          <w:sz w:val="17"/>
          <w:szCs w:val="17"/>
          <w:color w:val="auto"/>
        </w:rPr>
        <w:t>- Certain amounts in the prior financial statements have been reclassified to conform to the presentation of the current period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w:t>
      </w:r>
    </w:p>
    <w:p>
      <w:pPr>
        <w:spacing w:after="0" w:line="16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Estimates and Assumptions - </w:t>
      </w:r>
      <w:r>
        <w:rPr>
          <w:rFonts w:ascii="Times New Roman" w:cs="Times New Roman" w:eastAsia="Times New Roman" w:hAnsi="Times New Roman"/>
          <w:sz w:val="17"/>
          <w:szCs w:val="17"/>
          <w:color w:val="auto"/>
        </w:rPr>
        <w:t>The preparation of the Financial Statements in conformity with GAAP requires management to make certain estimates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assumptions that affect the reported amounts of assets and liabilities and disclosure of contingent assets and liabilities at the date of the Financial Statements and the reported amounts of revenue and expenses during the reporting periods. The most significant estimates in the Financial Statements relate to self-insurance reserves, revenue recognition, and intangible assets and goodwill. Actual results could differ from those estimates.</w:t>
      </w:r>
    </w:p>
    <w:p>
      <w:pPr>
        <w:spacing w:after="0" w:line="190" w:lineRule="exact"/>
        <w:rPr>
          <w:sz w:val="20"/>
          <w:szCs w:val="20"/>
          <w:color w:val="auto"/>
        </w:rPr>
      </w:pPr>
    </w:p>
    <w:p>
      <w:pPr>
        <w:jc w:val="both"/>
        <w:ind w:firstLine="69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Revenue Recognition - </w:t>
      </w:r>
      <w:r>
        <w:rPr>
          <w:rFonts w:ascii="Times New Roman" w:cs="Times New Roman" w:eastAsia="Times New Roman" w:hAnsi="Times New Roman"/>
          <w:sz w:val="17"/>
          <w:szCs w:val="17"/>
          <w:color w:val="auto"/>
        </w:rPr>
        <w:t>Revenues are recognized when services are provided to the patients at the amount that reflects the consideration to which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expects to be entitled from patients and third-party payors, including Medicaid, Medicare and insurers (private and Medicare replacement plans), in exchange for providing patient care. 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not occur in a future period. If actual amounts of consideration ultimately received differ from the Company’s estimates, the Company adjusts these estimates, which would effect net service revenue in the period such variances become known.</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Accounting Standard Codification (“ASC”) Topic 340, </w:t>
      </w:r>
      <w:r>
        <w:rPr>
          <w:rFonts w:ascii="Times New Roman" w:cs="Times New Roman" w:eastAsia="Times New Roman" w:hAnsi="Times New Roman"/>
          <w:sz w:val="17"/>
          <w:szCs w:val="17"/>
          <w:i w:val="1"/>
          <w:iCs w:val="1"/>
          <w:color w:val="auto"/>
        </w:rPr>
        <w:t>Other Assets and Deferred Costs</w:t>
      </w:r>
      <w:r>
        <w:rPr>
          <w:rFonts w:ascii="Times New Roman" w:cs="Times New Roman" w:eastAsia="Times New Roman" w:hAnsi="Times New Roman"/>
          <w:sz w:val="17"/>
          <w:szCs w:val="17"/>
          <w:color w:val="auto"/>
        </w:rPr>
        <w:t>, and all incremental customer contract acquisition costs are expensed as they are incurred because the amortization period would have been one year or less. See Note 5</w:t>
      </w:r>
      <w:r>
        <w:rPr>
          <w:rFonts w:ascii="Times New Roman" w:cs="Times New Roman" w:eastAsia="Times New Roman" w:hAnsi="Times New Roman"/>
          <w:sz w:val="17"/>
          <w:szCs w:val="17"/>
          <w:i w:val="1"/>
          <w:iCs w:val="1"/>
          <w:color w:val="auto"/>
        </w:rPr>
        <w:t>, Revenue and Accounts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Receivable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CARES Act </w:t>
      </w:r>
      <w:r>
        <w:rPr>
          <w:rFonts w:ascii="Times New Roman" w:cs="Times New Roman" w:eastAsia="Times New Roman" w:hAnsi="Times New Roman"/>
          <w:sz w:val="17"/>
          <w:szCs w:val="17"/>
          <w:color w:val="auto"/>
        </w:rPr>
        <w:t>- The Coronavirus Aid, Relief, and Economic Security Act (the “CARES Act”) was enacted on March 27, 2020 in the United States.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CARES Act allowed for deferred payment of the employer-paid portion of social security taxes through the end of 2020, with 50% due on December 31, 2021 and the remainder due on December 31, 2022. The Company deferred approximately $7,836 of employer-paid portion of social security tax, all of which was repaid as of December 31, 2022. The CARES Act also expanded the Centers for Medicare &amp; Medicaid Services’ (“CMS”) ability to provide accelerated/advance payments intended to increase the cash flow of healthcare providers and suppliers impacted by COVID-19. During 2020, the Company applied for and received $27,997 in funds under the Accelerated and Advance Payment (“AAP”) Program, all of which was recouped as of June 23, 2022.</w:t>
      </w:r>
    </w:p>
    <w:p>
      <w:pPr>
        <w:spacing w:after="0" w:line="194" w:lineRule="exact"/>
        <w:rPr>
          <w:sz w:val="20"/>
          <w:szCs w:val="20"/>
          <w:color w:val="auto"/>
        </w:rPr>
      </w:pPr>
    </w:p>
    <w:p>
      <w:pPr>
        <w:jc w:val="both"/>
        <w:ind w:firstLine="696"/>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Cash </w:t>
      </w:r>
      <w:r>
        <w:rPr>
          <w:rFonts w:ascii="Times New Roman" w:cs="Times New Roman" w:eastAsia="Times New Roman" w:hAnsi="Times New Roman"/>
          <w:sz w:val="17"/>
          <w:szCs w:val="17"/>
          <w:color w:val="auto"/>
        </w:rPr>
        <w:t>- Cash consists of petty cash and bank deposits and therefore approximates fair value. The Company places its cash with high credit quality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institutions.</w:t>
      </w:r>
    </w:p>
    <w:p>
      <w:pPr>
        <w:spacing w:after="0" w:line="169" w:lineRule="exact"/>
        <w:rPr>
          <w:sz w:val="20"/>
          <w:szCs w:val="20"/>
          <w:color w:val="auto"/>
        </w:rPr>
      </w:pPr>
    </w:p>
    <w:p>
      <w:pPr>
        <w:jc w:val="both"/>
        <w:ind w:firstLine="696"/>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Accounts Receivable and Allowance for Doubtful Accounts - </w:t>
      </w:r>
      <w:r>
        <w:rPr>
          <w:rFonts w:ascii="Times New Roman" w:cs="Times New Roman" w:eastAsia="Times New Roman" w:hAnsi="Times New Roman"/>
          <w:sz w:val="17"/>
          <w:szCs w:val="17"/>
          <w:color w:val="auto"/>
        </w:rPr>
        <w:t>Accounts receivable consist primarily of amounts due from Medicare and Medicaid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programs, other government programs, managed care health plans and private payor sources, net of estimates for variable consideration. The allowance for doubtful accounts is the Company’s best estimate of current expected credit losses in the accounts receivable balance.</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Property and Equipment - </w:t>
      </w:r>
      <w:r>
        <w:rPr>
          <w:rFonts w:ascii="Times New Roman" w:cs="Times New Roman" w:eastAsia="Times New Roman" w:hAnsi="Times New Roman"/>
          <w:sz w:val="17"/>
          <w:szCs w:val="17"/>
          <w:color w:val="auto"/>
        </w:rPr>
        <w:t>Property and equipment are initially recorded at their historical cost. Depreciation is computed using the straight-line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the estimated useful lives of the depreciable assets (ranging from one to 40 years). Leasehold improvements are amortized on a straight-line basis over the shorter of their estimated useful lives or the remaining lease term. Repairs and maintenance are expensed as incurred.</w:t>
      </w:r>
    </w:p>
    <w:p>
      <w:pPr>
        <w:spacing w:after="0" w:line="18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Impairment of Long-Lived Assets - </w:t>
      </w:r>
      <w:r>
        <w:rPr>
          <w:rFonts w:ascii="Times New Roman" w:cs="Times New Roman" w:eastAsia="Times New Roman" w:hAnsi="Times New Roman"/>
          <w:sz w:val="17"/>
          <w:szCs w:val="17"/>
          <w:color w:val="auto"/>
        </w:rPr>
        <w:t>The Company reviews the carrying value of long-lived assets that are held and used in the independent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subsidiaries for impairment whenever events or changes in circumstances indicate that the carrying amount of an asset may not be recoverable. Recoverability of these assets is determined based upon expected undiscounted future net cash flows from the operating subsidiary to which the assets relate, utilizing management’s best estimate, appropriate assumptions, and projections at the time. If the carrying value is determined to be unrecoverable from future operating cash flows, the asset is deemed impaired and an impairment loss would be recognized to the extent the carrying value exceeded the estimated fair value of the asset. The Company estimates the fair value of assets based on the estimated future discounted cash flows of the asset. There were no long-lived asset impairments during the year ended December 31, 2023. Management evaluated its long-lived assets and the Company identified $218 and $2,835 in long-lived asset impairments related to six senior living communities for the years ended December 31, 2022 and 2021, respectively. See further discussion at Note 8, </w:t>
      </w:r>
      <w:r>
        <w:rPr>
          <w:rFonts w:ascii="Times New Roman" w:cs="Times New Roman" w:eastAsia="Times New Roman" w:hAnsi="Times New Roman"/>
          <w:sz w:val="17"/>
          <w:szCs w:val="17"/>
          <w:i w:val="1"/>
          <w:iCs w:val="1"/>
          <w:color w:val="auto"/>
        </w:rPr>
        <w:t>Property and Equipment, Net.</w:t>
      </w:r>
    </w:p>
    <w:p>
      <w:pPr>
        <w:spacing w:after="0" w:line="201"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Intangible Assets and Goodwill - </w:t>
      </w:r>
      <w:r>
        <w:rPr>
          <w:rFonts w:ascii="Times New Roman" w:cs="Times New Roman" w:eastAsia="Times New Roman" w:hAnsi="Times New Roman"/>
          <w:sz w:val="17"/>
          <w:szCs w:val="17"/>
          <w:color w:val="auto"/>
        </w:rPr>
        <w:t>The Company’s indefinite-lived intangible assets consist of trade names and Medicare and Medicaid licenses.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tests indefinite-lived intangible assets for impairment on an annual basis or more frequently if events or changes in circumstances indicate that the carrying amount of the intangible asset may not be recoverable.</w:t>
      </w:r>
    </w:p>
    <w:p>
      <w:pPr>
        <w:spacing w:after="0" w:line="19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identifiable net assets acquired in business combinations. The Company reviews goodwill for impairment annually on the first day of the fourth quarter and also if events or changes in circumstances indicate the occurrence of a triggering event. The Company assesses qualitative factors to determine whether it is more likely than not that the fair value of a reporting unit is less than its carrying amount. If the Company determines it is more likely than not that the fair value of a reporting unit is less than its carrying amount, then it is required to perform a quantitative impairment test by comparing the fair value with the carrying amount of the reporting unit. If</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carrying amount of a reporting unit exceeds its fair value, then the Company records an impairment of goodwill equal to the amount that the carrying amount of a reporting unit exceeds its fair value.</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As of December 31, 2023, we evaluated potential triggering events that might be indicators that our goodwill and indefinite-lived intangible assets were impaired. As a result of our evaluation, no goodwill or indefinite-lived intangible asset impairments were recorded during the years ended December 31, 2023, 2022 and 2021. See further discussion at Note 9, </w:t>
      </w:r>
      <w:r>
        <w:rPr>
          <w:rFonts w:ascii="Times New Roman" w:cs="Times New Roman" w:eastAsia="Times New Roman" w:hAnsi="Times New Roman"/>
          <w:sz w:val="17"/>
          <w:szCs w:val="17"/>
          <w:i w:val="1"/>
          <w:iCs w:val="1"/>
          <w:color w:val="auto"/>
        </w:rPr>
        <w:t>Goodwill and Intangible Assets.</w:t>
      </w:r>
    </w:p>
    <w:p>
      <w:pPr>
        <w:spacing w:after="0" w:line="18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Self-Insurance Reserve - </w:t>
      </w:r>
      <w:r>
        <w:rPr>
          <w:rFonts w:ascii="Times New Roman" w:cs="Times New Roman" w:eastAsia="Times New Roman" w:hAnsi="Times New Roman"/>
          <w:sz w:val="17"/>
          <w:szCs w:val="17"/>
          <w:color w:val="auto"/>
        </w:rPr>
        <w:t>The Company retains risk for a substantial portion of potential claims for general and professional liability and workers’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The Company recognizes obligations associated with these costs, up to specified deductible limits in the period in which a claim is incurred, including with respect to both reported claims and claims incurred but not reported. The Company evaluates the adequacy of the self-insurance reserves in conjunction with an independent actuarial assessment. As of December 31, 2023,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w:t>
      </w:r>
    </w:p>
    <w:p>
      <w:pPr>
        <w:spacing w:after="0" w:line="20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These costs have generally been estimated based on historical data of our claims experience. Such estimates, and the resulting reserves, are reviewed and updated by us on a quarterly basis.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following table presents details of the Company's insurance program, including general and professional liability and workers’ compensation, and amounts accrued for the periods indicated in other accrued liabilities and other long-term liabilities in our accompanying consolidated balance sheets. The amounts accrued below represent the total estimated liability for individual claims that are less than our noted insurance coverage amounts, which includes outstanding claims and claims incurred but not reported. The amounts are reported gross of reinsurance receivable of $2,045 and $1,561 included in restricted and other assets for the years ended December 31, 2023 and 2022, respectively, and $237 and $188 included in prepaid expenses and other current assets for the years ended December 31, 2023 and 2022, respectively.</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70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40" w:type="dxa"/>
            <w:vAlign w:val="bottom"/>
            <w:tcBorders>
              <w:bottom w:val="single" w:sz="8" w:color="auto"/>
            </w:tcBorders>
          </w:tcPr>
          <w:p>
            <w:pPr>
              <w:spacing w:after="0"/>
              <w:rPr>
                <w:sz w:val="19"/>
                <w:szCs w:val="19"/>
                <w:color w:val="auto"/>
              </w:rPr>
            </w:pPr>
          </w:p>
        </w:tc>
      </w:tr>
      <w:tr>
        <w:trPr>
          <w:trHeight w:val="212"/>
        </w:trPr>
        <w:tc>
          <w:tcPr>
            <w:tcW w:w="70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Type of Insurance</w:t>
            </w: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professional liability</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w w:val="99"/>
              </w:rPr>
              <w:t>4,078</w:t>
            </w:r>
          </w:p>
        </w:tc>
        <w:tc>
          <w:tcPr>
            <w:tcW w:w="100" w:type="dxa"/>
            <w:vAlign w:val="bottom"/>
          </w:tcPr>
          <w:p>
            <w:pPr>
              <w:spacing w:after="0"/>
              <w:rPr>
                <w:sz w:val="19"/>
                <w:szCs w:val="19"/>
                <w:color w:val="auto"/>
              </w:rPr>
            </w:pPr>
          </w:p>
        </w:tc>
        <w:tc>
          <w:tcPr>
            <w:tcW w:w="74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w w:val="99"/>
              </w:rPr>
              <w:t>3,690</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Workers’ compensation</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w w:val="99"/>
              </w:rPr>
              <w:t>4,892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7"/>
                <w:szCs w:val="17"/>
                <w:color w:val="auto"/>
                <w:w w:val="99"/>
              </w:rPr>
              <w:t>3,810</w:t>
            </w:r>
          </w:p>
        </w:tc>
      </w:tr>
      <w:tr>
        <w:trPr>
          <w:trHeight w:val="212"/>
        </w:trPr>
        <w:tc>
          <w:tcPr>
            <w:tcW w:w="7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estimated liability</w:t>
            </w:r>
          </w:p>
        </w:tc>
        <w:tc>
          <w:tcPr>
            <w:tcW w:w="1240" w:type="dxa"/>
            <w:vAlign w:val="bottom"/>
          </w:tcPr>
          <w:p>
            <w:pPr>
              <w:spacing w:after="0"/>
              <w:rPr>
                <w:sz w:val="18"/>
                <w:szCs w:val="18"/>
                <w:color w:val="auto"/>
              </w:rPr>
            </w:pPr>
          </w:p>
        </w:tc>
        <w:tc>
          <w:tcPr>
            <w:tcW w:w="7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w w:val="99"/>
              </w:rPr>
              <w:t>8,970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w w:val="99"/>
              </w:rPr>
              <w:t>7,500</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long-term portion, included in other long-term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74"/>
              <w:spacing w:after="0"/>
              <w:rPr>
                <w:sz w:val="20"/>
                <w:szCs w:val="20"/>
                <w:color w:val="auto"/>
              </w:rPr>
            </w:pPr>
            <w:r>
              <w:rPr>
                <w:rFonts w:ascii="Times New Roman" w:cs="Times New Roman" w:eastAsia="Times New Roman" w:hAnsi="Times New Roman"/>
                <w:sz w:val="17"/>
                <w:szCs w:val="17"/>
                <w:color w:val="auto"/>
              </w:rPr>
              <w:t>(6,509)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74"/>
              <w:spacing w:after="0"/>
              <w:rPr>
                <w:sz w:val="20"/>
                <w:szCs w:val="20"/>
                <w:color w:val="auto"/>
              </w:rPr>
            </w:pPr>
            <w:r>
              <w:rPr>
                <w:rFonts w:ascii="Times New Roman" w:cs="Times New Roman" w:eastAsia="Times New Roman" w:hAnsi="Times New Roman"/>
                <w:sz w:val="17"/>
                <w:szCs w:val="17"/>
                <w:color w:val="auto"/>
              </w:rPr>
              <w:t>(5,748)</w:t>
            </w:r>
          </w:p>
        </w:tc>
      </w:tr>
      <w:tr>
        <w:trPr>
          <w:trHeight w:val="212"/>
        </w:trPr>
        <w:tc>
          <w:tcPr>
            <w:tcW w:w="7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portion of estimated liability, included in other accrued liabilities</w:t>
            </w:r>
          </w:p>
        </w:tc>
        <w:tc>
          <w:tcPr>
            <w:tcW w:w="124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7"/>
                <w:szCs w:val="17"/>
                <w:color w:val="auto"/>
                <w:w w:val="99"/>
              </w:rPr>
              <w:t>2,461</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w w:val="99"/>
              </w:rPr>
              <w:t>1,752</w:t>
            </w:r>
          </w:p>
        </w:tc>
      </w:tr>
      <w:tr>
        <w:trPr>
          <w:trHeight w:val="20"/>
        </w:trPr>
        <w:tc>
          <w:tcPr>
            <w:tcW w:w="7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Beginning on January 1, 2022, the Company transitioned its employee health plans to a self-insurance model. Prior to that date, the Company did not retain risk related to its employee health plans. The Company self-funds medical, including prescription drugs, dental healthcare, and vision benefits for its employees. The Company is fully liable for all financial and legal aspects of these benefit plans. To protect itself against loss exposure associated with this policy, the Company has purchased individual stop-loss insurance coverage that insures individual claims that exceed $325 for each covered person for fiscal years 2023 and 2022. As of December 31, 2023 and 2022 our medical benefits liability was $1,931 and $1,794, respectively, recorded as a component of other accrued liabilities.</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Fair Value of Financial Instruments - </w:t>
      </w:r>
      <w:r>
        <w:rPr>
          <w:rFonts w:ascii="Times New Roman" w:cs="Times New Roman" w:eastAsia="Times New Roman" w:hAnsi="Times New Roman"/>
          <w:sz w:val="17"/>
          <w:szCs w:val="17"/>
          <w:color w:val="auto"/>
        </w:rPr>
        <w:t>The Company’s financial instruments consist principally of cash, accounts receivable, accounts payable, accrued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and debt. The Company believes all of the financial instruments’ recorded values approximate fair values because of their nature or respective short durations. The Company determines fair value measurements based on a three-tier hierarchy that prioritizes the inputs used to measure fair value. These tiers include: Level 1, defined as observable inputs such as quoted market prices in active markets; Level 2, defined as inputs other than quoted prices included within Level 1 that are observable for the asset or liability, either directly or indirectly; and Level 3, defined as unobservable inputs for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Deferred tax assets and liabilities are established for temporary differences between the financial reporting basis and the tax basis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assets and liabilities at tax rates in effect when such temporary differences are expected to reverse. The Company generally expects to fully utilize its deferred tax assets; however, when necessary, the Company records a valuation allowance to reduce its net deferred tax assets to the amount that is more likely than not to be realized.</w:t>
      </w:r>
    </w:p>
    <w:p>
      <w:pPr>
        <w:spacing w:after="0" w:line="19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determining the need for a valuation allowance or the need for and magnitude of liabilities for uncertain tax positions, the Company makes certain estimates and assumptions. These estimates and assumptions are based on, among other things, knowledge of operations, markets, historical trends and likely future changes and, when appropriate, the opinions of advisors with knowledge and expertise in certain fields. Due to certain risks associated with the Company’s estimates and assumptions, actual results could differ.</w:t>
      </w:r>
    </w:p>
    <w:p>
      <w:pPr>
        <w:spacing w:after="0" w:line="19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Noncontrolling Interest </w:t>
      </w:r>
      <w:r>
        <w:rPr>
          <w:rFonts w:ascii="Times New Roman" w:cs="Times New Roman" w:eastAsia="Times New Roman" w:hAnsi="Times New Roman"/>
          <w:sz w:val="17"/>
          <w:szCs w:val="17"/>
          <w:color w:val="auto"/>
        </w:rPr>
        <w:t>- The noncontrolling interest in a subsidiary is initially recognized at estimated fair value on the acquisition date and is presented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within total equity in the Company's consolidated balance sheets. The Company presents the noncontrolling interest and the amount of consolidated net income and other comprehensive income attributable to The Pennant Group, Inc. in its consolidated statements of income. Net income per share is calculated based on net income attributable to The Pennant Group, Inc.'s stockholders. The carrying amount of the noncontrolling interest is adjusted based on an allocation of subsidiary earnings based on ownership interest.</w:t>
      </w:r>
    </w:p>
    <w:p>
      <w:pPr>
        <w:spacing w:after="0" w:line="19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Share-Based Compensation - </w:t>
      </w:r>
      <w:r>
        <w:rPr>
          <w:rFonts w:ascii="Times New Roman" w:cs="Times New Roman" w:eastAsia="Times New Roman" w:hAnsi="Times New Roman"/>
          <w:sz w:val="17"/>
          <w:szCs w:val="17"/>
          <w:color w:val="auto"/>
        </w:rPr>
        <w:t>The Company measures and recognizes compensation expense for all share-based payment awards, including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stock options and restricted stock, made to employees and Pennant’s directors based on estimated fair values, ratably over the requisite service period of the award. The Company accounts for forfeitures as they occur. The total amount of share-based compensation was $5,369, $3,086, and $10,040 for the years ended December 31, 2023, 2022 and 2021, respectively, of which $2,250, $647 and $7,964, respectively, was recorded in general and administrative expense, with the difference being recorded in cost of services. For further discussion see Note 12, </w:t>
      </w:r>
      <w:r>
        <w:rPr>
          <w:rFonts w:ascii="Times New Roman" w:cs="Times New Roman" w:eastAsia="Times New Roman" w:hAnsi="Times New Roman"/>
          <w:sz w:val="17"/>
          <w:szCs w:val="17"/>
          <w:i w:val="1"/>
          <w:iCs w:val="1"/>
          <w:color w:val="auto"/>
        </w:rPr>
        <w:t>Options and Awards.</w:t>
      </w:r>
    </w:p>
    <w:p>
      <w:pPr>
        <w:spacing w:after="0" w:line="19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State Relief Funding - </w:t>
      </w:r>
      <w:r>
        <w:rPr>
          <w:rFonts w:ascii="Times New Roman" w:cs="Times New Roman" w:eastAsia="Times New Roman" w:hAnsi="Times New Roman"/>
          <w:sz w:val="17"/>
          <w:szCs w:val="17"/>
          <w:color w:val="auto"/>
        </w:rPr>
        <w:t>The Company receives state relief funding through programs from various states, including healthcare relief funding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American Rescue Plan Act (“ARPA”), and other state specific relief programs. The funding generally incorporates specific use requirements primarily for direct patient care including labor-related expenses that are attributable to the COVID-19 pandemic or are associated with providing patient care.</w:t>
      </w:r>
    </w:p>
    <w:p>
      <w:pPr>
        <w:spacing w:after="0" w:line="19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These funds are recognized as a reduction of cost of services when related expenses are incurred. As of December 31, 2023 and 2022, the Company had $780 and $1,479 in unapplied state relief funds, respectively. The unapplied state relief funds received are recorded in other accrued liabilities on the consolidated balance sheets. The Company recognized state relief funding totaling $4,654 for the year ended December 31, 2023, and $3,941 for the year ended December 31, 2022, which the Company recognized as a reduction of cost of services.</w:t>
      </w:r>
    </w:p>
    <w:p>
      <w:pPr>
        <w:spacing w:after="0" w:line="1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Recent Accounting Pronouncements - </w:t>
      </w:r>
      <w:r>
        <w:rPr>
          <w:rFonts w:ascii="Times New Roman" w:cs="Times New Roman" w:eastAsia="Times New Roman" w:hAnsi="Times New Roman"/>
          <w:sz w:val="17"/>
          <w:szCs w:val="17"/>
          <w:color w:val="auto"/>
        </w:rPr>
        <w:t>Except for rules and interpretive releases of the Securities and Exchange Commission (SEC) under authority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securities laws and a limited number of grandfathered standards, the FASB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spacing w:after="0" w:line="19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which requires the Company to expand the breadth and frequency of segment disclosures to include additional information about significant segment expenses, the chief operating decision maker and other items, and also require the annual disclosures on an interim basis. This guidance is effective for annual periods beginning after December 15, 2023, which will be the Company's fiscal year 2024, with early adoption permitted. The Company is currently evaluating the impact of the ASU on its Quarterly and Annual Reports.</w:t>
      </w:r>
    </w:p>
    <w:p>
      <w:pPr>
        <w:spacing w:after="0" w:line="196"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which requires the Company to disclose disaggregated jurisdictional and categorical information for the tax rate reconciliation, income taxes paid and other income tax related amounts. This guidance is effective for annual periods beginning after December 15, 2024, which will be the Company's fiscal year 2025, with early adoption permitted. The Company doesn’t expect it to have any material impacts.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TRANSACTIONS WITH ENSIGN</w:t>
      </w:r>
    </w:p>
    <w:p>
      <w:pPr>
        <w:spacing w:after="0" w:line="5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October 1, 2019, The Ensign Group, Inc. (“Ensign”) completed the separation of Pennant (the “Spin-Off”). Pennant and Ensign continue to partner in the provision of services along the healthcare continuum.</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has incurred $1,035, $1,561, and $3,124 in costs related to the Transitions Services Agreement for the years ended December 31, 2023, 2022 and 2021, respectively, that related primarily to shared services at proximate operations.</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Expenses related to room and board charges at Ensign skilled nursing facilities for hospice patients were $4,583, $3,211, and $3,084 for the years ended December 31, 2023, 2022 and 2021, respectively.</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The Company’s independent operating subsidiaries leased 29 of its senior living communities from subsidiaries of Ensign under a master lease arrangement as of December 31, 2023. See further discussion below at Note 13,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January 27, 2022, affiliates of the Company entered into certain operations transfer agreements (collectively, the “Transfer Agreements”) with affiliates of Ensign, providing for the transfer of the operations of five senior living communities (the “Transaction”). The Transfer Agreements required one of the transferors to place $6,500 in escrow to cover post-closing capital expenditures and operating losses related to one of the communities, and such escrow was funded by an initial payment by the transferor at closing followed by eight equal monthly installments. The Company recorded the amount in loss on asset dispositions and impairment, net during 2022. The Transaction closed in April 2022.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COMPUTATION OF NET INCOME PER COMMON SHARE</w:t>
      </w:r>
    </w:p>
    <w:p>
      <w:pPr>
        <w:spacing w:after="0" w:line="6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12529"/>
        </w:rPr>
        <w:t>The following table sets forth the computation of basic and diluted net income per share for the periods presented: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40" w:type="dxa"/>
            <w:vAlign w:val="bottom"/>
            <w:tcBorders>
              <w:bottom w:val="single" w:sz="8" w:color="auto"/>
            </w:tcBorders>
          </w:tcPr>
          <w:p>
            <w:pPr>
              <w:spacing w:after="0"/>
              <w:rPr>
                <w:sz w:val="19"/>
                <w:szCs w:val="19"/>
                <w:color w:val="auto"/>
              </w:rPr>
            </w:pPr>
          </w:p>
        </w:tc>
      </w:tr>
      <w:tr>
        <w:trPr>
          <w:trHeight w:val="212"/>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9"/>
              </w:rPr>
              <w:t>2021</w:t>
            </w:r>
          </w:p>
        </w:tc>
      </w:tr>
      <w:tr>
        <w:trPr>
          <w:trHeight w:val="19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13,910</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12"/>
        </w:trPr>
        <w:tc>
          <w:tcPr>
            <w:tcW w:w="7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 attributable to The Pennant Group, Inc.</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2,696</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7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shares outstanding for basic net income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28,406</w:t>
            </w:r>
          </w:p>
        </w:tc>
      </w:tr>
      <w:tr>
        <w:trPr>
          <w:trHeight w:val="219"/>
        </w:trPr>
        <w:tc>
          <w:tcPr>
            <w:tcW w:w="7780" w:type="dxa"/>
            <w:vAlign w:val="bottom"/>
            <w:tcBorders>
              <w:bottom w:val="single" w:sz="8" w:color="CCEEFF"/>
            </w:tcBorders>
          </w:tcPr>
          <w:p>
            <w:pPr>
              <w:ind w:left="120"/>
              <w:spacing w:after="0" w:line="219" w:lineRule="exact"/>
              <w:rPr>
                <w:sz w:val="20"/>
                <w:szCs w:val="20"/>
                <w:color w:val="auto"/>
              </w:rPr>
            </w:pPr>
            <w:r>
              <w:rPr>
                <w:rFonts w:ascii="Times New Roman" w:cs="Times New Roman" w:eastAsia="Times New Roman" w:hAnsi="Times New Roman"/>
                <w:sz w:val="17"/>
                <w:szCs w:val="17"/>
                <w:color w:val="auto"/>
              </w:rPr>
              <w:t>Plus: incremental shares from assumed conversion</w:t>
            </w:r>
            <w:r>
              <w:rPr>
                <w:rFonts w:ascii="Times New Roman" w:cs="Times New Roman" w:eastAsia="Times New Roman" w:hAnsi="Times New Roman"/>
                <w:sz w:val="22"/>
                <w:szCs w:val="22"/>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2,236</w:t>
            </w:r>
          </w:p>
        </w:tc>
      </w:tr>
      <w:tr>
        <w:trPr>
          <w:trHeight w:val="212"/>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Adjusted weighted average common shares outstanding for diluted income per share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30,642</w:t>
            </w:r>
          </w:p>
        </w:tc>
      </w:tr>
      <w:tr>
        <w:trPr>
          <w:trHeight w:val="258"/>
        </w:trPr>
        <w:tc>
          <w:tcPr>
            <w:tcW w:w="7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net income per common share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Diluted net income per common share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r>
    </w:tbl>
    <w:p>
      <w:pPr>
        <w:spacing w:after="0" w:line="96" w:lineRule="exact"/>
        <w:rPr>
          <w:sz w:val="20"/>
          <w:szCs w:val="20"/>
          <w:color w:val="auto"/>
        </w:rPr>
      </w:pPr>
    </w:p>
    <w:p>
      <w:pPr>
        <w:jc w:val="both"/>
        <w:ind w:left="460" w:right="60" w:hanging="440"/>
        <w:spacing w:after="0" w:line="223" w:lineRule="auto"/>
        <w:tabs>
          <w:tab w:leader="none" w:pos="4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dilutive shares outstanding excludes out-of-the-money stock options (i.e., such options’ exercise prices were greater than the average market price of our common shares for the period) because their inclusion would have been antidilutive. Options outstanding which are anti-dilutive and therefore not factored into the weighted average common shares amount above were 2,363, 1,860, and 478 for the years ended December 31, 2023, 2022 and 2021, respectively.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8" w:lineRule="exact"/>
        <w:rPr>
          <w:rFonts w:ascii="Times New Roman" w:cs="Times New Roman" w:eastAsia="Times New Roman" w:hAnsi="Times New Roman"/>
          <w:sz w:val="14"/>
          <w:szCs w:val="14"/>
          <w:color w:val="auto"/>
        </w:rPr>
      </w:pPr>
    </w:p>
    <w:p>
      <w:pPr>
        <w:ind w:left="180" w:hanging="177"/>
        <w:spacing w:after="0"/>
        <w:tabs>
          <w:tab w:leader="none" w:pos="18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AND ACCOUNTS RECEIVABLE</w:t>
      </w:r>
    </w:p>
    <w:p>
      <w:pPr>
        <w:spacing w:after="0" w:line="41"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Revenue is recognized when services are provided to the patients at the amount that reflects the consideration to which the Company expects to be entitled from patients and third-party payors, including Medicaid, Medicare and managed care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programs (Commercial, Medicare Advantage and Managed Medicaid plans).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records revenue from Medicare, Medicaid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49"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 A reconciliation of disaggregated revenue to segment revenue as well as revenue by payor is provided below.</w:t>
      </w:r>
    </w:p>
    <w:p>
      <w:pPr>
        <w:spacing w:after="0" w:line="200" w:lineRule="exact"/>
        <w:rPr>
          <w:sz w:val="20"/>
          <w:szCs w:val="20"/>
          <w:color w:val="auto"/>
        </w:rPr>
      </w:pP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service specific revenue recognition policies are as follows: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Home Health Revenue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Medicare Revenue</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to revenue recognized on completed episodes and periods, the Company also recognizes a portion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Non-Medicare Revenue</w:t>
      </w:r>
    </w:p>
    <w:p>
      <w:pPr>
        <w:spacing w:after="0" w:line="245"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Episodic Based Revenue - </w:t>
      </w:r>
      <w:r>
        <w:rPr>
          <w:rFonts w:ascii="Times New Roman" w:cs="Times New Roman" w:eastAsia="Times New Roman" w:hAnsi="Times New Roman"/>
          <w:sz w:val="17"/>
          <w:szCs w:val="17"/>
          <w:color w:val="auto"/>
        </w:rPr>
        <w:t>The Company recognizes revenue in a similar manner as it recognizes Medicare revenue for episodic-based rates that are paid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other insurance carriers, including Medicare Advantage programs; however, these rates can vary based upon the negotiated terms.</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Non-episodic Based Revenue - </w:t>
      </w:r>
      <w:r>
        <w:rPr>
          <w:rFonts w:ascii="Times New Roman" w:cs="Times New Roman" w:eastAsia="Times New Roman" w:hAnsi="Times New Roman"/>
          <w:sz w:val="17"/>
          <w:szCs w:val="17"/>
          <w:color w:val="auto"/>
        </w:rPr>
        <w:t>Revenue is recognized on an accrual basis based upon the date of service at amounts equal to its established or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 visit rates, as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Hospice Revenue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Medicare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Living Revenue</w:t>
      </w:r>
    </w:p>
    <w:p>
      <w:pPr>
        <w:spacing w:after="0" w:line="24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The Company has elected the lessor practical expedient within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for its senior residency agreements, for which it has determined that the non-lease components of such residency agreements are the predominant component of each such contract.</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 by payor for the years ended December 31, 2023, 2022 and 2021, is summarized in the following tables: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2"/>
        </w:trPr>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Home Health and Hospice Services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320" w:type="dxa"/>
            <w:vAlign w:val="bottom"/>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Home Health Services</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0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3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2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Revenue %</w:t>
            </w:r>
          </w:p>
        </w:tc>
      </w:tr>
      <w:tr>
        <w:trPr>
          <w:trHeight w:val="212"/>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96,035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167,775</w:t>
            </w:r>
          </w:p>
        </w:tc>
        <w:tc>
          <w:tcPr>
            <w:tcW w:w="100" w:type="dxa"/>
            <w:vAlign w:val="bottom"/>
          </w:tcPr>
          <w:p>
            <w:pPr>
              <w:spacing w:after="0"/>
              <w:rPr>
                <w:sz w:val="18"/>
                <w:szCs w:val="18"/>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263,810</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48.4 %</w:t>
            </w: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77,337</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14.2</w:t>
            </w:r>
          </w:p>
        </w:tc>
      </w:tr>
      <w:tr>
        <w:trPr>
          <w:trHeight w:val="212"/>
        </w:trPr>
        <w:tc>
          <w:tcPr>
            <w:tcW w:w="2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341,147</w:t>
            </w:r>
          </w:p>
        </w:tc>
        <w:tc>
          <w:tcPr>
            <w:tcW w:w="100" w:type="dxa"/>
            <w:vAlign w:val="bottom"/>
          </w:tcPr>
          <w:p>
            <w:pPr>
              <w:spacing w:after="0"/>
              <w:rPr>
                <w:sz w:val="18"/>
                <w:szCs w:val="18"/>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62.6</w:t>
            </w: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73,748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13.5</w:t>
            </w:r>
          </w:p>
        </w:tc>
      </w:tr>
      <w:tr>
        <w:trPr>
          <w:trHeight w:val="219"/>
        </w:trPr>
        <w:tc>
          <w:tcPr>
            <w:tcW w:w="23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Private and other</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129,996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23.9</w:t>
            </w:r>
          </w:p>
        </w:tc>
      </w:tr>
      <w:tr>
        <w:trPr>
          <w:trHeight w:val="237"/>
        </w:trPr>
        <w:tc>
          <w:tcPr>
            <w:tcW w:w="2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194,627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60" w:hanging="440"/>
        <w:spacing w:after="0"/>
        <w:tabs>
          <w:tab w:leader="none" w:pos="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and hospice services segment includes revenue from all payors generated in the Company’s home care operations.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2"/>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Home Health and Hospice Services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260" w:type="dxa"/>
            <w:vAlign w:val="bottom"/>
          </w:tcPr>
          <w:p>
            <w:pPr>
              <w:spacing w:after="0"/>
              <w:rPr>
                <w:sz w:val="18"/>
                <w:szCs w:val="18"/>
                <w:color w:val="auto"/>
              </w:rPr>
            </w:pPr>
          </w:p>
        </w:tc>
        <w:tc>
          <w:tcPr>
            <w:tcW w:w="17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Home Health Services</w:t>
            </w: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0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3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Revenue %</w:t>
            </w:r>
          </w:p>
        </w:tc>
      </w:tr>
      <w:tr>
        <w:trPr>
          <w:trHeight w:val="21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91,415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140,338</w:t>
            </w:r>
          </w:p>
        </w:tc>
        <w:tc>
          <w:tcPr>
            <w:tcW w:w="100" w:type="dxa"/>
            <w:vAlign w:val="bottom"/>
          </w:tcPr>
          <w:p>
            <w:pPr>
              <w:spacing w:after="0"/>
              <w:rPr>
                <w:sz w:val="18"/>
                <w:szCs w:val="18"/>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231,753</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49.0 %</w:t>
            </w: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62,934</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13.3</w:t>
            </w:r>
          </w:p>
        </w:tc>
      </w:tr>
      <w:tr>
        <w:trPr>
          <w:trHeight w:val="212"/>
        </w:trPr>
        <w:tc>
          <w:tcPr>
            <w:tcW w:w="2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294,687</w:t>
            </w:r>
          </w:p>
        </w:tc>
        <w:tc>
          <w:tcPr>
            <w:tcW w:w="100" w:type="dxa"/>
            <w:vAlign w:val="bottom"/>
          </w:tcPr>
          <w:p>
            <w:pPr>
              <w:spacing w:after="0"/>
              <w:rPr>
                <w:sz w:val="18"/>
                <w:szCs w:val="18"/>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62.3</w:t>
            </w: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62,101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226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Private and other</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116,453</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24.6</w:t>
            </w:r>
          </w:p>
        </w:tc>
      </w:tr>
      <w:tr>
        <w:trPr>
          <w:trHeight w:val="237"/>
        </w:trPr>
        <w:tc>
          <w:tcPr>
            <w:tcW w:w="2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160,520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473,241</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60" w:hanging="440"/>
        <w:spacing w:after="0"/>
        <w:tabs>
          <w:tab w:leader="none" w:pos="4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and hospice services segment includes revenue from all payors generated in the Company’s home care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 2021</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2"/>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Home Health and Hospice Services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280" w:type="dxa"/>
            <w:vAlign w:val="bottom"/>
          </w:tcPr>
          <w:p>
            <w:pPr>
              <w:spacing w:after="0"/>
              <w:rPr>
                <w:sz w:val="18"/>
                <w:szCs w:val="18"/>
                <w:color w:val="auto"/>
              </w:rPr>
            </w:pPr>
          </w:p>
        </w:tc>
        <w:tc>
          <w:tcPr>
            <w:tcW w:w="17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Home Health Services</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3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2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Revenue %</w:t>
            </w:r>
          </w:p>
        </w:tc>
      </w:tr>
      <w:tr>
        <w:trPr>
          <w:trHeight w:val="21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80,849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135,939</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216,788</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49.3 %</w:t>
            </w: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58,355</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w:t>
            </w:r>
          </w:p>
        </w:tc>
      </w:tr>
      <w:tr>
        <w:trPr>
          <w:trHeight w:val="212"/>
        </w:trPr>
        <w:tc>
          <w:tcPr>
            <w:tcW w:w="2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148,042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275,143</w:t>
            </w:r>
          </w:p>
        </w:tc>
        <w:tc>
          <w:tcPr>
            <w:tcW w:w="100" w:type="dxa"/>
            <w:vAlign w:val="bottom"/>
          </w:tcPr>
          <w:p>
            <w:pPr>
              <w:spacing w:after="0"/>
              <w:rPr>
                <w:sz w:val="18"/>
                <w:szCs w:val="18"/>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62.6</w:t>
            </w: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49,363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228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Private and other</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115,188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26.2</w:t>
            </w:r>
          </w:p>
        </w:tc>
      </w:tr>
      <w:tr>
        <w:trPr>
          <w:trHeight w:val="237"/>
        </w:trPr>
        <w:tc>
          <w:tcPr>
            <w:tcW w:w="2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151,612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439,694</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60" w:hanging="440"/>
        <w:spacing w:after="0"/>
        <w:tabs>
          <w:tab w:leader="none" w:pos="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and hospice services segment includes revenue from all payors generated in the Company’s home care operations.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Balance Sheet Impact</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Included in the Company’s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receivable as of December 31, 2023 and December 31, 2022 is summarized in the following table: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00" w:type="dxa"/>
            <w:vAlign w:val="bottom"/>
          </w:tcPr>
          <w:p>
            <w:pPr>
              <w:spacing w:after="0"/>
              <w:rPr>
                <w:sz w:val="19"/>
                <w:szCs w:val="19"/>
                <w:color w:val="auto"/>
              </w:rPr>
            </w:pPr>
          </w:p>
        </w:tc>
        <w:tc>
          <w:tcPr>
            <w:tcW w:w="21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12"/>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31,321</w:t>
            </w:r>
          </w:p>
        </w:tc>
      </w:tr>
      <w:tr>
        <w:trPr>
          <w:trHeight w:val="21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10,700</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w:t>
            </w:r>
          </w:p>
        </w:tc>
      </w:tr>
      <w:tr>
        <w:trPr>
          <w:trHeight w:val="21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Private and other</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w:t>
            </w:r>
          </w:p>
        </w:tc>
      </w:tr>
      <w:tr>
        <w:trPr>
          <w:trHeight w:val="212"/>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gross</w:t>
            </w:r>
          </w:p>
        </w:tc>
        <w:tc>
          <w:tcPr>
            <w:tcW w:w="3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54,012</w:t>
            </w:r>
          </w:p>
        </w:tc>
      </w:tr>
      <w:tr>
        <w:trPr>
          <w:trHeight w:val="21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doubtful accounts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37"/>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53,420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for our allowance for doubtful accounts for the years ended December 31, 2023, 2022 and 2021: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r>
      <w:tr>
        <w:trPr>
          <w:trHeight w:val="212"/>
        </w:trPr>
        <w:tc>
          <w:tcPr>
            <w:tcW w:w="7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643</w:t>
            </w:r>
          </w:p>
        </w:tc>
      </w:tr>
      <w:tr>
        <w:trPr>
          <w:trHeight w:val="219"/>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bad debt expense</w:t>
            </w:r>
          </w:p>
        </w:tc>
        <w:tc>
          <w:tcPr>
            <w:tcW w:w="8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center"/>
              <w:ind w:left="514"/>
              <w:spacing w:after="0"/>
              <w:rPr>
                <w:sz w:val="20"/>
                <w:szCs w:val="20"/>
                <w:color w:val="auto"/>
              </w:rPr>
            </w:pPr>
            <w:r>
              <w:rPr>
                <w:rFonts w:ascii="Times New Roman" w:cs="Times New Roman" w:eastAsia="Times New Roman" w:hAnsi="Times New Roman"/>
                <w:sz w:val="17"/>
                <w:szCs w:val="17"/>
                <w:color w:val="auto"/>
              </w:rPr>
              <w:t>616</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 of uncollectible accounts</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(979)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rPr>
              <w:t>(357)</w:t>
            </w:r>
          </w:p>
        </w:tc>
      </w:tr>
      <w:tr>
        <w:trPr>
          <w:trHeight w:val="212"/>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7"/>
                <w:szCs w:val="17"/>
                <w:color w:val="auto"/>
              </w:rPr>
              <w:t>902</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Credit Risk</w:t>
      </w:r>
    </w:p>
    <w:p>
      <w:pPr>
        <w:spacing w:after="0" w:line="24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Credit Risk - </w:t>
      </w:r>
      <w:r>
        <w:rPr>
          <w:rFonts w:ascii="Times New Roman" w:cs="Times New Roman" w:eastAsia="Times New Roman" w:hAnsi="Times New Roman"/>
          <w:sz w:val="17"/>
          <w:szCs w:val="17"/>
          <w:color w:val="auto"/>
        </w:rPr>
        <w:t>The Company has significant accounts receivable balances, the collectability of which is dependent on the availability of funds from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77.0% and 77.8% of its total gross accounts receivable as of December 31, 2023 and December 31, 2022, respectively. Revenue from reimbursement under the Medicare and Medicaid programs accounted for 62.6%, 62.3%, and 62.6% of the Company's revenue for the years ended December 31, 2023, 2022 and 2021, respectively.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BUSINESS SEGMENTS</w:t>
      </w:r>
    </w:p>
    <w:p>
      <w:pPr>
        <w:spacing w:after="0" w:line="5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The Company also report an “all other” category that includes general and administrative expense from its Service Center.</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2023, the Company provided services through 111 affiliated home health, hospice and home care agencies, and 51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attributable to the Company's reportable segments excluding interest expense, provision for income taxes, depreciation and amortization expense, rent, and, in order to view the operations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on a comparable basis from period to period, certain adjustments including: (1) costs at start-up operations, (2) share-based compensation expense,</w:t>
      </w:r>
    </w:p>
    <w:p>
      <w:pPr>
        <w:spacing w:after="0" w:line="28" w:lineRule="exact"/>
        <w:rPr>
          <w:sz w:val="20"/>
          <w:szCs w:val="20"/>
          <w:color w:val="auto"/>
        </w:rPr>
      </w:pPr>
    </w:p>
    <w:p>
      <w:pPr>
        <w:jc w:val="both"/>
        <w:ind w:firstLine="3"/>
        <w:spacing w:after="0" w:line="257" w:lineRule="auto"/>
        <w:tabs>
          <w:tab w:leader="none" w:pos="25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related costs and credit allowances, (4) transition services costs, (5) costs associated with transitioning operations, (6) unusual, non-recurring or redundant charges, and (7) net income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0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certain financial information regarding the Company’s reportable segments, general and administrative expenses are not allocated to the reportable segments and are included in “All Other”.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Home Health and</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Senior Living</w:t>
            </w:r>
          </w:p>
        </w:tc>
        <w:tc>
          <w:tcPr>
            <w:tcW w:w="260" w:type="dxa"/>
            <w:vAlign w:val="bottom"/>
          </w:tcPr>
          <w:p>
            <w:pPr>
              <w:spacing w:after="0"/>
              <w:rPr>
                <w:sz w:val="17"/>
                <w:szCs w:val="17"/>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340" w:type="dxa"/>
            <w:vAlign w:val="bottom"/>
          </w:tcPr>
          <w:p>
            <w:pPr>
              <w:spacing w:after="0"/>
              <w:rPr>
                <w:sz w:val="17"/>
                <w:szCs w:val="17"/>
                <w:color w:val="auto"/>
              </w:rPr>
            </w:pPr>
          </w:p>
        </w:tc>
        <w:tc>
          <w:tcPr>
            <w:tcW w:w="1180" w:type="dxa"/>
            <w:vAlign w:val="bottom"/>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20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394,464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150,427</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79,196</w:t>
            </w: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342,249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473,241</w:t>
            </w: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61,827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(31,435)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67,955</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309,570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130,124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439,694</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provides a reconciliation of Segment Adjusted EBITDAR from Operations above to income from operations: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212"/>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79,196</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67,955</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66,874</w:t>
            </w: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w:t>
            </w:r>
          </w:p>
        </w:tc>
      </w:tr>
      <w:tr>
        <w:trPr>
          <w:trHeight w:val="219"/>
        </w:trPr>
        <w:tc>
          <w:tcPr>
            <w:tcW w:w="74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Rent—cost of services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40,863</w:t>
            </w:r>
          </w:p>
        </w:tc>
      </w:tr>
      <w:tr>
        <w:trPr>
          <w:trHeight w:val="219"/>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income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Segment EBITDAR from Operations: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74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Less: Costs at start-up operations</w:t>
            </w:r>
            <w:r>
              <w:rPr>
                <w:rFonts w:ascii="Times New Roman" w:cs="Times New Roman" w:eastAsia="Times New Roman" w:hAnsi="Times New Roman"/>
                <w:sz w:val="22"/>
                <w:szCs w:val="22"/>
                <w:color w:val="auto"/>
                <w:vertAlign w:val="superscript"/>
              </w:rPr>
              <w:t>(a)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r>
      <w:tr>
        <w:trPr>
          <w:trHeight w:val="219"/>
        </w:trPr>
        <w:tc>
          <w:tcPr>
            <w:tcW w:w="748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Share-based compensation expense</w:t>
            </w:r>
            <w:r>
              <w:rPr>
                <w:rFonts w:ascii="Times New Roman" w:cs="Times New Roman" w:eastAsia="Times New Roman" w:hAnsi="Times New Roman"/>
                <w:sz w:val="22"/>
                <w:szCs w:val="22"/>
                <w:color w:val="auto"/>
                <w:vertAlign w:val="superscript"/>
              </w:rPr>
              <w:t>(b)</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10,040</w:t>
            </w:r>
          </w:p>
        </w:tc>
      </w:tr>
      <w:tr>
        <w:trPr>
          <w:trHeight w:val="219"/>
        </w:trPr>
        <w:tc>
          <w:tcPr>
            <w:tcW w:w="74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Acquisition related costs and credit allowances</w:t>
            </w:r>
            <w:r>
              <w:rPr>
                <w:rFonts w:ascii="Times New Roman" w:cs="Times New Roman" w:eastAsia="Times New Roman" w:hAnsi="Times New Roman"/>
                <w:sz w:val="22"/>
                <w:szCs w:val="22"/>
                <w:color w:val="auto"/>
                <w:vertAlign w:val="superscript"/>
              </w:rPr>
              <w:t>(c)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9"/>
        </w:trPr>
        <w:tc>
          <w:tcPr>
            <w:tcW w:w="748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Transition services costs</w:t>
            </w:r>
            <w:r>
              <w:rPr>
                <w:rFonts w:ascii="Times New Roman" w:cs="Times New Roman" w:eastAsia="Times New Roman" w:hAnsi="Times New Roman"/>
                <w:sz w:val="22"/>
                <w:szCs w:val="22"/>
                <w:color w:val="auto"/>
                <w:vertAlign w:val="superscript"/>
              </w:rPr>
              <w:t>(d)</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w:t>
            </w:r>
          </w:p>
        </w:tc>
      </w:tr>
      <w:tr>
        <w:trPr>
          <w:trHeight w:val="219"/>
        </w:trPr>
        <w:tc>
          <w:tcPr>
            <w:tcW w:w="74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Costs associated with transitioning operations</w:t>
            </w:r>
            <w:r>
              <w:rPr>
                <w:rFonts w:ascii="Times New Roman" w:cs="Times New Roman" w:eastAsia="Times New Roman" w:hAnsi="Times New Roman"/>
                <w:sz w:val="22"/>
                <w:szCs w:val="22"/>
                <w:color w:val="auto"/>
                <w:vertAlign w:val="superscript"/>
              </w:rPr>
              <w:t>(e)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w:t>
            </w:r>
          </w:p>
        </w:tc>
      </w:tr>
      <w:tr>
        <w:trPr>
          <w:trHeight w:val="219"/>
        </w:trPr>
        <w:tc>
          <w:tcPr>
            <w:tcW w:w="748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 xml:space="preserve">Unusual, non-recurring or redundant charges </w:t>
            </w:r>
            <w:r>
              <w:rPr>
                <w:rFonts w:ascii="Times New Roman" w:cs="Times New Roman" w:eastAsia="Times New Roman" w:hAnsi="Times New Roman"/>
                <w:sz w:val="22"/>
                <w:szCs w:val="22"/>
                <w:color w:val="auto"/>
                <w:vertAlign w:val="superscript"/>
              </w:rPr>
              <w:t>(f)</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Net income (loss)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12"/>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Income from operations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4,695</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60" w:hanging="440"/>
        <w:spacing w:after="0"/>
        <w:tabs>
          <w:tab w:leader="none" w:pos="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41" w:lineRule="exact"/>
        <w:rPr>
          <w:rFonts w:ascii="Times New Roman" w:cs="Times New Roman" w:eastAsia="Times New Roman" w:hAnsi="Times New Roman"/>
          <w:sz w:val="14"/>
          <w:szCs w:val="14"/>
          <w:color w:val="auto"/>
        </w:rPr>
      </w:pPr>
    </w:p>
    <w:p>
      <w:pPr>
        <w:ind w:left="460" w:right="320" w:hanging="440"/>
        <w:spacing w:after="0" w:line="281" w:lineRule="auto"/>
        <w:tabs>
          <w:tab w:leader="none" w:pos="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Share-based compensation expense and related payroll taxes incurred, including the impact of the modification of certain restricted stock units described below in Note 12, </w:t>
      </w:r>
      <w:r>
        <w:rPr>
          <w:rFonts w:ascii="Times New Roman" w:cs="Times New Roman" w:eastAsia="Times New Roman" w:hAnsi="Times New Roman"/>
          <w:sz w:val="14"/>
          <w:szCs w:val="14"/>
          <w:i w:val="1"/>
          <w:iCs w:val="1"/>
          <w:color w:val="auto"/>
        </w:rPr>
        <w:t>Options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Award</w:t>
      </w:r>
      <w:r>
        <w:rPr>
          <w:rFonts w:ascii="Times New Roman" w:cs="Times New Roman" w:eastAsia="Times New Roman" w:hAnsi="Times New Roman"/>
          <w:sz w:val="14"/>
          <w:szCs w:val="14"/>
          <w:color w:val="auto"/>
        </w:rPr>
        <w:t>s, to the Consolidated Financial Statements. Share-based compensation expense and related payroll taxes are included in cost of services and general and administrative expense.</w:t>
      </w:r>
    </w:p>
    <w:p>
      <w:pPr>
        <w:spacing w:after="0" w:line="13"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and credit allowances for amounts in dispute with the prior owners of certain acquired operations.</w:t>
      </w:r>
    </w:p>
    <w:p>
      <w:pPr>
        <w:spacing w:after="0" w:line="58" w:lineRule="exact"/>
        <w:rPr>
          <w:rFonts w:ascii="Times New Roman" w:cs="Times New Roman" w:eastAsia="Times New Roman" w:hAnsi="Times New Roman"/>
          <w:sz w:val="14"/>
          <w:szCs w:val="14"/>
          <w:color w:val="auto"/>
        </w:rPr>
      </w:pPr>
    </w:p>
    <w:p>
      <w:pPr>
        <w:jc w:val="both"/>
        <w:ind w:left="460" w:right="320" w:hanging="440"/>
        <w:spacing w:after="0" w:line="253" w:lineRule="auto"/>
        <w:tabs>
          <w:tab w:leader="none" w:pos="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$1,035, $1,561, and $3,124 for the year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15" w:lineRule="exact"/>
        <w:rPr>
          <w:sz w:val="20"/>
          <w:szCs w:val="20"/>
          <w:color w:val="auto"/>
        </w:rPr>
      </w:pPr>
    </w:p>
    <w:p>
      <w:pPr>
        <w:jc w:val="both"/>
        <w:ind w:left="460" w:right="320" w:hanging="440"/>
        <w:spacing w:after="0" w:line="253" w:lineRule="auto"/>
        <w:tabs>
          <w:tab w:leader="none" w:pos="4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w:t>
      </w:r>
    </w:p>
    <w:p>
      <w:pPr>
        <w:spacing w:after="0" w:line="212" w:lineRule="exact"/>
        <w:rPr>
          <w:rFonts w:ascii="Times New Roman" w:cs="Times New Roman" w:eastAsia="Times New Roman" w:hAnsi="Times New Roman"/>
          <w:sz w:val="14"/>
          <w:szCs w:val="14"/>
          <w:color w:val="auto"/>
        </w:rPr>
      </w:pPr>
    </w:p>
    <w:p>
      <w:pPr>
        <w:jc w:val="both"/>
        <w:ind w:left="460" w:right="32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p>
      <w:pPr>
        <w:spacing w:after="0" w:line="29" w:lineRule="exact"/>
        <w:rPr>
          <w:rFonts w:ascii="Times New Roman" w:cs="Times New Roman" w:eastAsia="Times New Roman" w:hAnsi="Times New Roman"/>
          <w:sz w:val="14"/>
          <w:szCs w:val="14"/>
          <w:color w:val="auto"/>
        </w:rPr>
      </w:pPr>
    </w:p>
    <w:p>
      <w:pPr>
        <w:jc w:val="both"/>
        <w:ind w:left="460" w:right="320" w:hanging="440"/>
        <w:spacing w:after="0" w:line="253" w:lineRule="auto"/>
        <w:tabs>
          <w:tab w:leader="none" w:pos="4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 The amounts reported for the year ended December 31, 2022 include certain costs identified as redundant or non-recurring incurred by the Company for services provided by Ensign under the Transition Services Agreement, and were included in general and administrative expense.</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ACQUISITIONS</w:t>
      </w:r>
    </w:p>
    <w:p>
      <w:pPr>
        <w:spacing w:after="0" w:line="6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Financial Statements subsequent to the date of acquisition. Acquisitions are accounted for using the acquisition method of accounting.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Acquisitions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2023, the Company expanded its operations with the addition of three home health agencies, eight hospice agencies, two home care agencies, and two senior living communities. In connection with the addition of the two senior living communities, the Company entered into a new long-term “triple-net” lease. A subsidiary of the Company entered into a separate operations transfer agreement with the prior operator of each acquired operation as part of each transaction.</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The fair value of assets for two home health agencies, eight hospice agencies, and two home care agencies acquired were mostly concentrated in goodwill and indefinite-lived intangible assets and as such, these transactions were classified as business combinations in accordance with ASC Topic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purchase price for the business combinations was $21,376, which primarily consisted of goodwill of $11,517, indefinite-lived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intangible assets of $8,914 related to Medicare and Medicaid licenses, and equipment, other assets and accounts receivable of $1,026, less assumed liabilities of $81. The acquisitions contributed $10,549 in revenue and operating income of $280 during the year ended December 31, 2023. The Company anticipates that the total goodwill recognized will be fully deductible for tax purposes.</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One home health agency acquired a Medicare license and was considered an asset acquisition. The fair value of the home health license acquired was $211 and was recorded in other indefinite-lived intangibles.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material acquisition costs that were expensed related to the business combinations during the year ended December 31,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Acquisitions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the Company expanded its operations with the addition of three home health agencies, four hospice agencies, and one senior living community. In connection with the addition of the senior living community, the Company entered into a new long-term “triple-net” lease. A subsidiary of the Company entered into a separate operations transfer agreement with the prior operator of each acquired operation as part of each transaction.</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aggregate purchase price for the home health and hospice acquisitions was $10,130. The goodwill was primarily attributable to indefinite-lived intangible assets that do not qualify for separate recognition, and to synergies the Company expects to achieve related to the acquisition, which was allocated to the Company's operating segments which are its reporting units. Total goodwill recognized was fully deductible for tax purposes. There were no material acquisition costs that were expensed related to the business combination during the year ended December 31,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Acquisitions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the year ended December 31, 2021, the Company expanded its operations with the addition of five home health agencies, four hospice agencies, and two home care agencies. The aggregate purchase price for these acquisitions was $14,135. A subsidiary of the Company entered into a separate operations transfer agreement with the prior operator of each acquired operation as part of each transaction. The goodwill was primarily attributable to intangible assets that do not qualify for separate recognition and to synergies the Company expects to achieve related to the acquisition and was allocated to the Company's operating segments which are its reporting units. Total goodwill recognized was fully deductible for tax purposes. Acquisition costs related to the business combinations of home health, hospice, and home care acquisitions of $80 were expensed related to the business combinations during the year ended December 31, 2021.</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Two of the hospice agencies were acquired Medicare licenses and were considered asset acquisitions. The fair value of assets for the hospice licenses acquired totaled $585 and was allocated to indefinite-lived intangible assets.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assets for home health and hospice acquisitions was mostly concentrated in goodwill and as such, these transactions were classified as business combinations in accordance with ASC 805. The table below presents the allocation of the purchase price for the operations acquired in acquisitions during the years ended December 31, 2023, 2022 and 2021 as noted above: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2"/>
        </w:trPr>
        <w:tc>
          <w:tcPr>
            <w:tcW w:w="63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furniture, and fixtures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7,821</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indefinite-lived intangible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6,242</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0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acquisitions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14,135</w:t>
            </w:r>
          </w:p>
        </w:tc>
      </w:tr>
      <w:tr>
        <w:trPr>
          <w:trHeight w:val="219"/>
        </w:trPr>
        <w:tc>
          <w:tcPr>
            <w:tcW w:w="63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Less: cash paid in prior year (held in escrow)</w:t>
            </w:r>
            <w:r>
              <w:rPr>
                <w:rFonts w:ascii="Times New Roman" w:cs="Times New Roman" w:eastAsia="Times New Roman" w:hAnsi="Times New Roman"/>
                <w:sz w:val="22"/>
                <w:szCs w:val="22"/>
                <w:color w:val="auto"/>
                <w:vertAlign w:val="superscript"/>
              </w:rPr>
              <w:t>(a)</w:t>
            </w:r>
          </w:p>
        </w:tc>
        <w:tc>
          <w:tcPr>
            <w:tcW w:w="10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w:t>
            </w:r>
          </w:p>
        </w:tc>
      </w:tr>
      <w:tr>
        <w:trPr>
          <w:trHeight w:val="237"/>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paid for acquisitions</w:t>
            </w: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60" w:hanging="440"/>
        <w:spacing w:after="0"/>
        <w:tabs>
          <w:tab w:leader="none" w:pos="4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cash paid for acquisitions for the year ended December 31, 2021 includes $585 as an escrow deposit that was paid in the prior year.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Subsequent Events</w:t>
      </w:r>
    </w:p>
    <w:p>
      <w:pPr>
        <w:spacing w:after="0" w:line="236"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On January 1, 2024, the Company announced it closed on a home health joint venture with John Muir Health (“Muir”), a leading nonprofit integrated health system serving communities throughout the east bay region of San Francisco, California. The transaction, which combines certain assets and the operations of Muir’s home health business and the assets and operations of a local Pennant-affiliated home health agency, will be majority-owned and managed by an independent operating subsidiary of the Company and provide home health services to patients throughout the San Francisco east bay region. Along with the assets contributed by a local Pennant-affiliated home health agency, the Company paid Muir $11,780 for a majority interest in the joint venture.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PROPERTY AND EQUIPMENT, NET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and equipment, net consist of the following:</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7"/>
        </w:trPr>
        <w:tc>
          <w:tcPr>
            <w:tcW w:w="72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40" w:type="dxa"/>
            <w:vAlign w:val="bottom"/>
            <w:tcBorders>
              <w:bottom w:val="single" w:sz="8" w:color="auto"/>
            </w:tcBorders>
          </w:tcPr>
          <w:p>
            <w:pPr>
              <w:spacing w:after="0"/>
              <w:rPr>
                <w:sz w:val="24"/>
                <w:szCs w:val="24"/>
                <w:color w:val="auto"/>
              </w:rPr>
            </w:pPr>
          </w:p>
        </w:tc>
      </w:tr>
      <w:tr>
        <w:trPr>
          <w:trHeight w:val="212"/>
        </w:trPr>
        <w:tc>
          <w:tcPr>
            <w:tcW w:w="7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18,759</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29,247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25,532</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r>
      <w:tr>
        <w:trPr>
          <w:trHeight w:val="212"/>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53,675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47,428</w:t>
            </w:r>
          </w:p>
        </w:tc>
      </w:tr>
      <w:tr>
        <w:trPr>
          <w:trHeight w:val="219"/>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(25,077)</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(20,807)</w:t>
            </w:r>
          </w:p>
        </w:tc>
      </w:tr>
      <w:tr>
        <w:trPr>
          <w:trHeight w:val="212"/>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6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28,598</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26,621</w:t>
            </w:r>
          </w:p>
        </w:tc>
      </w:tr>
      <w:tr>
        <w:trPr>
          <w:trHeight w:val="20"/>
        </w:trPr>
        <w:tc>
          <w:tcPr>
            <w:tcW w:w="7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expense was $5,120, $4,856 and $4,751 for the years ended December 31, 2023, 2022 and 2021, respectively.</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acquired one building and related assets during the year ended December 31, 2022 associated with an existing senior living community operation. The total acquisition price of the land, building and related equipment was $2,007.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Impairment</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and a reporting unit are considered Level 3 measurements due to their subjective nature. Management has evaluated its long-lived assets and determined there were no losses due to impairment for the year ended December 31, 2023, and $218 and $2,835 for the years ended December 31, 2022 and 2021, respectively. Losses resulting from impairment are included in loss on asset dispositions and impairment, net on the consolidated statements of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GOODWILL AND INTANGIBLE ASSETS</w:t>
      </w:r>
    </w:p>
    <w:p>
      <w:pPr>
        <w:spacing w:after="0" w:line="5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The Company tests goodwill annually and also if events or changes in circumstances indicate the occurrence of a triggering event which might indicate there may be impairment. The Company performs its goodwill impairment analysis for each reporting unit that constitutes a component for which (1) discrete financial information is available and (2) segment management regularly reviews the operating results of that component, in accordance with the provisions of ASC Topic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reviews goodwill for impairment by initially considering qualitative factors to determine whether it is more likely than not that the fair value of a reporting unit is less than its carrying amount as a basis for determining whether it is necessary to perform a quantitative analysis. If it is determined that it is more likely than not that the fair value of a reporting unit is less than its carrying amount, a quantitative analysis is performed to identify goodwill impairment. If it is determined that it is not more likely than not that the fair value of the reporting unit is less than its carrying amount, it is unnecessary to perform a quantitative analysis. The Company may elect to bypass the qualitative assessment and proceed directly to performing a quantitative analysis. An impairment loss is recognized for the amount that the carrying amount of the reporting unit, including goodwill, exceeds its fair value, limited to the total amount of goodwill allocated to that reporting unit. The Company did not identify any impairment charges during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represents activity in goodwill by segment: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Home Health and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140" w:type="dxa"/>
            <w:vAlign w:val="bottom"/>
          </w:tcPr>
          <w:p>
            <w:pPr>
              <w:spacing w:after="0"/>
              <w:rPr>
                <w:sz w:val="24"/>
                <w:szCs w:val="24"/>
                <w:color w:val="auto"/>
              </w:rPr>
            </w:pPr>
          </w:p>
        </w:tc>
        <w:tc>
          <w:tcPr>
            <w:tcW w:w="178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2021</w:t>
            </w: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70,623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74,265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2022</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75,855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79,497</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11,517</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87,372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91,014</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right"/>
              <w:ind w:right="16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Medicare and Medicaid licenses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66,357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57,232</w:t>
            </w:r>
          </w:p>
        </w:tc>
        <w:tc>
          <w:tcPr>
            <w:tcW w:w="0" w:type="dxa"/>
            <w:vAlign w:val="bottom"/>
          </w:tcPr>
          <w:p>
            <w:pPr>
              <w:spacing w:after="0"/>
              <w:rPr>
                <w:sz w:val="1"/>
                <w:szCs w:val="1"/>
                <w:color w:val="auto"/>
              </w:rPr>
            </w:pPr>
          </w:p>
        </w:tc>
      </w:tr>
      <w:tr>
        <w:trPr>
          <w:trHeight w:val="21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other indefinite-lived intangibles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67,742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58,617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OTHER ACCRUED LIABILITIES</w:t>
            </w: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accrued liabilities consist of the following:</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5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Refunds payable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 deposits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taxes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state relief funds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self-insurance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3,546</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w:t>
            </w:r>
          </w:p>
        </w:tc>
        <w:tc>
          <w:tcPr>
            <w:tcW w:w="0" w:type="dxa"/>
            <w:vAlign w:val="bottom"/>
          </w:tcPr>
          <w:p>
            <w:pPr>
              <w:spacing w:after="0"/>
              <w:rPr>
                <w:sz w:val="1"/>
                <w:szCs w:val="1"/>
                <w:color w:val="auto"/>
              </w:rPr>
            </w:pPr>
          </w:p>
        </w:tc>
      </w:tr>
      <w:tr>
        <w:trPr>
          <w:trHeight w:val="21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15,330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16,684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 and a small portion consists of non-refundable deposits recognized into revenue over a period of time. Deferred state relief funds are relief funds the Company has received from various states that will offset against future related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 DEBT</w:t>
            </w: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5"/>
        </w:trPr>
        <w:tc>
          <w:tcPr>
            <w:tcW w:w="66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Long-term debt, net consists of the following:</w:t>
            </w: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5"/>
        </w:trPr>
        <w:tc>
          <w:tcPr>
            <w:tcW w:w="668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520" w:type="dxa"/>
            <w:vAlign w:val="bottom"/>
            <w:tcBorders>
              <w:bottom w:val="single" w:sz="8" w:color="auto"/>
            </w:tcBorders>
          </w:tcPr>
          <w:p>
            <w:pPr>
              <w:spacing w:after="0"/>
              <w:rPr>
                <w:sz w:val="21"/>
                <w:szCs w:val="21"/>
                <w:color w:val="auto"/>
              </w:rPr>
            </w:pPr>
          </w:p>
        </w:tc>
      </w:tr>
      <w:tr>
        <w:trPr>
          <w:trHeight w:val="212"/>
        </w:trPr>
        <w:tc>
          <w:tcPr>
            <w:tcW w:w="66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148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65,000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64,500</w:t>
            </w:r>
          </w:p>
        </w:tc>
      </w:tr>
      <w:tr>
        <w:trPr>
          <w:trHeight w:val="219"/>
        </w:trPr>
        <w:tc>
          <w:tcPr>
            <w:tcW w:w="668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Less: unamortized debt issuance costs</w:t>
            </w:r>
            <w:r>
              <w:rPr>
                <w:rFonts w:ascii="Times New Roman" w:cs="Times New Roman" w:eastAsia="Times New Roman" w:hAnsi="Times New Roman"/>
                <w:sz w:val="22"/>
                <w:szCs w:val="22"/>
                <w:color w:val="auto"/>
                <w:vertAlign w:val="superscript"/>
              </w:rPr>
              <w:t>(a)</w:t>
            </w: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(1,608)</w:t>
            </w: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148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63,914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62,892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080" w:hanging="441"/>
        <w:spacing w:after="0" w:line="229"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for debt issuance costs was $521, $520, and $488 for the years ended December 31, 2023, 2022 and 2021, respectively, and is recorded in interest expense, n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June 12, 2023, Pennant entered into the Second Amendment to the Credit Agreement that replaced the reference rate in the Credit Agreement from LIBOR-based rates to SOFR-based rates. The Credit Agreement provides for a revolving credit facility with a syndicate of banks with a borrowing capacity of $150,000 (the “Revolving Credit Facility”). The interest rates applicable to loans under the Revolving Credit Facility are, at the Company’s election, either (i) Adjusted Term SOFR (as defined in the Credit Agreement) plus a margin ranging from 2.3% to 3.3% per annum or (ii) Base Rate plus a margin ranging from 1.3% to 2.3%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December 31, 2023, the Company’s weighted average interest rate on its outstanding debt was 7.9%. As of December 31, 2023, the Company had available borrowing on the Revolving Credit Facility of $80,814, which is net of outstanding letters of credit of $4,186.</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2023 and 2022, the Company was compliant with all such financial covenants.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OPTIONS AND AWARDS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Outstanding options and restricted stock awards of the Company were granted under the 2019 Omnibus Incentive Plan and Long-Term Incentive Plan (the “LTIP”), (together referred to as the “Pennant Plans”).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disclosures represent share-based compensation expense relating to the Pennant Plans, including awards to employees of the Company’s subsidiaries.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share-based compensation expense for all of the Pennant Plans for the years ended December 31, 2023, 2022 and 2021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00" w:type="dxa"/>
            <w:vAlign w:val="bottom"/>
            <w:tcBorders>
              <w:bottom w:val="single" w:sz="8" w:color="auto"/>
            </w:tcBorders>
          </w:tcPr>
          <w:p>
            <w:pPr>
              <w:spacing w:after="0"/>
              <w:rPr>
                <w:sz w:val="19"/>
                <w:szCs w:val="19"/>
                <w:color w:val="auto"/>
              </w:rPr>
            </w:pPr>
          </w:p>
        </w:tc>
      </w:tr>
      <w:tr>
        <w:trPr>
          <w:trHeight w:val="212"/>
        </w:trPr>
        <w:tc>
          <w:tcPr>
            <w:tcW w:w="63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 related to stock options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3,093</w:t>
            </w:r>
          </w:p>
        </w:tc>
      </w:tr>
      <w:tr>
        <w:trPr>
          <w:trHeight w:val="21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 related to Restricted Stock</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6,141</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 related to Restricted Stock to non-employee directors</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r>
      <w:tr>
        <w:trPr>
          <w:trHeight w:val="212"/>
        </w:trPr>
        <w:tc>
          <w:tcPr>
            <w:tcW w:w="6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share-based compensation</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5,369</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10,040</w:t>
            </w:r>
          </w:p>
        </w:tc>
      </w:tr>
      <w:tr>
        <w:trPr>
          <w:trHeight w:val="20"/>
        </w:trPr>
        <w:tc>
          <w:tcPr>
            <w:tcW w:w="6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future periods, the Company estimates it will recognize the following share-based compensation expense for unvested stock options and unvested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Total unrecognized share-based compensation as of December 31, 2023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9"/>
              </w:rPr>
              <w:t>Unrecognized Share-Based</w:t>
            </w:r>
          </w:p>
        </w:tc>
        <w:tc>
          <w:tcPr>
            <w:tcW w:w="100" w:type="dxa"/>
            <w:vAlign w:val="bottom"/>
          </w:tcPr>
          <w:p>
            <w:pPr>
              <w:spacing w:after="0"/>
              <w:rPr>
                <w:sz w:val="17"/>
                <w:szCs w:val="17"/>
                <w:color w:val="auto"/>
              </w:rPr>
            </w:pPr>
          </w:p>
        </w:tc>
        <w:tc>
          <w:tcPr>
            <w:tcW w:w="22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Weighted Average</w:t>
            </w:r>
          </w:p>
        </w:tc>
      </w:tr>
      <w:tr>
        <w:trPr>
          <w:trHeight w:val="230"/>
        </w:trPr>
        <w:tc>
          <w:tcPr>
            <w:tcW w:w="6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Compensation Expense</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Recognition Period (in years)</w:t>
            </w:r>
          </w:p>
        </w:tc>
      </w:tr>
      <w:tr>
        <w:trPr>
          <w:trHeight w:val="21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stock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11,529</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Unvested Restricted Stock</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2,389</w:t>
            </w:r>
          </w:p>
        </w:tc>
        <w:tc>
          <w:tcPr>
            <w:tcW w:w="2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7"/>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unrecognized share-based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13,918</w:t>
            </w: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July 25, 2022 the Company modified certain outstanding RSUs granted to the former chief executive officer of the Company in connection with the Spin-Off. All the RSUs had an original vesting date of October 1, 2022. The modification resulted in the forfeiture of 250 outstanding RSUs and accelerated the vesting on the remaining 943 RSUs from October 1, 2022 to July 31, 2022. The modification of the award resulted in a net reduction of share-based compensation expense related to the awards of $3,812 recorded in general and administrative expense during 2022. There were no modification of awards during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Under the Pennant Plans, options granted to employees of the subsidiaries of Pennant generally vest over five years at 20% per year on the anniversary of the grant date. Options expire ten years after the date of grant.</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uses the Black-Scholes option-pricing model to determine the grant date fair value which is used to recognize the value of share-based compensation expense for share-based payment awards under the Pennant Plans. Determining the appropriate fair-value model and calculating the fair value of share-based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each option is estimated on the grant date using a Black-Scholes option-pricing model with the following weighted average assumptions for stock options granted: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Risk-Free Interest</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Expected</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5"/>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Expected Life</w:t>
            </w:r>
            <w:r>
              <w:rPr>
                <w:rFonts w:ascii="Times New Roman" w:cs="Times New Roman" w:eastAsia="Times New Roman" w:hAnsi="Times New Roman"/>
                <w:sz w:val="22"/>
                <w:szCs w:val="22"/>
                <w:b w:val="1"/>
                <w:bCs w:val="1"/>
                <w:color w:val="auto"/>
                <w:vertAlign w:val="superscript"/>
              </w:rPr>
              <w:t>(a)</w:t>
            </w:r>
          </w:p>
        </w:tc>
        <w:tc>
          <w:tcPr>
            <w:tcW w:w="1520" w:type="dxa"/>
            <w:vAlign w:val="bottom"/>
            <w:gridSpan w:val="2"/>
            <w:vMerge w:val="continue"/>
          </w:tcPr>
          <w:p>
            <w:pPr>
              <w:spacing w:after="0"/>
              <w:rPr>
                <w:sz w:val="15"/>
                <w:szCs w:val="15"/>
                <w:color w:val="auto"/>
              </w:rPr>
            </w:pP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Dividend Yield</w:t>
            </w:r>
          </w:p>
        </w:tc>
        <w:tc>
          <w:tcPr>
            <w:tcW w:w="140" w:type="dxa"/>
            <w:vAlign w:val="bottom"/>
          </w:tcPr>
          <w:p>
            <w:pPr>
              <w:spacing w:after="0"/>
              <w:rPr>
                <w:sz w:val="15"/>
                <w:szCs w:val="15"/>
                <w:color w:val="auto"/>
              </w:rPr>
            </w:pPr>
          </w:p>
        </w:tc>
        <w:tc>
          <w:tcPr>
            <w:tcW w:w="1140" w:type="dxa"/>
            <w:vAlign w:val="bottom"/>
          </w:tcPr>
          <w:p>
            <w:pPr>
              <w:jc w:val="right"/>
              <w:ind w:right="74"/>
              <w:spacing w:after="0" w:line="175" w:lineRule="exact"/>
              <w:rPr>
                <w:sz w:val="20"/>
                <w:szCs w:val="20"/>
                <w:color w:val="auto"/>
              </w:rPr>
            </w:pPr>
            <w:r>
              <w:rPr>
                <w:rFonts w:ascii="Times New Roman" w:cs="Times New Roman" w:eastAsia="Times New Roman" w:hAnsi="Times New Roman"/>
                <w:sz w:val="17"/>
                <w:szCs w:val="17"/>
                <w:b w:val="1"/>
                <w:bCs w:val="1"/>
                <w:color w:val="auto"/>
              </w:rPr>
              <w:t>Average Fair</w:t>
            </w:r>
          </w:p>
        </w:tc>
        <w:tc>
          <w:tcPr>
            <w:tcW w:w="0" w:type="dxa"/>
            <w:vAlign w:val="bottom"/>
          </w:tcPr>
          <w:p>
            <w:pPr>
              <w:spacing w:after="0"/>
              <w:rPr>
                <w:sz w:val="1"/>
                <w:szCs w:val="1"/>
                <w:color w:val="auto"/>
              </w:rPr>
            </w:pPr>
          </w:p>
        </w:tc>
      </w:tr>
      <w:tr>
        <w:trPr>
          <w:trHeight w:val="219"/>
        </w:trPr>
        <w:tc>
          <w:tcPr>
            <w:tcW w:w="2720" w:type="dxa"/>
            <w:vAlign w:val="bottom"/>
            <w:gridSpan w:val="2"/>
            <w:vMerge w:val="continue"/>
          </w:tcPr>
          <w:p>
            <w:pPr>
              <w:spacing w:after="0"/>
              <w:rPr>
                <w:sz w:val="19"/>
                <w:szCs w:val="19"/>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360" w:type="dxa"/>
            <w:vAlign w:val="bottom"/>
            <w:gridSpan w:val="2"/>
            <w:vMerge w:val="continue"/>
          </w:tcPr>
          <w:p>
            <w:pPr>
              <w:spacing w:after="0"/>
              <w:rPr>
                <w:sz w:val="19"/>
                <w:szCs w:val="19"/>
                <w:color w:val="auto"/>
              </w:rPr>
            </w:pPr>
          </w:p>
        </w:tc>
        <w:tc>
          <w:tcPr>
            <w:tcW w:w="1520" w:type="dxa"/>
            <w:vAlign w:val="bottom"/>
            <w:gridSpan w:val="2"/>
          </w:tcPr>
          <w:p>
            <w:pPr>
              <w:jc w:val="center"/>
              <w:ind w:right="100"/>
              <w:spacing w:after="0" w:line="219" w:lineRule="exact"/>
              <w:rPr>
                <w:sz w:val="20"/>
                <w:szCs w:val="20"/>
                <w:color w:val="auto"/>
              </w:rPr>
            </w:pPr>
            <w:r>
              <w:rPr>
                <w:rFonts w:ascii="Times New Roman" w:cs="Times New Roman" w:eastAsia="Times New Roman" w:hAnsi="Times New Roman"/>
                <w:sz w:val="17"/>
                <w:szCs w:val="17"/>
                <w:b w:val="1"/>
                <w:bCs w:val="1"/>
                <w:color w:val="auto"/>
                <w:w w:val="95"/>
              </w:rPr>
              <w:t>Volatility</w:t>
            </w:r>
            <w:r>
              <w:rPr>
                <w:rFonts w:ascii="Times New Roman" w:cs="Times New Roman" w:eastAsia="Times New Roman" w:hAnsi="Times New Roman"/>
                <w:sz w:val="22"/>
                <w:szCs w:val="22"/>
                <w:b w:val="1"/>
                <w:bCs w:val="1"/>
                <w:color w:val="auto"/>
                <w:w w:val="95"/>
                <w:vertAlign w:val="superscript"/>
              </w:rPr>
              <w:t>(b)</w:t>
            </w:r>
          </w:p>
        </w:tc>
        <w:tc>
          <w:tcPr>
            <w:tcW w:w="1500" w:type="dxa"/>
            <w:vAlign w:val="bottom"/>
            <w:gridSpan w:val="2"/>
            <w:vMerge w:val="continue"/>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Value of Options</w:t>
            </w:r>
          </w:p>
        </w:tc>
        <w:tc>
          <w:tcPr>
            <w:tcW w:w="0" w:type="dxa"/>
            <w:vAlign w:val="bottom"/>
          </w:tcPr>
          <w:p>
            <w:pPr>
              <w:spacing w:after="0"/>
              <w:rPr>
                <w:sz w:val="1"/>
                <w:szCs w:val="1"/>
                <w:color w:val="auto"/>
              </w:rPr>
            </w:pPr>
          </w:p>
        </w:tc>
      </w:tr>
      <w:tr>
        <w:trPr>
          <w:trHeight w:val="212"/>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39.8 %</w:t>
            </w:r>
          </w:p>
        </w:tc>
        <w:tc>
          <w:tcPr>
            <w:tcW w:w="100" w:type="dxa"/>
            <w:vAlign w:val="bottom"/>
          </w:tcPr>
          <w:p>
            <w:pPr>
              <w:spacing w:after="0"/>
              <w:rPr>
                <w:sz w:val="19"/>
                <w:szCs w:val="19"/>
                <w:color w:val="auto"/>
              </w:rPr>
            </w:pPr>
          </w:p>
        </w:tc>
        <w:tc>
          <w:tcPr>
            <w:tcW w:w="150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38.4 %</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60" w:right="20" w:hanging="440"/>
        <w:spacing w:after="0" w:line="238" w:lineRule="auto"/>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3"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Company’s equity shares have been traded for a relatively short period of time, expected volatility assumption was based on the volatility of related industry stocks.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the employee stock option activity during the year ended December 31, 2023: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Average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Exercise Price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Options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of Options</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Options Vested</w:t>
            </w:r>
          </w:p>
        </w:tc>
        <w:tc>
          <w:tcPr>
            <w:tcW w:w="16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6"/>
              </w:rPr>
              <w:t>Vested</w:t>
            </w:r>
          </w:p>
        </w:tc>
        <w:tc>
          <w:tcPr>
            <w:tcW w:w="0" w:type="dxa"/>
            <w:vAlign w:val="bottom"/>
          </w:tcPr>
          <w:p>
            <w:pPr>
              <w:spacing w:after="0"/>
              <w:rPr>
                <w:sz w:val="1"/>
                <w:szCs w:val="1"/>
                <w:color w:val="auto"/>
              </w:rPr>
            </w:pPr>
          </w:p>
        </w:tc>
      </w:tr>
      <w:tr>
        <w:trPr>
          <w:trHeight w:val="21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aggregate intrinsic value of options outstanding, vested, unvested and exercised as of and for the year ended December 31, 2023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4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w:t>
            </w:r>
          </w:p>
        </w:tc>
        <w:tc>
          <w:tcPr>
            <w:tcW w:w="4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3,776</w:t>
            </w: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4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w:t>
            </w: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w:t>
            </w:r>
          </w:p>
        </w:tc>
        <w:tc>
          <w:tcPr>
            <w:tcW w:w="4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4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w:t>
            </w:r>
          </w:p>
        </w:tc>
      </w:tr>
    </w:tbl>
    <w:p>
      <w:pPr>
        <w:spacing w:after="0" w:line="18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intrinsic value is calculated as the difference between the market value of the underlying common stock and the exercise price of the options. There were 1,734 unvested and outstanding options at December 31, 2023. The weighted average contractual life for options outstanding, vested and expected to vest at December 31, 2023 was 7.16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Pennant Plans, the Company granted Restricted Stock to Pennant employees, Ensign employees, and to non-employee directors. All awards generally vest between three to five years. A summary of the status of Pennant’s non-vested Restricted Stock, and changes during the year ended December 31, 2023,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Non-Vested Restricted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5"/>
        </w:trPr>
        <w:tc>
          <w:tcPr>
            <w:tcW w:w="7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5"/>
                <w:szCs w:val="15"/>
                <w:b w:val="1"/>
                <w:bCs w:val="1"/>
                <w:color w:val="auto"/>
              </w:rPr>
              <w:t>Awards</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Grant Date Fair Value</w:t>
            </w:r>
          </w:p>
        </w:tc>
      </w:tr>
      <w:tr>
        <w:trPr>
          <w:trHeight w:val="21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w:t>
            </w: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r>
      <w:tr>
        <w:trPr>
          <w:trHeight w:val="21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15.70</w:t>
            </w: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LEASES</w:t>
      </w:r>
    </w:p>
    <w:p>
      <w:pPr>
        <w:spacing w:after="0" w:line="6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Company’s independent operating subsidiaries lease senior living communities and its administrative offices under non-cancelable operating leases, most of which have initial lease terms ranging from 15 to 25 years. The Company’s independent operating subsidiaries also lease the administrative offices of home health and hospice agencies which generally range from one to 11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consolidated balance sheets. Non-lease components, which are not significant overall, are combined with lease components.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40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As of December 31, 2023, the Company’s independent operating subsidiaries leased 29 senior living communities from subsidiaries of Ensign (“Ensign Leases”) under a master lease arrangement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existing leases with subsidiaries of Ensign are for initial terms of between 14 to 20 years. The total amount of rent expense included in rent - cost of services paid to subsidiaries of Ensign was $13,567, $13,595, and $12,773, for the years ended December 31, 2023, 2022 and 2021, respectively.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w:t>
      </w:r>
    </w:p>
    <w:p>
      <w:pPr>
        <w:spacing w:after="0" w:line="3" w:lineRule="exact"/>
        <w:rPr>
          <w:sz w:val="20"/>
          <w:szCs w:val="20"/>
          <w:color w:val="auto"/>
        </w:rPr>
      </w:pPr>
    </w:p>
    <w:p>
      <w:pPr>
        <w:ind w:firstLine="3"/>
        <w:spacing w:after="0" w:line="266" w:lineRule="auto"/>
        <w:tabs>
          <w:tab w:leader="none" w:pos="24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community maintenance and repair costs; and (5) all fees in connection with any licenses or authorizations necessary or appropriate for the leased properties and the business conducted on the leased properties.</w:t>
      </w:r>
    </w:p>
    <w:p>
      <w:pPr>
        <w:spacing w:after="0" w:line="1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19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As further described in Note 3, </w:t>
      </w:r>
      <w:r>
        <w:rPr>
          <w:rFonts w:ascii="Times New Roman" w:cs="Times New Roman" w:eastAsia="Times New Roman" w:hAnsi="Times New Roman"/>
          <w:sz w:val="17"/>
          <w:szCs w:val="17"/>
          <w:i w:val="1"/>
          <w:iCs w:val="1"/>
          <w:color w:val="auto"/>
        </w:rPr>
        <w:t>Transactions with Ensign</w:t>
      </w:r>
      <w:r>
        <w:rPr>
          <w:rFonts w:ascii="Times New Roman" w:cs="Times New Roman" w:eastAsia="Times New Roman" w:hAnsi="Times New Roman"/>
          <w:sz w:val="17"/>
          <w:szCs w:val="17"/>
          <w:color w:val="auto"/>
        </w:rPr>
        <w:t>, on January 27, 2022, affiliates of the Company entered into Transfer Agreements with affiliates of Ensign, providing for the transfer of the operations of five senior living communities. The closing of the Transaction was completed in two phases with the transfer of two operations on March 1, 2022 and the remainder transferred on April 1, 2022. As a result of the lease terminations, the Company reduced both the right of use assets and the lease liabilities by $42,506. Four of the terminated leases were part of a master lease agreement. As a result of the transferred leases being removed from the master lease arrangement, the remaining lease components under the master lease arrangement were modified which resulted in a net increase to the lease liability and ROU asset balance of $6,161 for the year ended December 31, 2022.</w:t>
      </w:r>
    </w:p>
    <w:p>
      <w:pPr>
        <w:spacing w:after="0" w:line="19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July 7, 2023 the Company modified one of its master leases, which included nine locations, with an unrelated party to extend the term of the master lease from September 30, 2035 to March 31, 2038. As a result of the modification, the lease components under the master lease arrangement were modified which resulted in a net increase to the lease liability and ROU asset balance of $5,195.</w:t>
      </w:r>
    </w:p>
    <w:p>
      <w:pPr>
        <w:sectPr>
          <w:pgSz w:w="11900" w:h="16838" w:orient="portrait"/>
          <w:cols w:equalWidth="0" w:num="1">
            <w:col w:w="11240"/>
          </w:cols>
          <w:pgMar w:left="320" w:top="123" w:right="339" w:bottom="1440" w:gutter="0" w:footer="0" w:header="0"/>
        </w:sectPr>
      </w:pPr>
    </w:p>
    <w:p>
      <w:pPr>
        <w:spacing w:after="0" w:line="191"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7"/>
          <w:szCs w:val="17"/>
          <w:color w:val="auto"/>
        </w:rPr>
        <w:t>The components of operating lease cost, are as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lease costs: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Facility rent—cost of services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Office rent—cost of services</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Rent—cost of services</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General and administrative expense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Variable lease cost</w:t>
      </w:r>
      <w:r>
        <w:rPr>
          <w:rFonts w:ascii="Times New Roman" w:cs="Times New Roman" w:eastAsia="Times New Roman" w:hAnsi="Times New Roman"/>
          <w:sz w:val="22"/>
          <w:szCs w:val="22"/>
          <w:color w:val="auto"/>
          <w:vertAlign w:val="superscript"/>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415"/>
        </w:trPr>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33,992</w:t>
            </w:r>
          </w:p>
        </w:tc>
        <w:tc>
          <w:tcPr>
            <w:tcW w:w="100" w:type="dxa"/>
            <w:vAlign w:val="bottom"/>
          </w:tcPr>
          <w:p>
            <w:pPr>
              <w:spacing w:after="0"/>
              <w:rPr>
                <w:sz w:val="24"/>
                <w:szCs w:val="24"/>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32,958</w:t>
            </w:r>
          </w:p>
        </w:tc>
        <w:tc>
          <w:tcPr>
            <w:tcW w:w="10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35,958</w:t>
            </w:r>
          </w:p>
        </w:tc>
      </w:tr>
      <w:tr>
        <w:trPr>
          <w:trHeight w:val="223"/>
        </w:trPr>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5,767</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4,905</w:t>
            </w:r>
          </w:p>
        </w:tc>
      </w:tr>
      <w:tr>
        <w:trPr>
          <w:trHeight w:val="212"/>
        </w:trPr>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39,759</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38,018</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40,863</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39"/>
        </w:trPr>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24"/>
                <w:szCs w:val="24"/>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23"/>
        </w:trPr>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7,369</w:t>
            </w:r>
          </w:p>
        </w:tc>
        <w:tc>
          <w:tcPr>
            <w:tcW w:w="100" w:type="dxa"/>
            <w:vAlign w:val="bottom"/>
          </w:tcPr>
          <w:p>
            <w:pPr>
              <w:spacing w:after="0"/>
              <w:rPr>
                <w:sz w:val="19"/>
                <w:szCs w:val="19"/>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-1022985</wp:posOffset>
            </wp:positionV>
            <wp:extent cx="7138670" cy="139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-744855</wp:posOffset>
            </wp:positionV>
            <wp:extent cx="7138670" cy="139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-441960</wp:posOffset>
            </wp:positionV>
            <wp:extent cx="7138670" cy="163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-139065</wp:posOffset>
            </wp:positionV>
            <wp:extent cx="7138670" cy="139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6020" w:space="720"/>
            <w:col w:w="4500"/>
          </w:cols>
          <w:pgMar w:left="320" w:top="123" w:right="339" w:bottom="1440" w:gutter="0" w:footer="0" w:header="0"/>
          <w:type w:val="continuous"/>
        </w:sectPr>
      </w:pPr>
    </w:p>
    <w:p>
      <w:pPr>
        <w:ind w:left="460" w:right="20" w:hanging="440"/>
        <w:spacing w:after="0" w:line="238" w:lineRule="auto"/>
        <w:tabs>
          <w:tab w:leader="none" w:pos="4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variable lease cost for operating leases, which costs include property taxes and insurance, common area maintenance, and consumer price index increases, incurred as part of the Company’s triple net lease, and which is included in cost of services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ind w:left="4460"/>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7"/>
        </w:trPr>
        <w:tc>
          <w:tcPr>
            <w:tcW w:w="9720" w:type="dxa"/>
            <w:vAlign w:val="bottom"/>
          </w:tcPr>
          <w:p>
            <w:pPr>
              <w:ind w:left="28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812"/>
        </w:trPr>
        <w:tc>
          <w:tcPr>
            <w:tcW w:w="97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shows the lease maturity analysis for all leases as of December 31, 2023:</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77"/>
        </w:trPr>
        <w:tc>
          <w:tcPr>
            <w:tcW w:w="9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9"/>
              </w:rPr>
              <w:t>Operating Leases</w:t>
            </w: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37,625</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36,393</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34,900</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33,941</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33,187</w:t>
            </w:r>
          </w:p>
        </w:tc>
      </w:tr>
      <w:tr>
        <w:trPr>
          <w:trHeight w:val="21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249,070</w:t>
            </w: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425,116</w:t>
            </w:r>
          </w:p>
        </w:tc>
      </w:tr>
      <w:tr>
        <w:trPr>
          <w:trHeight w:val="219"/>
        </w:trPr>
        <w:tc>
          <w:tcPr>
            <w:tcW w:w="9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present value adjustments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(159,398)</w:t>
            </w: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total 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265,718</w:t>
            </w:r>
          </w:p>
        </w:tc>
      </w:tr>
      <w:tr>
        <w:trPr>
          <w:trHeight w:val="212"/>
        </w:trPr>
        <w:tc>
          <w:tcPr>
            <w:tcW w:w="9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current lease liabilities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(17,122)</w:t>
            </w:r>
          </w:p>
        </w:tc>
      </w:tr>
      <w:tr>
        <w:trPr>
          <w:trHeight w:val="237"/>
        </w:trPr>
        <w:tc>
          <w:tcPr>
            <w:tcW w:w="9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248,596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At lease commencement,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liability. As of December 31, 2023, the weighted average remaining lease term and the weighted average discount rate was 12.5 years and 8.1% for operating leases,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provision for income tax expense for the years ended December 31, 2023, 2022 and 2021 is summarized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9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w:t>
            </w:r>
          </w:p>
        </w:tc>
      </w:tr>
      <w:tr>
        <w:trPr>
          <w:trHeight w:val="21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12"/>
        </w:trPr>
        <w:tc>
          <w:tcPr>
            <w:tcW w:w="6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current</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2,334</w:t>
            </w: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r>
      <w:tr>
        <w:trPr>
          <w:trHeight w:val="21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r>
      <w:tr>
        <w:trPr>
          <w:trHeight w:val="212"/>
        </w:trPr>
        <w:tc>
          <w:tcPr>
            <w:tcW w:w="6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deferred</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(1,752)</w:t>
            </w:r>
          </w:p>
        </w:tc>
      </w:tr>
      <w:tr>
        <w:trPr>
          <w:trHeight w:val="237"/>
        </w:trPr>
        <w:tc>
          <w:tcPr>
            <w:tcW w:w="6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 reconciliation of the federal statutory tax rate to the effective tax rate for income from continuing operations for the years ended December 31, 2023, 2022 and 2021, respectively, is comprised as follows:</w:t>
      </w:r>
    </w:p>
    <w:p>
      <w:pPr>
        <w:spacing w:after="0" w:line="21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at statutory rate</w:t>
            </w: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 income taxes - net of federal benefit</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Non-deductible meals and entertainment</w:t>
            </w:r>
          </w:p>
        </w:tc>
        <w:tc>
          <w:tcPr>
            <w:tcW w:w="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7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Non-deductible equity compensation</w:t>
            </w:r>
            <w:r>
              <w:rPr>
                <w:rFonts w:ascii="Times New Roman" w:cs="Times New Roman" w:eastAsia="Times New Roman" w:hAnsi="Times New Roman"/>
                <w:sz w:val="22"/>
                <w:szCs w:val="22"/>
                <w:color w:val="auto"/>
                <w:vertAlign w:val="superscript"/>
              </w:rPr>
              <w:t>(a)</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19.4</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Section 162(m) limitation</w:t>
            </w:r>
          </w:p>
        </w:tc>
        <w:tc>
          <w:tcPr>
            <w:tcW w:w="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Non-deductible accrued bonus</w:t>
            </w:r>
          </w:p>
        </w:tc>
        <w:tc>
          <w:tcPr>
            <w:tcW w:w="1640" w:type="dxa"/>
            <w:vAlign w:val="bottom"/>
            <w:gridSpan w:val="3"/>
          </w:tcPr>
          <w:p>
            <w:pPr>
              <w:jc w:val="right"/>
              <w:ind w:right="13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non-deductible expenses</w:t>
            </w:r>
          </w:p>
        </w:tc>
        <w:tc>
          <w:tcPr>
            <w:tcW w:w="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0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Deductible equity compensation</w:t>
            </w:r>
            <w:r>
              <w:rPr>
                <w:rFonts w:ascii="Times New Roman" w:cs="Times New Roman" w:eastAsia="Times New Roman" w:hAnsi="Times New Roman"/>
                <w:sz w:val="22"/>
                <w:szCs w:val="22"/>
                <w:color w:val="auto"/>
                <w:vertAlign w:val="superscript"/>
              </w:rPr>
              <w:t>(b)</w:t>
            </w:r>
          </w:p>
        </w:tc>
        <w:tc>
          <w:tcPr>
            <w:tcW w:w="164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(34.1)</w:t>
            </w:r>
          </w:p>
        </w:tc>
      </w:tr>
      <w:tr>
        <w:trPr>
          <w:trHeight w:val="21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income tax expense at effective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21.3 %</w:t>
            </w:r>
          </w:p>
        </w:tc>
      </w:tr>
      <w:tr>
        <w:trPr>
          <w:trHeight w:val="20"/>
        </w:trPr>
        <w:tc>
          <w:tcPr>
            <w:tcW w:w="6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60" w:hanging="440"/>
        <w:spacing w:after="0"/>
        <w:tabs>
          <w:tab w:leader="none" w:pos="4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year ended December 31, 2023, approximately $2,078 of the share-based compensation expense related to restricted stock that originally resulted in a deferred tax asset was written off.</w:t>
      </w:r>
    </w:p>
    <w:p>
      <w:pPr>
        <w:spacing w:after="0" w:line="43" w:lineRule="exact"/>
        <w:rPr>
          <w:rFonts w:ascii="Times New Roman" w:cs="Times New Roman" w:eastAsia="Times New Roman" w:hAnsi="Times New Roman"/>
          <w:sz w:val="13"/>
          <w:szCs w:val="13"/>
          <w:color w:val="auto"/>
        </w:rPr>
      </w:pPr>
    </w:p>
    <w:p>
      <w:pPr>
        <w:jc w:val="both"/>
        <w:ind w:left="460" w:right="20" w:hanging="440"/>
        <w:spacing w:after="0" w:line="220" w:lineRule="auto"/>
        <w:tabs>
          <w:tab w:leader="none" w:pos="4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employees exercised stock options representing approximately 89 shares. The Company had decreased exercises and increased expirations of stock options in the year ended December 31, 2023 coupled with an increase in book income has caused the effect of this on the effective tax rate to be minimal. During the year ended December 31, 2022, employees exercised stock options representing approximately 125 shares. During the year ended December 31, 2021, employees exercised stock options representing approximately 115 shares. These exercises and vestings resulted in tax benefits that reduced the Company's effective tax rate significantly in the year ended December 31, 2021.</w:t>
      </w:r>
    </w:p>
    <w:p>
      <w:pPr>
        <w:spacing w:after="0" w:line="3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deferred tax assets and liabilities for the years ended December 31, 2023 and 2022 are summarized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2"/>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Deferred tax assets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99"/>
        </w:trPr>
        <w:tc>
          <w:tcPr>
            <w:tcW w:w="8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7,681</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operating losses</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68,676</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0" w:type="dxa"/>
            <w:vAlign w:val="bottom"/>
          </w:tcPr>
          <w:p>
            <w:pPr>
              <w:spacing w:after="0"/>
              <w:rPr>
                <w:sz w:val="1"/>
                <w:szCs w:val="1"/>
                <w:color w:val="auto"/>
              </w:rPr>
            </w:pPr>
          </w:p>
        </w:tc>
      </w:tr>
      <w:tr>
        <w:trPr>
          <w:trHeight w:val="212"/>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82,507</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2"/>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82,478</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(11,618)</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(67,765)</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12"/>
        </w:trPr>
        <w:tc>
          <w:tcPr>
            <w:tcW w:w="8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(80,329)</w:t>
            </w:r>
          </w:p>
        </w:tc>
        <w:tc>
          <w:tcPr>
            <w:tcW w:w="0" w:type="dxa"/>
            <w:vAlign w:val="bottom"/>
          </w:tcPr>
          <w:p>
            <w:pPr>
              <w:spacing w:after="0"/>
              <w:rPr>
                <w:sz w:val="1"/>
                <w:szCs w:val="1"/>
                <w:color w:val="auto"/>
              </w:rPr>
            </w:pPr>
          </w:p>
        </w:tc>
      </w:tr>
      <w:tr>
        <w:trPr>
          <w:trHeight w:val="212"/>
        </w:trPr>
        <w:tc>
          <w:tcPr>
            <w:tcW w:w="8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deferred tax assets (liabilities)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2023, the Company fully utilized all of its federal and state net operating loss carryforwards from the year ended December 31, 2022.</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4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12"/>
        </w:trPr>
        <w:tc>
          <w:tcPr>
            <w:tcW w:w="64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for tax positions of prior years</w:t>
            </w:r>
          </w:p>
        </w:tc>
        <w:tc>
          <w:tcPr>
            <w:tcW w:w="110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Reductions for tax positions related to the current year</w:t>
            </w:r>
          </w:p>
        </w:tc>
        <w:tc>
          <w:tcPr>
            <w:tcW w:w="1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54"/>
              <w:spacing w:after="0"/>
              <w:rPr>
                <w:sz w:val="20"/>
                <w:szCs w:val="20"/>
                <w:color w:val="auto"/>
              </w:rPr>
            </w:pPr>
            <w:r>
              <w:rPr>
                <w:rFonts w:ascii="Times New Roman" w:cs="Times New Roman" w:eastAsia="Times New Roman" w:hAnsi="Times New Roman"/>
                <w:sz w:val="17"/>
                <w:szCs w:val="17"/>
                <w:color w:val="auto"/>
                <w:w w:val="98"/>
              </w:rPr>
              <w:t>(65)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center"/>
              <w:ind w:left="77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
        </w:trPr>
        <w:tc>
          <w:tcPr>
            <w:tcW w:w="6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None of the unrecognized tax benefits net of their state benefits would affect the Company’s effective tax rate for the years ended December 31, 2023, 2022 and 2021. The Company classifies interest and/or penalties on income tax liabilities or refunds as additional income tax expense or income. Such amounts are not material.</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2023, the Company is no longer subject to federal tax examinations for the fiscal years prior to 2020, and in most states, is no longer subject to state income tax examinations for fiscal years before 2019. The lapsing of the statutes of limitation for the years ended December 31, 2023 and 2022 had no impact on the Company’s unrecognized tax benefits.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DEFINED CONTRIBUTION PLAN</w:t>
      </w:r>
    </w:p>
    <w:p>
      <w:pPr>
        <w:spacing w:after="0" w:line="6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$866, $627, and $412 during the years ended December 31, 2023, 2022 and 2021, respectively.</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During fiscal year 2021, the Company implemented a non-qualified deferred compensation plan (the “DCP”) for executives, other highly compensated employees, independent contractors and non-employee directors which went into effect on June 1, 2021, effective for compensation to be paid in 2022 and thereafter.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spacing w:after="0" w:line="20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2023 and 2022, the Company’s deferred compensation liabilities were $1,108 and $389, respectively, in other long-term liabilities on the consolidated balance sheets. The cash surrender value of the individual variable life insurance contracts is based on investment funds that shadow the investment allocations specified by participants in the DCP. As of December 31, 2023 and 2022, the cash surrender value of the company owned life insurance (“COLI”) policies were $1,123 and $386, respectively, and were included as a component of restricted and other assets on the consolidated balance sheets. There are no outstanding loan amounts offset against the cash surrender value of the COLI policies. The losses recorded for the change in cash surrender value were immaterial for each period presented.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COMMITMENTS AND CONTINGENCIES</w:t>
      </w:r>
    </w:p>
    <w:p>
      <w:pPr>
        <w:spacing w:after="0" w:line="4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Regulatory Matters - </w:t>
      </w:r>
      <w:r>
        <w:rPr>
          <w:rFonts w:ascii="Times New Roman" w:cs="Times New Roman" w:eastAsia="Times New Roman" w:hAnsi="Times New Roman"/>
          <w:sz w:val="17"/>
          <w:szCs w:val="17"/>
          <w:color w:val="auto"/>
        </w:rPr>
        <w:t>The Company provides services in complex and highly regulated industries. The Company’s compliance with applicable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19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Cost-Containment Measures - </w:t>
      </w:r>
      <w:r>
        <w:rPr>
          <w:rFonts w:ascii="Times New Roman" w:cs="Times New Roman" w:eastAsia="Times New Roman" w:hAnsi="Times New Roman"/>
          <w:sz w:val="17"/>
          <w:szCs w:val="17"/>
          <w:color w:val="auto"/>
        </w:rPr>
        <w:t>Government and third-party payors have instituted cost-containment measures designed to limit payments made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providers of healthcare services, may propose future cost-containment measures, and there can be no assurance that future measures designed to limit payments made to providers will not adversely affect the Company.</w:t>
      </w:r>
    </w:p>
    <w:p>
      <w:pPr>
        <w:spacing w:after="0" w:line="18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Indemnities - </w:t>
      </w:r>
      <w:r>
        <w:rPr>
          <w:rFonts w:ascii="Times New Roman" w:cs="Times New Roman" w:eastAsia="Times New Roman" w:hAnsi="Times New Roman"/>
          <w:sz w:val="17"/>
          <w:szCs w:val="17"/>
          <w:color w:val="auto"/>
        </w:rPr>
        <w:t>From time to time, the Company enters into certain types of contracts that contingently require the Company to indemnify parties against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consolidated balance sheets for any of the periods presented.</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Litigation - </w:t>
      </w:r>
      <w:r>
        <w:rPr>
          <w:rFonts w:ascii="Times New Roman" w:cs="Times New Roman" w:eastAsia="Times New Roman" w:hAnsi="Times New Roman"/>
          <w:sz w:val="17"/>
          <w:szCs w:val="17"/>
          <w:color w:val="auto"/>
        </w:rPr>
        <w:t>The Company’s businesses involve a significant risk of liability given the age and health of the patients and residents served by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The Company may also face employment related claims, including wage and hour class actions, which are frequent in our industries.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increased scrutiny, potential liability and legal expenses and costs based on claims under state false claims acts in markets in which it conducts business.</w:t>
      </w:r>
    </w:p>
    <w:p>
      <w:pPr>
        <w:spacing w:after="0" w:line="192"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The Company establishes reserves to cover the anticipated costs of such litigation, including legal fees and expected settlements, based on the Company’s historical litigation experience, current developments, and other factors.</w:t>
      </w:r>
    </w:p>
    <w:p>
      <w:pPr>
        <w:spacing w:after="0" w:line="201"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Medicare Revenue Recoupments - </w:t>
      </w:r>
      <w:r>
        <w:rPr>
          <w:rFonts w:ascii="Times New Roman" w:cs="Times New Roman" w:eastAsia="Times New Roman" w:hAnsi="Times New Roman"/>
          <w:sz w:val="17"/>
          <w:szCs w:val="17"/>
          <w:color w:val="auto"/>
        </w:rPr>
        <w:t>The Company is subject to probe reviews relating to Medicare services, billings and potential overpayments by Unified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w:t>
      </w:r>
    </w:p>
    <w:p>
      <w:pPr>
        <w:spacing w:after="0" w:line="19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As of December 31, 2023, ten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December 31, 2023, and through the filing of this Annual Report on Form 10-K,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From June 2021 to May 2022, one hospice provider number was subject to a Medicare payment suspension imposed by a UPIC. The total amounts suspended was $5,105, which represents all Medicare payments due to the provider number during the suspension. As of December 31, 2023, the total amount due from the government payor impacted by the suspension was $1,888 and was recorded in long-term other assets.</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May 2022, the Company received communication that the Medicare payment suspension, for the above-referenced hospice provider number, was terminated and the UPIC’s review was complete. The UPIC reviewed 107 patient records covering a 10-month period to determine whether, in its view, a Medicare overpayment was made. Based on the results of the review, the UPIC initially alleged sampled and extrapolated overpayments of $5,105, and withheld that amount through continued recoupment of Medicare payments. The Company is pursuing its appeal rights through the administrative appeals process, including contesting the methodology used by the UPIC to perform statistical extrapolation. To date the Company has been successful in appealing some of the previously denied claims. The Company received the refund of previously withheld amounts totaling $3,249 for the year ended December 31, 2023, respectively. The Company continues to work through the appeals process for the remaining denied claims of $1,888 and expects to be successful in those appeals. Based on the information currently available to the Company, the Company cannot predict the timing or the ultimate outcome of this review including refunds to be received. As of December 31, 2023, the Company has an accrued liability that is immaterial for this review which was recorded as an offset to revenue.</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Insurance </w:t>
      </w:r>
      <w:r>
        <w:rPr>
          <w:rFonts w:ascii="Times New Roman" w:cs="Times New Roman" w:eastAsia="Times New Roman" w:hAnsi="Times New Roman"/>
          <w:sz w:val="17"/>
          <w:szCs w:val="17"/>
          <w:color w:val="auto"/>
        </w:rPr>
        <w:t>- The Company retains risk for a substantial portion of potential claims for general and professional liability, workers’ compensation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the Company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Effective January 1, 2022, the Company is self-insured for claims related to employee health, dental and vision care. To protect itself against loss exposure, the Company has purchased individual stop-loss insurance coverage that insures individual health claims that exceed $325 for each covered person for fiscal years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1240"/>
          </w:cols>
          <w:pgMar w:left="320" w:top="12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00" w:type="dxa"/>
            <w:vAlign w:val="bottom"/>
          </w:tcPr>
          <w:p>
            <w:pPr>
              <w:spacing w:after="0"/>
              <w:rPr>
                <w:sz w:val="21"/>
                <w:szCs w:val="21"/>
                <w:color w:val="auto"/>
              </w:rPr>
            </w:pPr>
          </w:p>
        </w:tc>
        <w:tc>
          <w:tcPr>
            <w:tcW w:w="7860" w:type="dxa"/>
            <w:vAlign w:val="bottom"/>
          </w:tcPr>
          <w:p>
            <w:pPr>
              <w:jc w:val="right"/>
              <w:ind w:right="1046"/>
              <w:spacing w:after="0"/>
              <w:rPr>
                <w:sz w:val="20"/>
                <w:szCs w:val="20"/>
                <w:color w:val="auto"/>
              </w:rPr>
            </w:pPr>
            <w:r>
              <w:rPr>
                <w:rFonts w:ascii="Times New Roman" w:cs="Times New Roman" w:eastAsia="Times New Roman" w:hAnsi="Times New Roman"/>
                <w:sz w:val="19"/>
                <w:szCs w:val="19"/>
                <w:b w:val="1"/>
                <w:bCs w:val="1"/>
                <w:color w:val="auto"/>
              </w:rPr>
              <w:t>List of Subsidiaries of The Pennant Group, Inc.</w:t>
            </w:r>
          </w:p>
        </w:tc>
        <w:tc>
          <w:tcPr>
            <w:tcW w:w="880" w:type="dxa"/>
            <w:vAlign w:val="bottom"/>
          </w:tcPr>
          <w:p>
            <w:pPr>
              <w:spacing w:after="0"/>
              <w:rPr>
                <w:sz w:val="21"/>
                <w:szCs w:val="21"/>
                <w:color w:val="auto"/>
              </w:rPr>
            </w:pPr>
          </w:p>
        </w:tc>
      </w:tr>
      <w:tr>
        <w:trPr>
          <w:trHeight w:val="451"/>
        </w:trPr>
        <w:tc>
          <w:tcPr>
            <w:tcW w:w="8660" w:type="dxa"/>
            <w:vAlign w:val="bottom"/>
            <w:gridSpan w:val="2"/>
          </w:tcPr>
          <w:p>
            <w:pPr>
              <w:jc w:val="right"/>
              <w:ind w:right="1046"/>
              <w:spacing w:after="0"/>
              <w:rPr>
                <w:sz w:val="20"/>
                <w:szCs w:val="20"/>
                <w:color w:val="auto"/>
              </w:rPr>
            </w:pPr>
            <w:r>
              <w:rPr>
                <w:rFonts w:ascii="Times New Roman" w:cs="Times New Roman" w:eastAsia="Times New Roman" w:hAnsi="Times New Roman"/>
                <w:sz w:val="19"/>
                <w:szCs w:val="19"/>
                <w:color w:val="auto"/>
              </w:rPr>
              <w:t>The following is a list of subsidiaries of The Pennant Group, Inc. as of December 31, 2023:</w:t>
            </w:r>
          </w:p>
        </w:tc>
        <w:tc>
          <w:tcPr>
            <w:tcW w:w="880" w:type="dxa"/>
            <w:vAlign w:val="bottom"/>
          </w:tcPr>
          <w:p>
            <w:pPr>
              <w:spacing w:after="0"/>
              <w:rPr>
                <w:sz w:val="24"/>
                <w:szCs w:val="24"/>
                <w:color w:val="auto"/>
              </w:rPr>
            </w:pPr>
          </w:p>
        </w:tc>
      </w:tr>
      <w:tr>
        <w:trPr>
          <w:trHeight w:val="447"/>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Subsidiary</w:t>
            </w:r>
          </w:p>
        </w:tc>
        <w:tc>
          <w:tcPr>
            <w:tcW w:w="786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3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2410 Stillhouse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Alpowa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Apricus Home Health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Arches Home 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Audition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Autumn Ridge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Bear River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Black Mountain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Bluebird Home 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Bluebird Home Health Holdings,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Bluebird Home Health,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Bluebird Hospice,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Brenwood Park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Brio Arizona Home Health,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Brookfield Senior Living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Brookhollow Senior Living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Brown Road Senior Housing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Bruce Neenah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Buffalo Springs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Cactus Heights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Canyon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Capitol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Care Continuum Solutions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CCS Holding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Cedar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Creek Holding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Creek Senior Living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Clark Fork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Clear Creek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Connected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Copper Basin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Cornerstone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Cornerstone Service Center,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Crown Point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 Care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 Soto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Denmark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1220"/>
          </w:cols>
          <w:pgMar w:left="340" w:top="1043"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Eagle Healthcare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Eden Landing Healthcare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Elevate HC Partners, LLC</w:t>
            </w:r>
          </w:p>
        </w:tc>
        <w:tc>
          <w:tcPr>
            <w:tcW w:w="3700" w:type="dxa"/>
            <w:vAlign w:val="bottom"/>
          </w:tcPr>
          <w:p>
            <w:pPr>
              <w:jc w:val="center"/>
              <w:ind w:left="2954"/>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Elkhorn Healthcare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Emblem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Emerald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Eureka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Exemplar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Finding Home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Finding Home Physician Services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Glacier Peak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Go Assisted,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Granite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Granite Hills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Great Lakes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Great Plains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Green Bay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Green Meadows Senior Living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Heartland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Huachuca Healthcare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Hummingbird Healthcare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iCare Private Duty,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Indigo Healthcare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Iron Bridge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Jameson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Jentilly Healthcare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Joshua Tree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Juniper Point Healthcare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Kenosha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Keystone Hospice 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Lake Pointe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Lowes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Madison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Manitowoc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McFarland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Mesa Grande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Mesa Springs Senior Living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Mission Inn Senior Living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Mohave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Monitive Group, LLC</w:t>
            </w:r>
          </w:p>
        </w:tc>
        <w:tc>
          <w:tcPr>
            <w:tcW w:w="3700" w:type="dxa"/>
            <w:vAlign w:val="bottom"/>
          </w:tcPr>
          <w:p>
            <w:pPr>
              <w:jc w:val="center"/>
              <w:ind w:left="2954"/>
              <w:spacing w:after="0"/>
              <w:rPr>
                <w:sz w:val="20"/>
                <w:szCs w:val="20"/>
                <w:color w:val="auto"/>
              </w:rPr>
            </w:pPr>
            <w:r>
              <w:rPr>
                <w:rFonts w:ascii="Times New Roman" w:cs="Times New Roman" w:eastAsia="Times New Roman" w:hAnsi="Times New Roman"/>
                <w:sz w:val="17"/>
                <w:szCs w:val="17"/>
                <w:color w:val="auto"/>
              </w:rPr>
              <w:t>Utah</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Monument Healthcare,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Moorland Senior Living LLC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Moss Bay Senior Living, Inc.</w:t>
            </w:r>
          </w:p>
        </w:tc>
        <w:tc>
          <w:tcPr>
            <w:tcW w:w="370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0119"/>
          </w:cols>
          <w:pgMar w:left="340" w:top="1090" w:right="1440"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Mountain Peak Home 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Mountain Vista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Oceano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Orange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Orangewood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Orchard Prairie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Painted Sky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Paragon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Park Point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Peaceful Heart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Pearl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Pecan Bayou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Pennant Services,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Pine Valley Holding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Pine Valley Senior Living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Pinnacle Senior Living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Pinnacle Service Center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Pleasant Run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Ponderosa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California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Nevada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Oregon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Texas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Washington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Wisconsin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Wyoming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Prairie View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Primrose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Prospect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Racine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Rancho Bernardo Healthcare LLC</w:t>
            </w:r>
          </w:p>
        </w:tc>
        <w:tc>
          <w:tcPr>
            <w:tcW w:w="3740" w:type="dxa"/>
            <w:vAlign w:val="bottom"/>
          </w:tcPr>
          <w:p>
            <w:pPr>
              <w:jc w:val="center"/>
              <w:ind w:left="2994"/>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Red Rock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Rio Verde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Riverview Village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Rock Garden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Rockbrook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Rogue River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Rolling Hills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Rosenburg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Sacramento River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Saguaro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San Gabriel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Sand Lily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0119"/>
          </w:cols>
          <w:pgMar w:left="340" w:top="1090"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Sandstone Senior Living,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Sawtooth Senior Living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Sentinel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Sheboygan Senior Living,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Shoshone Holdings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Silver Lake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Somers Kenosha Senior Living,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Somersett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South Bay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South Plains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Southern Pines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Southport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Spanish Meadows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Spokane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Spring Valley Assisted Living,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Star Valley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Stevens Point Senior Living,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Stone Creek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Stoughton Senior Living,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Summerlin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Sun Peak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Sun Spruce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Sunset Mesa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Sycamore Grove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Sycamore Senior Living,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Symbol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Table Rock Senior Living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Tamarack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Terrace Court Senior Living,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Teton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The Pennant Group, Inc.</w:t>
            </w:r>
          </w:p>
        </w:tc>
        <w:tc>
          <w:tcPr>
            <w:tcW w:w="3320" w:type="dxa"/>
            <w:vAlign w:val="bottom"/>
          </w:tcPr>
          <w:p>
            <w:pPr>
              <w:jc w:val="center"/>
              <w:ind w:left="2574"/>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Thomas Road Senior Housing,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Thousand Peaks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Total Healthcare Services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Triumph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Tuolumne Holding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Twin Falls Senior Living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Two Rivers Senior Living,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Vesper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Victoria Ventura Assisted Living Community,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Virgin River Healthcare, Inc.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Whitetank Mountain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Whitewater Healthcare LLC</w:t>
            </w:r>
          </w:p>
        </w:tc>
        <w:tc>
          <w:tcPr>
            <w:tcW w:w="3320" w:type="dxa"/>
            <w:vAlign w:val="bottom"/>
          </w:tcPr>
          <w:p>
            <w:pPr>
              <w:jc w:val="center"/>
              <w:ind w:left="2554"/>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0119"/>
          </w:cols>
          <w:pgMar w:left="340" w:top="1090"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Willow Creek Senior Living,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Wisconsin Rapids Senior Living,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Woodlake Healthcare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Nevada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Nevada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Nevada</w:t>
      </w:r>
    </w:p>
    <w:p>
      <w:pPr>
        <w:sectPr>
          <w:pgSz w:w="11900" w:h="16838" w:orient="portrait"/>
          <w:cols w:equalWidth="0" w:num="2">
            <w:col w:w="8100" w:space="720"/>
            <w:col w:w="1299"/>
          </w:cols>
          <w:pgMar w:left="340" w:top="1090" w:right="1440"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47" w:lineRule="exact"/>
        <w:rPr>
          <w:sz w:val="20"/>
          <w:szCs w:val="20"/>
          <w:color w:val="auto"/>
        </w:rPr>
      </w:pPr>
    </w:p>
    <w:p>
      <w:pPr>
        <w:jc w:val="both"/>
        <w:ind w:right="540"/>
        <w:spacing w:after="0" w:line="270"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333-233937 on Form S-8 of our reports dated February 28, 2024, relating to the financial statements of The Pennant Group, Inc. and the effectiveness of the Pennant Group, Inc.’s internal control over financial reporting appearing in this Annual Report on Form 10-K for the year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Boise, 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ectPr>
          <w:pgSz w:w="11900" w:h="16838" w:orient="portrait"/>
          <w:cols w:equalWidth="0" w:num="1">
            <w:col w:w="11240"/>
          </w:cols>
          <w:pgMar w:left="320" w:top="135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Brent J. Guerisoli, certify that:</w:t>
      </w:r>
    </w:p>
    <w:p>
      <w:pPr>
        <w:spacing w:after="0" w:line="398"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Pennant Group, Inc;</w:t>
      </w:r>
    </w:p>
    <w:p>
      <w:pPr>
        <w:spacing w:after="0" w:line="165"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620" w:right="640" w:hanging="307"/>
        <w:spacing w:after="0" w:line="287"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99"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28, 2024</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17145</wp:posOffset>
            </wp:positionV>
            <wp:extent cx="2693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2693035" cy="825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360" w:val="left"/>
        </w:tabs>
        <w:rPr>
          <w:sz w:val="20"/>
          <w:szCs w:val="20"/>
          <w:color w:val="auto"/>
        </w:rPr>
      </w:pPr>
      <w:r>
        <w:rPr>
          <w:rFonts w:ascii="Times New Roman" w:cs="Times New Roman" w:eastAsia="Times New Roman" w:hAnsi="Times New Roman"/>
          <w:sz w:val="17"/>
          <w:szCs w:val="17"/>
          <w:color w:val="auto"/>
        </w:rPr>
        <w:t>Name:</w:t>
        <w:tab/>
        <w:t>Brent J. Guerisoli</w:t>
      </w:r>
    </w:p>
    <w:tbl>
      <w:tblPr>
        <w:tblLayout w:type="fixed"/>
        <w:tblInd w:w="5580" w:type="dxa"/>
        <w:tblCellMar>
          <w:top w:w="0" w:type="dxa"/>
          <w:left w:w="0" w:type="dxa"/>
          <w:bottom w:w="0" w:type="dxa"/>
          <w:right w:w="0" w:type="dxa"/>
        </w:tblCellMar>
      </w:tblPr>
      <w:tr>
        <w:trPr>
          <w:trHeight w:val="195"/>
        </w:trPr>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Title:</w:t>
            </w:r>
          </w:p>
        </w:tc>
        <w:tc>
          <w:tcPr>
            <w:tcW w:w="3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Chief Executive Officer (Principal Executive</w:t>
            </w: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33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Officer)</w:t>
            </w:r>
          </w:p>
        </w:tc>
        <w:tc>
          <w:tcPr>
            <w:tcW w:w="0" w:type="dxa"/>
            <w:vAlign w:val="bottom"/>
          </w:tcPr>
          <w:p>
            <w:pPr>
              <w:spacing w:after="0"/>
              <w:rPr>
                <w:sz w:val="1"/>
                <w:szCs w:val="1"/>
                <w:color w:val="auto"/>
              </w:rPr>
            </w:pPr>
          </w:p>
        </w:tc>
      </w:tr>
      <w:tr>
        <w:trPr>
          <w:trHeight w:val="81"/>
        </w:trPr>
        <w:tc>
          <w:tcPr>
            <w:tcW w:w="6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Lynette B. Walbom, certify that:</w:t>
      </w:r>
    </w:p>
    <w:p>
      <w:pPr>
        <w:spacing w:after="0" w:line="381" w:lineRule="exact"/>
        <w:rPr>
          <w:sz w:val="20"/>
          <w:szCs w:val="20"/>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Pennant Group, Inc.;</w:t>
      </w:r>
    </w:p>
    <w:p>
      <w:pPr>
        <w:spacing w:after="0" w:line="165"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620" w:right="640" w:hanging="307"/>
        <w:spacing w:after="0" w:line="28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99"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28, 2024</w:t>
      </w:r>
    </w:p>
    <w:p>
      <w:pPr>
        <w:spacing w:after="0" w:line="26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685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7" w:lineRule="exact"/>
        <w:rPr>
          <w:sz w:val="20"/>
          <w:szCs w:val="20"/>
          <w:color w:val="auto"/>
        </w:rPr>
      </w:pPr>
    </w:p>
    <w:p>
      <w:pPr>
        <w:ind w:left="5660"/>
        <w:spacing w:after="0"/>
        <w:tabs>
          <w:tab w:leader="none" w:pos="64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Lynette B. Walbom</w:t>
      </w:r>
    </w:p>
    <w:p>
      <w:pPr>
        <w:spacing w:after="0" w:line="1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w:t>
      </w:r>
    </w:p>
    <w:p>
      <w:pPr>
        <w:ind w:left="5660"/>
        <w:spacing w:after="0" w:line="221" w:lineRule="auto"/>
        <w:tabs>
          <w:tab w:leader="none" w:pos="64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i w:val="1"/>
          <w:iCs w:val="1"/>
          <w:color w:val="auto"/>
        </w:rPr>
        <w:t>Officer, Principal Accounting Officer and Duly</w:t>
      </w:r>
    </w:p>
    <w:p>
      <w:pPr>
        <w:ind w:left="6420"/>
        <w:spacing w:after="0"/>
        <w:rPr>
          <w:sz w:val="20"/>
          <w:szCs w:val="20"/>
          <w:color w:val="auto"/>
        </w:rPr>
      </w:pPr>
      <w:r>
        <w:rPr>
          <w:rFonts w:ascii="Times New Roman" w:cs="Times New Roman" w:eastAsia="Times New Roman" w:hAnsi="Times New Roman"/>
          <w:sz w:val="17"/>
          <w:szCs w:val="17"/>
          <w:i w:val="1"/>
          <w:iCs w:val="1"/>
          <w:color w:val="auto"/>
        </w:rPr>
        <w:t>Authorized Officer)</w:t>
      </w:r>
    </w:p>
    <w:p>
      <w:pPr>
        <w:sectPr>
          <w:pgSz w:w="11900" w:h="16838" w:orient="portrait"/>
          <w:cols w:equalWidth="0" w:num="1">
            <w:col w:w="11240"/>
          </w:cols>
          <w:pgMar w:left="320" w:top="85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Annual Report of The Pennant Group, Inc. (the Company) on Form 10-K for the period ended December 31, 2023, as filed with the Securities and Exchange Commission on the date hereof (the Report), I, Brent J. Guerisoli, Chief Executive Officer of the Company, certify, pursuant to 18 U.S.C. § 1350, as adopted pursuant to Section 906 of the Sarbanes-Oxley Act of 2002, that to my knowledge:</w:t>
      </w:r>
    </w:p>
    <w:p>
      <w:pPr>
        <w:spacing w:after="0" w:line="240" w:lineRule="exact"/>
        <w:rPr>
          <w:sz w:val="20"/>
          <w:szCs w:val="20"/>
          <w:color w:val="auto"/>
        </w:rPr>
      </w:pPr>
    </w:p>
    <w:p>
      <w:pPr>
        <w:ind w:left="680" w:hanging="337"/>
        <w:spacing w:after="0"/>
        <w:tabs>
          <w:tab w:leader="none" w:pos="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sz w:val="20"/>
          <w:szCs w:val="20"/>
          <w:color w:val="auto"/>
        </w:rPr>
      </w:pPr>
    </w:p>
    <w:p>
      <w:pPr>
        <w:ind w:left="680" w:hanging="337"/>
        <w:spacing w:after="0"/>
        <w:tabs>
          <w:tab w:leader="none" w:pos="6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17145</wp:posOffset>
            </wp:positionV>
            <wp:extent cx="27914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17" w:lineRule="exact"/>
        <w:rPr>
          <w:sz w:val="20"/>
          <w:szCs w:val="20"/>
          <w:color w:val="auto"/>
        </w:rPr>
      </w:pPr>
    </w:p>
    <w:p>
      <w:pPr>
        <w:ind w:left="5580"/>
        <w:spacing w:after="0"/>
        <w:tabs>
          <w:tab w:leader="none" w:pos="6220" w:val="left"/>
        </w:tabs>
        <w:rPr>
          <w:sz w:val="20"/>
          <w:szCs w:val="20"/>
          <w:color w:val="auto"/>
        </w:rPr>
      </w:pPr>
      <w:r>
        <w:rPr>
          <w:rFonts w:ascii="Times New Roman" w:cs="Times New Roman" w:eastAsia="Times New Roman" w:hAnsi="Times New Roman"/>
          <w:sz w:val="17"/>
          <w:szCs w:val="17"/>
          <w:color w:val="auto"/>
        </w:rPr>
        <w:t>Name:</w:t>
        <w:tab/>
        <w:t>Brent J. Guerisoli</w:t>
      </w:r>
    </w:p>
    <w:tbl>
      <w:tblPr>
        <w:tblLayout w:type="fixed"/>
        <w:tblInd w:w="5400" w:type="dxa"/>
        <w:tblCellMar>
          <w:top w:w="0" w:type="dxa"/>
          <w:left w:w="0" w:type="dxa"/>
          <w:bottom w:w="0" w:type="dxa"/>
          <w:right w:w="0" w:type="dxa"/>
        </w:tblCellMar>
      </w:tblPr>
      <w:tr>
        <w:trPr>
          <w:trHeight w:val="19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Title:</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Executive Officer (Principal Executive</w:t>
            </w:r>
          </w:p>
        </w:tc>
        <w:tc>
          <w:tcPr>
            <w:tcW w:w="0" w:type="dxa"/>
            <w:vAlign w:val="bottom"/>
          </w:tcPr>
          <w:p>
            <w:pPr>
              <w:spacing w:after="0"/>
              <w:rPr>
                <w:sz w:val="1"/>
                <w:szCs w:val="1"/>
                <w:color w:val="auto"/>
              </w:rPr>
            </w:pPr>
          </w:p>
        </w:tc>
      </w:tr>
      <w:tr>
        <w:trPr>
          <w:trHeight w:val="142"/>
        </w:trPr>
        <w:tc>
          <w:tcPr>
            <w:tcW w:w="620" w:type="dxa"/>
            <w:vAlign w:val="bottom"/>
            <w:vMerge w:val="continue"/>
          </w:tcPr>
          <w:p>
            <w:pPr>
              <w:spacing w:after="0"/>
              <w:rPr>
                <w:sz w:val="12"/>
                <w:szCs w:val="12"/>
                <w:color w:val="auto"/>
              </w:rPr>
            </w:pPr>
          </w:p>
        </w:tc>
        <w:tc>
          <w:tcPr>
            <w:tcW w:w="33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Officer)</w:t>
            </w: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28, 2024</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The Pennant Group, Inc. (the Company) on Form 10-K for the period ended December 31, 2023, as filed with the Securities and Exchange Commission on the date hereof (the Report), I, Lynette B. Walbom, Chief Financial Officer of the Company, certify, pursuant to 18 U.S.C. § 1350, as adopted pursuant to Section 906 of the Sarbanes-Oxley Act of 2002, that to my knowledge:</w:t>
      </w:r>
    </w:p>
    <w:p>
      <w:pPr>
        <w:spacing w:after="0" w:line="230" w:lineRule="exact"/>
        <w:rPr>
          <w:sz w:val="20"/>
          <w:szCs w:val="20"/>
          <w:color w:val="auto"/>
        </w:rPr>
      </w:pPr>
    </w:p>
    <w:p>
      <w:pPr>
        <w:ind w:left="680" w:hanging="337"/>
        <w:spacing w:after="0"/>
        <w:tabs>
          <w:tab w:leader="none" w:pos="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sz w:val="20"/>
          <w:szCs w:val="20"/>
          <w:color w:val="auto"/>
        </w:rPr>
      </w:pPr>
    </w:p>
    <w:p>
      <w:pPr>
        <w:ind w:left="680" w:hanging="337"/>
        <w:spacing w:after="0"/>
        <w:tabs>
          <w:tab w:leader="none" w:pos="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17145</wp:posOffset>
            </wp:positionV>
            <wp:extent cx="27666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2766695" cy="8255"/>
                    </a:xfrm>
                    <a:prstGeom prst="rect">
                      <a:avLst/>
                    </a:prstGeom>
                    <a:noFill/>
                  </pic:spPr>
                </pic:pic>
              </a:graphicData>
            </a:graphic>
          </wp:anchor>
        </w:drawing>
      </w:r>
    </w:p>
    <w:p>
      <w:pPr>
        <w:spacing w:after="0" w:line="17" w:lineRule="exact"/>
        <w:rPr>
          <w:sz w:val="20"/>
          <w:szCs w:val="20"/>
          <w:color w:val="auto"/>
        </w:rPr>
      </w:pPr>
    </w:p>
    <w:p>
      <w:pPr>
        <w:ind w:left="5440"/>
        <w:spacing w:after="0"/>
        <w:tabs>
          <w:tab w:leader="none" w:pos="622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Lynette B. Walbom</w:t>
      </w:r>
    </w:p>
    <w:p>
      <w:pPr>
        <w:spacing w:after="0" w:line="1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w:t>
      </w:r>
    </w:p>
    <w:p>
      <w:pPr>
        <w:ind w:left="5440"/>
        <w:spacing w:after="0" w:line="221" w:lineRule="auto"/>
        <w:tabs>
          <w:tab w:leader="none" w:pos="62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i w:val="1"/>
          <w:iCs w:val="1"/>
          <w:color w:val="auto"/>
        </w:rPr>
        <w:t>Officer, Principal Accounting Officer and Duly</w:t>
      </w:r>
    </w:p>
    <w:p>
      <w:pPr>
        <w:ind w:left="6240"/>
        <w:spacing w:after="0"/>
        <w:rPr>
          <w:sz w:val="20"/>
          <w:szCs w:val="20"/>
          <w:color w:val="auto"/>
        </w:rPr>
      </w:pPr>
      <w:r>
        <w:rPr>
          <w:rFonts w:ascii="Times New Roman" w:cs="Times New Roman" w:eastAsia="Times New Roman" w:hAnsi="Times New Roman"/>
          <w:sz w:val="17"/>
          <w:szCs w:val="17"/>
          <w:i w:val="1"/>
          <w:iCs w:val="1"/>
          <w:color w:val="auto"/>
        </w:rPr>
        <w:t>Authorized Officer)</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February 28, 2024</w:t>
      </w:r>
    </w:p>
    <w:p>
      <w:pPr>
        <w:spacing w:after="0" w:line="329"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lvl w:ilvl="1">
      <w:lvlJc w:val="left"/>
      <w:lvlText w:val="◦"/>
      <w:numFmt w:val="bullet"/>
      <w:start w:val="1"/>
    </w:lvl>
  </w:abstractNum>
  <w:abstractNum w:abstractNumId="29">
    <w:nsid w:val="51EAD36B"/>
    <w:multiLevelType w:val="hybridMultilevel"/>
    <w:lvl w:ilvl="0">
      <w:lvlJc w:val="left"/>
      <w:lvlText w:val="%1"/>
      <w:numFmt w:val="decimal"/>
      <w:start w:val="1"/>
    </w:lvl>
    <w:lvl w:ilvl="1">
      <w:lvlJc w:val="left"/>
      <w:lvlText w:val="(%2)"/>
      <w:numFmt w:val="lowerLetter"/>
      <w:start w:val="1"/>
    </w:lvl>
  </w:abstractNum>
  <w:abstractNum w:abstractNumId="30">
    <w:nsid w:val="2D517796"/>
    <w:multiLevelType w:val="hybridMultilevel"/>
    <w:lvl w:ilvl="0">
      <w:lvlJc w:val="left"/>
      <w:lvlText w:val="%1."/>
      <w:numFmt w:val="decimal"/>
      <w:start w:val="5"/>
    </w:lvl>
    <w:lvl w:ilvl="1">
      <w:lvlJc w:val="left"/>
      <w:lvlText w:val="%2"/>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decimal"/>
      <w:start w:val="3"/>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5"/>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decimal"/>
      <w:start w:val="4"/>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bullet"/>
      <w:start w:val="1"/>
    </w:lvl>
  </w:abstractNum>
  <w:abstractNum w:abstractNumId="46">
    <w:nsid w:val="7644A45C"/>
    <w:multiLevelType w:val="hybridMultilevel"/>
    <w:lvl w:ilvl="0">
      <w:lvlJc w:val="left"/>
      <w:lvlText w:val="2"/>
      <w:numFmt w:val="bullet"/>
      <w:start w:val="1"/>
    </w:lvl>
  </w:abstractNum>
  <w:abstractNum w:abstractNumId="47">
    <w:nsid w:val="32FFF902"/>
    <w:multiLevelType w:val="hybridMultilevel"/>
    <w:lvl w:ilvl="0">
      <w:lvlJc w:val="left"/>
      <w:lvlText w:val="1"/>
      <w:numFmt w:val="bullet"/>
      <w:start w:val="1"/>
    </w:lvl>
  </w:abstractNum>
  <w:abstractNum w:abstractNumId="48">
    <w:nsid w:val="684A481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79" Type="http://schemas.openxmlformats.org/officeDocument/2006/relationships/hyperlink" Target="http://www.sec.gov/Archives/edgar/data/1766400/000119312519260914/d812063dex21.htm" TargetMode="External"/><Relationship Id="rId80" Type="http://schemas.openxmlformats.org/officeDocument/2006/relationships/hyperlink" Target="https://www.sec.gov/Archives/edgar/data/1766400/000176640022000025/ota-form2022x01x27.htm" TargetMode="External"/><Relationship Id="rId81" Type="http://schemas.openxmlformats.org/officeDocument/2006/relationships/hyperlink" Target="https://www.sec.gov/Archives/edgar/data/1766400/000119312519260914/d812063dex31.htm" TargetMode="External"/><Relationship Id="rId82" Type="http://schemas.openxmlformats.org/officeDocument/2006/relationships/hyperlink" Target="https://www.sec.gov/Archives/edgar/data/1766400/000176640022000027/pntg2ndarbylaws.htm" TargetMode="External"/><Relationship Id="rId83" Type="http://schemas.openxmlformats.org/officeDocument/2006/relationships/hyperlink" Target="https://www.sec.gov/Archives/edgar/data/1766400/000176640020000034/descriptionofsecuritie.htm" TargetMode="External"/><Relationship Id="rId84" Type="http://schemas.openxmlformats.org/officeDocument/2006/relationships/hyperlink" Target="http://www.sec.gov/Archives/edgar/data/1766400/000119312519260914/d812063dex101.htm" TargetMode="External"/><Relationship Id="rId85" Type="http://schemas.openxmlformats.org/officeDocument/2006/relationships/hyperlink" Target="https://www.sec.gov/Archives/edgar/data/1766400/000119312519260914/d812063dex102.htm" TargetMode="External"/><Relationship Id="rId86" Type="http://schemas.openxmlformats.org/officeDocument/2006/relationships/hyperlink" Target="http://www.sec.gov/Archives/edgar/data/1766400/000119312519260914/d812063dex103.htm" TargetMode="External"/><Relationship Id="rId87" Type="http://schemas.openxmlformats.org/officeDocument/2006/relationships/hyperlink" Target="http://www.sec.gov/Archives/edgar/data/1766400/000119312519224516/d693607dex104.htm" TargetMode="External"/><Relationship Id="rId90" Type="http://schemas.openxmlformats.org/officeDocument/2006/relationships/hyperlink" Target="http://www.sec.gov/Archives/edgar/data/1766400/000119312519260914/d812063dex1012.htm" TargetMode="External"/><Relationship Id="rId91" Type="http://schemas.openxmlformats.org/officeDocument/2006/relationships/hyperlink" Target="http://www.sec.gov/Archives/edgar/data/1766400/000119312519224516/d693607dex106.htm" TargetMode="External"/><Relationship Id="rId92" Type="http://schemas.openxmlformats.org/officeDocument/2006/relationships/hyperlink" Target="http://www.sec.gov/Archives/edgar/data/1766400/000119312519224516/d693607dex107.htm" TargetMode="External"/><Relationship Id="rId93" Type="http://schemas.openxmlformats.org/officeDocument/2006/relationships/hyperlink" Target="http://www.sec.gov/Archives/edgar/data/1766400/000119312519224516/d693607dex108.htm" TargetMode="External"/><Relationship Id="rId94" Type="http://schemas.openxmlformats.org/officeDocument/2006/relationships/hyperlink" Target="http://www.sec.gov/Archives/edgar/data/1766400/000119312519260914/d812063dex1011.htm" TargetMode="External"/><Relationship Id="rId95" Type="http://schemas.openxmlformats.org/officeDocument/2006/relationships/hyperlink" Target="http://www.sec.gov/Archives/edgar/data/1766400/000119312519224516/d693607dex1010.htm" TargetMode="External"/><Relationship Id="rId96" Type="http://schemas.openxmlformats.org/officeDocument/2006/relationships/hyperlink" Target="http://www.sec.gov/Archives/edgar/data/1766400/000119312519224516/d693607dex1011.htm" TargetMode="External"/><Relationship Id="rId97" Type="http://schemas.openxmlformats.org/officeDocument/2006/relationships/hyperlink" Target="https://www.sec.gov/Archives/edgar/data/1766400/000176640021000035/pntgconformedamendedcredit.htm" TargetMode="External"/><Relationship Id="rId98" Type="http://schemas.openxmlformats.org/officeDocument/2006/relationships/hyperlink" Target="http://www.sec.gov/Archives/edgar/data/1125376/000112537616000216/ex102cornerstoneomnibusinc.htm" TargetMode="External"/><Relationship Id="rId99" Type="http://schemas.openxmlformats.org/officeDocument/2006/relationships/hyperlink" Target="http://www.sec.gov/Archives/edgar/data/1125376/000112537617000035/a2016proxystatement.htm#s79c1f29a0e9c477ca771e6b5687c20a1" TargetMode="External"/><Relationship Id="rId100" Type="http://schemas.openxmlformats.org/officeDocument/2006/relationships/hyperlink" Target="https://www.sec.gov/Archives/edgar/data/1766400/000176640022000112/pntg-consultingagreement.htm" TargetMode="External"/><Relationship Id="rId101" Type="http://schemas.openxmlformats.org/officeDocument/2006/relationships/hyperlink" Target="https://www.sec.gov/Archives/edgar/data/1766400/000176640022000112/pntg-rsuamendmentletterxdw.htm" TargetMode="External"/><Relationship Id="rId102" Type="http://schemas.openxmlformats.org/officeDocument/2006/relationships/hyperlink" Target="https://www.sec.gov/Archives/edgar/data/1766400/000176640023000073/ex101conformedamendedcred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2024-02-28T16:10:50Z</dcterms:created>
  <dcterms:modified xsi:type="dcterms:W3CDTF">2024-02-28T16:10:50Z</dcterms:modified>
</cp:coreProperties>
</file>