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_____________________________</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31"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46"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8"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8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5140" w:type="dxa"/>
            <w:vAlign w:val="bottom"/>
            <w:gridSpan w:val="2"/>
          </w:tcPr>
          <w:p>
            <w:pPr>
              <w:jc w:val="right"/>
              <w:ind w:right="4699"/>
              <w:spacing w:after="0"/>
              <w:rPr>
                <w:sz w:val="20"/>
                <w:szCs w:val="20"/>
                <w:color w:val="auto"/>
              </w:rPr>
            </w:pPr>
            <w:r>
              <w:rPr>
                <w:rFonts w:ascii="Arial" w:cs="Arial" w:eastAsia="Arial" w:hAnsi="Arial"/>
                <w:sz w:val="16"/>
                <w:szCs w:val="16"/>
                <w:b w:val="1"/>
                <w:bCs w:val="1"/>
                <w:color w:val="auto"/>
              </w:rPr>
              <w:t>.</w:t>
            </w:r>
          </w:p>
        </w:tc>
      </w:tr>
      <w:tr>
        <w:trPr>
          <w:trHeight w:val="379"/>
        </w:trPr>
        <w:tc>
          <w:tcPr>
            <w:tcW w:w="2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20" w:type="dxa"/>
            <w:vAlign w:val="bottom"/>
          </w:tcPr>
          <w:p>
            <w:pPr>
              <w:jc w:val="center"/>
              <w:ind w:right="1759"/>
              <w:spacing w:after="0"/>
              <w:rPr>
                <w:sz w:val="20"/>
                <w:szCs w:val="20"/>
                <w:color w:val="auto"/>
              </w:rPr>
            </w:pPr>
            <w:r>
              <w:rPr>
                <w:rFonts w:ascii="Arial" w:cs="Arial" w:eastAsia="Arial" w:hAnsi="Arial"/>
                <w:sz w:val="16"/>
                <w:szCs w:val="16"/>
                <w:b w:val="1"/>
                <w:bCs w:val="1"/>
                <w:color w:val="auto"/>
                <w:w w:val="91"/>
              </w:rPr>
              <w:t>Commission file number: 001-38900</w:t>
            </w:r>
          </w:p>
        </w:tc>
      </w:tr>
      <w:tr>
        <w:trPr>
          <w:trHeight w:val="262"/>
        </w:trPr>
        <w:tc>
          <w:tcPr>
            <w:tcW w:w="2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140" w:type="dxa"/>
            <w:vAlign w:val="bottom"/>
            <w:gridSpan w:val="2"/>
          </w:tcPr>
          <w:p>
            <w:pPr>
              <w:jc w:val="center"/>
              <w:ind w:right="1439"/>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591"/>
        </w:trPr>
        <w:tc>
          <w:tcPr>
            <w:tcW w:w="2120" w:type="dxa"/>
            <w:vAlign w:val="bottom"/>
          </w:tcPr>
          <w:p>
            <w:pPr>
              <w:spacing w:after="0"/>
              <w:rPr>
                <w:sz w:val="24"/>
                <w:szCs w:val="24"/>
                <w:color w:val="auto"/>
              </w:rPr>
            </w:pPr>
          </w:p>
        </w:tc>
        <w:tc>
          <w:tcPr>
            <w:tcW w:w="6660" w:type="dxa"/>
            <w:vAlign w:val="bottom"/>
            <w:gridSpan w:val="5"/>
          </w:tcPr>
          <w:p>
            <w:pPr>
              <w:jc w:val="center"/>
              <w:spacing w:after="0"/>
              <w:rPr>
                <w:sz w:val="20"/>
                <w:szCs w:val="20"/>
                <w:color w:val="auto"/>
              </w:rPr>
            </w:pPr>
            <w:r>
              <w:rPr>
                <w:rFonts w:ascii="Arial" w:cs="Arial" w:eastAsia="Arial" w:hAnsi="Arial"/>
                <w:sz w:val="40"/>
                <w:szCs w:val="40"/>
                <w:b w:val="1"/>
                <w:bCs w:val="1"/>
                <w:color w:val="auto"/>
                <w:w w:val="98"/>
              </w:rPr>
              <w:t>THE PENNANT GROUP, INC.</w:t>
            </w:r>
          </w:p>
        </w:tc>
      </w:tr>
      <w:tr>
        <w:trPr>
          <w:trHeight w:val="430"/>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40" w:type="dxa"/>
            <w:vAlign w:val="bottom"/>
            <w:gridSpan w:val="2"/>
          </w:tcPr>
          <w:p>
            <w:pPr>
              <w:jc w:val="center"/>
              <w:ind w:right="1459"/>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229"/>
        </w:trPr>
        <w:tc>
          <w:tcPr>
            <w:tcW w:w="2120" w:type="dxa"/>
            <w:vAlign w:val="bottom"/>
          </w:tcPr>
          <w:p>
            <w:pPr>
              <w:spacing w:after="0"/>
              <w:rPr>
                <w:sz w:val="19"/>
                <w:szCs w:val="19"/>
                <w:color w:val="auto"/>
              </w:rPr>
            </w:pPr>
          </w:p>
        </w:tc>
        <w:tc>
          <w:tcPr>
            <w:tcW w:w="152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3"/>
              </w:rPr>
              <w:t>Delaware</w:t>
            </w:r>
          </w:p>
        </w:tc>
        <w:tc>
          <w:tcPr>
            <w:tcW w:w="5140" w:type="dxa"/>
            <w:vAlign w:val="bottom"/>
            <w:gridSpan w:val="2"/>
          </w:tcPr>
          <w:p>
            <w:pPr>
              <w:jc w:val="center"/>
              <w:ind w:left="3837"/>
              <w:spacing w:after="0"/>
              <w:rPr>
                <w:sz w:val="20"/>
                <w:szCs w:val="20"/>
                <w:color w:val="auto"/>
              </w:rPr>
            </w:pPr>
            <w:r>
              <w:rPr>
                <w:rFonts w:ascii="Arial" w:cs="Arial" w:eastAsia="Arial" w:hAnsi="Arial"/>
                <w:sz w:val="16"/>
                <w:szCs w:val="16"/>
                <w:b w:val="1"/>
                <w:bCs w:val="1"/>
                <w:color w:val="auto"/>
                <w:w w:val="91"/>
              </w:rPr>
              <w:t>83-3349931</w:t>
            </w:r>
          </w:p>
        </w:tc>
      </w:tr>
      <w:tr>
        <w:trPr>
          <w:trHeight w:val="216"/>
        </w:trPr>
        <w:tc>
          <w:tcPr>
            <w:tcW w:w="3640" w:type="dxa"/>
            <w:vAlign w:val="bottom"/>
            <w:gridSpan w:val="4"/>
          </w:tcPr>
          <w:p>
            <w:pPr>
              <w:jc w:val="center"/>
              <w:ind w:left="1419"/>
              <w:spacing w:after="0"/>
              <w:rPr>
                <w:sz w:val="20"/>
                <w:szCs w:val="20"/>
                <w:color w:val="auto"/>
              </w:rPr>
            </w:pPr>
            <w:r>
              <w:rPr>
                <w:rFonts w:ascii="Arial" w:cs="Arial" w:eastAsia="Arial" w:hAnsi="Arial"/>
                <w:sz w:val="16"/>
                <w:szCs w:val="16"/>
                <w:color w:val="auto"/>
                <w:w w:val="93"/>
              </w:rPr>
              <w:t>(State or Other Jurisdiction of</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3"/>
              </w:rPr>
              <w:t>(I.R.S. Employer</w:t>
            </w:r>
          </w:p>
        </w:tc>
      </w:tr>
      <w:tr>
        <w:trPr>
          <w:trHeight w:val="216"/>
        </w:trPr>
        <w:tc>
          <w:tcPr>
            <w:tcW w:w="3640" w:type="dxa"/>
            <w:vAlign w:val="bottom"/>
            <w:gridSpan w:val="4"/>
          </w:tcPr>
          <w:p>
            <w:pPr>
              <w:jc w:val="center"/>
              <w:ind w:left="1439"/>
              <w:spacing w:after="0"/>
              <w:rPr>
                <w:sz w:val="20"/>
                <w:szCs w:val="20"/>
                <w:color w:val="auto"/>
              </w:rPr>
            </w:pPr>
            <w:r>
              <w:rPr>
                <w:rFonts w:ascii="Arial" w:cs="Arial" w:eastAsia="Arial" w:hAnsi="Arial"/>
                <w:sz w:val="16"/>
                <w:szCs w:val="16"/>
                <w:color w:val="auto"/>
                <w:w w:val="94"/>
              </w:rPr>
              <w:t>Incorporation or Organization)</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7"/>
              </w:rPr>
              <w:t>Identification No.)</w:t>
            </w:r>
          </w:p>
        </w:tc>
      </w:tr>
    </w:tbl>
    <w:p>
      <w:pPr>
        <w:spacing w:after="0" w:line="100"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1675 East Riverside Drive, Suite 150, Eagle, ID 83616</w:t>
      </w:r>
    </w:p>
    <w:p>
      <w:pPr>
        <w:spacing w:after="0" w:line="23"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 and Zip Code)</w:t>
      </w:r>
    </w:p>
    <w:p>
      <w:pPr>
        <w:spacing w:after="0" w:line="5"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(208) 506-6100</w:t>
      </w:r>
    </w:p>
    <w:p>
      <w:pPr>
        <w:ind w:left="3820"/>
        <w:spacing w:after="0" w:line="235" w:lineRule="auto"/>
        <w:rPr>
          <w:sz w:val="20"/>
          <w:szCs w:val="20"/>
          <w:color w:val="auto"/>
        </w:rPr>
      </w:pPr>
      <w:r>
        <w:rPr>
          <w:rFonts w:ascii="Arial" w:cs="Arial" w:eastAsia="Arial" w:hAnsi="Arial"/>
          <w:sz w:val="16"/>
          <w:szCs w:val="16"/>
          <w:color w:val="auto"/>
        </w:rPr>
        <w:t>(Registrant’s Telephone Number, Including Area Code)</w:t>
      </w:r>
    </w:p>
    <w:p>
      <w:pPr>
        <w:jc w:val="center"/>
        <w:spacing w:after="0" w:line="211" w:lineRule="auto"/>
        <w:rPr>
          <w:sz w:val="20"/>
          <w:szCs w:val="20"/>
          <w:color w:val="auto"/>
        </w:rPr>
      </w:pPr>
      <w:r>
        <w:rPr>
          <w:rFonts w:ascii="Arial" w:cs="Arial" w:eastAsia="Arial" w:hAnsi="Arial"/>
          <w:sz w:val="16"/>
          <w:szCs w:val="16"/>
          <w:color w:val="auto"/>
        </w:rPr>
        <w:t>None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188" w:right="339" w:bottom="1440" w:gutter="0" w:footer="0" w:header="0"/>
        </w:sectPr>
      </w:pPr>
    </w:p>
    <w:p>
      <w:pPr>
        <w:spacing w:after="0" w:line="279"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140" w:space="720"/>
            <w:col w:w="2240" w:space="720"/>
            <w:col w:w="3420"/>
          </w:cols>
          <w:pgMar w:left="320" w:top="1188" w:right="33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PNTG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49" w:lineRule="exact"/>
        <w:rPr>
          <w:sz w:val="24"/>
          <w:szCs w:val="24"/>
          <w:color w:val="auto"/>
        </w:rPr>
      </w:pPr>
    </w:p>
    <w:p>
      <w:pPr>
        <w:sectPr>
          <w:pgSz w:w="11900" w:h="16838" w:orient="portrait"/>
          <w:cols w:equalWidth="0" w:num="3">
            <w:col w:w="4580" w:space="720"/>
            <w:col w:w="2360" w:space="720"/>
            <w:col w:w="2860"/>
          </w:cols>
          <w:pgMar w:left="320" w:top="1188" w:right="339" w:bottom="1440" w:gutter="0" w:footer="0" w:header="0"/>
          <w:type w:val="continuous"/>
        </w:sectPr>
      </w:pPr>
    </w:p>
    <w:p>
      <w:pPr>
        <w:ind w:left="37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0" w:lineRule="exact"/>
        <w:rPr>
          <w:sz w:val="24"/>
          <w:szCs w:val="24"/>
          <w:color w:val="auto"/>
        </w:rPr>
      </w:pPr>
    </w:p>
    <w:p>
      <w:pPr>
        <w:spacing w:after="0" w:line="237" w:lineRule="exact"/>
        <w:rPr>
          <w:sz w:val="24"/>
          <w:szCs w:val="24"/>
          <w:color w:val="auto"/>
        </w:rPr>
      </w:pPr>
    </w:p>
    <w:p>
      <w:pPr>
        <w:jc w:val="both"/>
        <w:ind w:firstLine="445"/>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3" w:lineRule="exact"/>
        <w:rPr>
          <w:sz w:val="24"/>
          <w:szCs w:val="24"/>
          <w:color w:val="auto"/>
        </w:rPr>
      </w:pPr>
    </w:p>
    <w:p>
      <w:pPr>
        <w:ind w:firstLine="445"/>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8" w:lineRule="exact"/>
        <w:rPr>
          <w:sz w:val="24"/>
          <w:szCs w:val="24"/>
          <w:color w:val="auto"/>
        </w:rPr>
      </w:pPr>
    </w:p>
    <w:p>
      <w:pPr>
        <w:jc w:val="both"/>
        <w:ind w:right="300" w:firstLine="445"/>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40"/>
        <w:spacing w:after="0" w:line="184" w:lineRule="exact"/>
        <w:tabs>
          <w:tab w:leader="none" w:pos="1980" w:val="left"/>
          <w:tab w:leader="none" w:pos="2620" w:val="left"/>
          <w:tab w:leader="none" w:pos="4200" w:val="left"/>
          <w:tab w:leader="none" w:pos="4720" w:val="left"/>
          <w:tab w:leader="none" w:pos="64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393" w:lineRule="exact"/>
        <w:rPr>
          <w:sz w:val="24"/>
          <w:szCs w:val="24"/>
          <w:color w:val="auto"/>
        </w:rPr>
      </w:pPr>
    </w:p>
    <w:p>
      <w:pPr>
        <w:ind w:firstLine="445"/>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6" w:lineRule="exact"/>
        <w:rPr>
          <w:sz w:val="24"/>
          <w:szCs w:val="24"/>
          <w:color w:val="auto"/>
        </w:rPr>
      </w:pPr>
    </w:p>
    <w:p>
      <w:pPr>
        <w:ind w:left="460"/>
        <w:spacing w:after="0" w:line="196"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As of May 6, 2021, 28,304,208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THE PENNANT GROUP, INC.</w:t>
      </w:r>
    </w:p>
    <w:p>
      <w:pPr>
        <w:spacing w:after="0" w:line="5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540" w:type="dxa"/>
            <w:vAlign w:val="bottom"/>
            <w:gridSpan w:val="10"/>
          </w:tcPr>
          <w:p>
            <w:pPr>
              <w:jc w:val="center"/>
              <w:ind w:right="2300"/>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Financial Information</w:t>
              </w:r>
            </w:hyperlink>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80" w:type="dxa"/>
            <w:vAlign w:val="bottom"/>
            <w:gridSpan w:val="2"/>
          </w:tcPr>
          <w:p>
            <w:pPr>
              <w:spacing w:after="0"/>
              <w:rPr>
                <w:sz w:val="18"/>
                <w:szCs w:val="18"/>
                <w:color w:val="auto"/>
              </w:rPr>
            </w:pPr>
          </w:p>
        </w:tc>
        <w:tc>
          <w:tcPr>
            <w:tcW w:w="372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240" w:type="dxa"/>
            <w:vAlign w:val="bottom"/>
            <w:tcBorders>
              <w:top w:val="single" w:sz="8" w:color="0000FF"/>
            </w:tcBorders>
            <w:gridSpan w:val="5"/>
          </w:tcPr>
          <w:p>
            <w:pPr>
              <w:spacing w:after="0"/>
              <w:rPr>
                <w:sz w:val="18"/>
                <w:szCs w:val="18"/>
                <w:color w:val="auto"/>
              </w:rPr>
            </w:pPr>
          </w:p>
        </w:tc>
        <w:tc>
          <w:tcPr>
            <w:tcW w:w="2300" w:type="dxa"/>
            <w:vAlign w:val="bottom"/>
            <w:gridSpan w:val="5"/>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2021 and December 31, 2020</w:t>
              </w:r>
            </w:hyperlink>
          </w:p>
        </w:tc>
        <w:tc>
          <w:tcPr>
            <w:tcW w:w="1780" w:type="dxa"/>
            <w:vAlign w:val="bottom"/>
            <w:gridSpan w:val="4"/>
          </w:tcPr>
          <w:p>
            <w:pPr>
              <w:jc w:val="center"/>
              <w:ind w:left="15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months ended March 31, 2021 and 2020</w:t>
              </w:r>
            </w:hyperlink>
          </w:p>
        </w:tc>
        <w:tc>
          <w:tcPr>
            <w:tcW w:w="1780" w:type="dxa"/>
            <w:vAlign w:val="bottom"/>
            <w:gridSpan w:val="4"/>
          </w:tcPr>
          <w:p>
            <w:pPr>
              <w:jc w:val="center"/>
              <w:ind w:left="15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Stockholders’ Equity for the three months ended March </w:t>
              </w:r>
            </w:hyperlink>
            <w:r>
              <w:rPr>
                <w:rFonts w:ascii="Arial" w:cs="Arial" w:eastAsia="Arial" w:hAnsi="Arial"/>
                <w:sz w:val="18"/>
                <w:szCs w:val="18"/>
                <w:color w:val="0000FF"/>
                <w:w w:val="89"/>
              </w:rPr>
              <w:t xml:space="preserve">31, </w:t>
            </w:r>
            <w:hyperlink w:anchor="page4">
              <w:r>
                <w:rPr>
                  <w:rFonts w:ascii="Arial" w:cs="Arial" w:eastAsia="Arial" w:hAnsi="Arial"/>
                  <w:sz w:val="18"/>
                  <w:szCs w:val="18"/>
                  <w:color w:val="0000FF"/>
                  <w:w w:val="89"/>
                </w:rPr>
                <w:t xml:space="preserve">2021 and </w:t>
              </w:r>
            </w:hyperlink>
            <w:r>
              <w:rPr>
                <w:rFonts w:ascii="Arial" w:cs="Arial" w:eastAsia="Arial" w:hAnsi="Arial"/>
                <w:sz w:val="18"/>
                <w:szCs w:val="18"/>
                <w:color w:val="0000FF"/>
                <w:w w:val="89"/>
              </w:rPr>
              <w:t>2020</w:t>
            </w:r>
          </w:p>
        </w:tc>
        <w:tc>
          <w:tcPr>
            <w:tcW w:w="1780" w:type="dxa"/>
            <w:vAlign w:val="bottom"/>
            <w:gridSpan w:val="4"/>
          </w:tcPr>
          <w:p>
            <w:pPr>
              <w:jc w:val="center"/>
              <w:ind w:left="153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gridSpan w:val="17"/>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 xml:space="preserve">Condensed Consolidated Statements of Cash Flows for the three months ended March </w:t>
              </w:r>
            </w:hyperlink>
            <w:r>
              <w:rPr>
                <w:rFonts w:ascii="Arial" w:cs="Arial" w:eastAsia="Arial" w:hAnsi="Arial"/>
                <w:sz w:val="18"/>
                <w:szCs w:val="18"/>
                <w:color w:val="0000FF"/>
                <w:w w:val="97"/>
              </w:rPr>
              <w:t xml:space="preserve">31, </w:t>
            </w:r>
            <w:hyperlink w:anchor="page5">
              <w:r>
                <w:rPr>
                  <w:rFonts w:ascii="Arial" w:cs="Arial" w:eastAsia="Arial" w:hAnsi="Arial"/>
                  <w:sz w:val="18"/>
                  <w:szCs w:val="18"/>
                  <w:color w:val="0000FF"/>
                  <w:w w:val="97"/>
                </w:rPr>
                <w:t xml:space="preserve">2021 and </w:t>
              </w:r>
            </w:hyperlink>
            <w:r>
              <w:rPr>
                <w:rFonts w:ascii="Arial" w:cs="Arial" w:eastAsia="Arial" w:hAnsi="Arial"/>
                <w:sz w:val="18"/>
                <w:szCs w:val="18"/>
                <w:color w:val="0000FF"/>
                <w:w w:val="97"/>
              </w:rPr>
              <w:t>2020</w:t>
            </w:r>
          </w:p>
        </w:tc>
        <w:tc>
          <w:tcPr>
            <w:tcW w:w="1780" w:type="dxa"/>
            <w:vAlign w:val="bottom"/>
            <w:gridSpan w:val="4"/>
          </w:tcPr>
          <w:p>
            <w:pPr>
              <w:jc w:val="center"/>
              <w:ind w:left="153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Condensed Consolidated Financial Statements</w:t>
              </w:r>
            </w:hyperlink>
          </w:p>
        </w:tc>
        <w:tc>
          <w:tcPr>
            <w:tcW w:w="680" w:type="dxa"/>
            <w:vAlign w:val="bottom"/>
          </w:tcPr>
          <w:p>
            <w:pPr>
              <w:spacing w:after="0"/>
              <w:rPr>
                <w:sz w:val="18"/>
                <w:szCs w:val="18"/>
                <w:color w:val="auto"/>
              </w:rPr>
            </w:pPr>
          </w:p>
        </w:tc>
        <w:tc>
          <w:tcPr>
            <w:tcW w:w="1780" w:type="dxa"/>
            <w:vAlign w:val="bottom"/>
            <w:gridSpan w:val="4"/>
          </w:tcPr>
          <w:p>
            <w:pPr>
              <w:jc w:val="center"/>
              <w:ind w:left="153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2.</w:t>
              </w:r>
            </w:hyperlink>
          </w:p>
        </w:tc>
        <w:tc>
          <w:tcPr>
            <w:tcW w:w="480" w:type="dxa"/>
            <w:vAlign w:val="bottom"/>
            <w:gridSpan w:val="2"/>
          </w:tcPr>
          <w:p>
            <w:pPr>
              <w:spacing w:after="0"/>
              <w:rPr>
                <w:sz w:val="18"/>
                <w:szCs w:val="18"/>
                <w:color w:val="auto"/>
              </w:rPr>
            </w:pPr>
          </w:p>
        </w:tc>
        <w:tc>
          <w:tcPr>
            <w:tcW w:w="8260" w:type="dxa"/>
            <w:vAlign w:val="bottom"/>
            <w:gridSpan w:val="1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1780" w:type="dxa"/>
            <w:vAlign w:val="bottom"/>
            <w:gridSpan w:val="4"/>
          </w:tcPr>
          <w:p>
            <w:pPr>
              <w:jc w:val="center"/>
              <w:ind w:left="151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3.</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40" w:type="dxa"/>
            <w:vAlign w:val="bottom"/>
            <w:tcBorders>
              <w:top w:val="single" w:sz="8" w:color="0000FF"/>
            </w:tcBorders>
            <w:gridSpan w:val="1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1820" w:type="dxa"/>
            <w:vAlign w:val="bottom"/>
            <w:gridSpan w:val="3"/>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360" w:type="dxa"/>
            <w:vAlign w:val="bottom"/>
          </w:tcPr>
          <w:p>
            <w:pPr>
              <w:spacing w:after="0"/>
              <w:rPr>
                <w:sz w:val="18"/>
                <w:szCs w:val="18"/>
                <w:color w:val="auto"/>
              </w:rPr>
            </w:pPr>
          </w:p>
        </w:tc>
        <w:tc>
          <w:tcPr>
            <w:tcW w:w="4360" w:type="dxa"/>
            <w:vAlign w:val="bottom"/>
            <w:tcBorders>
              <w:top w:val="single" w:sz="8" w:color="0000FF"/>
            </w:tcBorders>
            <w:gridSpan w:val="1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3900" w:type="dxa"/>
            <w:vAlign w:val="bottom"/>
            <w:gridSpan w:val="7"/>
          </w:tcPr>
          <w:p>
            <w:pPr>
              <w:spacing w:after="0"/>
              <w:rPr>
                <w:sz w:val="18"/>
                <w:szCs w:val="18"/>
                <w:color w:val="auto"/>
              </w:rPr>
            </w:pPr>
          </w:p>
        </w:tc>
        <w:tc>
          <w:tcPr>
            <w:tcW w:w="1780" w:type="dxa"/>
            <w:vAlign w:val="bottom"/>
            <w:gridSpan w:val="4"/>
          </w:tcPr>
          <w:p>
            <w:pPr>
              <w:jc w:val="center"/>
              <w:ind w:left="15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540" w:type="dxa"/>
            <w:vAlign w:val="bottom"/>
            <w:gridSpan w:val="10"/>
          </w:tcPr>
          <w:p>
            <w:pPr>
              <w:jc w:val="center"/>
              <w:ind w:right="2300"/>
              <w:spacing w:after="0"/>
              <w:rPr>
                <w:rFonts w:ascii="Arial" w:cs="Arial" w:eastAsia="Arial" w:hAnsi="Arial"/>
                <w:sz w:val="18"/>
                <w:szCs w:val="18"/>
                <w:b w:val="1"/>
                <w:bCs w:val="1"/>
                <w:color w:val="0000FF"/>
                <w:w w:val="96"/>
              </w:rPr>
            </w:pPr>
            <w:hyperlink w:anchor="page39">
              <w:r>
                <w:rPr>
                  <w:rFonts w:ascii="Arial" w:cs="Arial" w:eastAsia="Arial" w:hAnsi="Arial"/>
                  <w:sz w:val="18"/>
                  <w:szCs w:val="18"/>
                  <w:b w:val="1"/>
                  <w:bCs w:val="1"/>
                  <w:color w:val="0000FF"/>
                  <w:w w:val="96"/>
                </w:rPr>
                <w:t>Part II. Other Information</w:t>
              </w:r>
            </w:hyperlink>
          </w:p>
        </w:tc>
        <w:tc>
          <w:tcPr>
            <w:tcW w:w="160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1.</w:t>
              </w:r>
            </w:hyperlink>
          </w:p>
        </w:tc>
        <w:tc>
          <w:tcPr>
            <w:tcW w:w="48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Legal Proceedings</w:t>
              </w:r>
            </w:hyperlink>
          </w:p>
        </w:tc>
        <w:tc>
          <w:tcPr>
            <w:tcW w:w="2480" w:type="dxa"/>
            <w:vAlign w:val="bottom"/>
            <w:gridSpan w:val="4"/>
          </w:tcPr>
          <w:p>
            <w:pPr>
              <w:spacing w:after="0"/>
              <w:rPr>
                <w:sz w:val="18"/>
                <w:szCs w:val="18"/>
                <w:color w:val="auto"/>
              </w:rPr>
            </w:pPr>
          </w:p>
        </w:tc>
        <w:tc>
          <w:tcPr>
            <w:tcW w:w="2040" w:type="dxa"/>
            <w:vAlign w:val="bottom"/>
            <w:tcBorders>
              <w:top w:val="single" w:sz="8" w:color="0000FF"/>
            </w:tcBorders>
            <w:gridSpan w:val="3"/>
          </w:tcPr>
          <w:p>
            <w:pPr>
              <w:spacing w:after="0"/>
              <w:rPr>
                <w:sz w:val="18"/>
                <w:szCs w:val="18"/>
                <w:color w:val="auto"/>
              </w:rPr>
            </w:pPr>
          </w:p>
        </w:tc>
        <w:tc>
          <w:tcPr>
            <w:tcW w:w="2400" w:type="dxa"/>
            <w:vAlign w:val="bottom"/>
            <w:gridSpan w:val="6"/>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82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1780" w:type="dxa"/>
            <w:vAlign w:val="bottom"/>
            <w:gridSpan w:val="4"/>
          </w:tcPr>
          <w:p>
            <w:pPr>
              <w:jc w:val="center"/>
              <w:ind w:left="15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6.</w:t>
              </w:r>
            </w:hyperlink>
          </w:p>
        </w:tc>
        <w:tc>
          <w:tcPr>
            <w:tcW w:w="12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0000FF"/>
            </w:tcBorders>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7360" w:type="dxa"/>
            <w:vAlign w:val="bottom"/>
            <w:gridSpan w:val="14"/>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00" w:type="dxa"/>
            <w:vAlign w:val="bottom"/>
            <w:gridSpan w:val="1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60" w:type="dxa"/>
            <w:vAlign w:val="bottom"/>
            <w:gridSpan w:val="1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1780" w:type="dxa"/>
            <w:vAlign w:val="bottom"/>
            <w:gridSpan w:val="4"/>
          </w:tcPr>
          <w:p>
            <w:pPr>
              <w:jc w:val="center"/>
              <w:ind w:left="151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180" w:type="dxa"/>
            <w:vAlign w:val="bottom"/>
          </w:tcPr>
          <w:p>
            <w:pPr>
              <w:spacing w:after="0"/>
              <w:rPr>
                <w:sz w:val="18"/>
                <w:szCs w:val="18"/>
                <w:color w:val="auto"/>
              </w:rPr>
            </w:pPr>
          </w:p>
        </w:tc>
      </w:tr>
      <w:tr>
        <w:trPr>
          <w:trHeight w:val="1675"/>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I.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par value)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Accounts receivable—less allowance for doubtful accounts of $861 and $643, respectively</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47,221</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59,599</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17,884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Escrow deposits</w:t>
            </w:r>
          </w:p>
        </w:tc>
        <w:tc>
          <w:tcPr>
            <w:tcW w:w="26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Restricted and other assets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66,444</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indefinite-lived intangibles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47,488</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506,976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wages and related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Operating lease liabilities—current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23"/>
        </w:trPr>
        <w:tc>
          <w:tcPr>
            <w:tcW w:w="71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89,015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liabilities—less current portion</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296,615</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11,897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405,804</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Common stock, $0.001 par value; 100,000 shares authorized; 28,720 and 28,277 shares issued</w:t>
            </w: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and outstanding at March 31, 2021, respectively, and 28,696 and 28,243 shares issued and</w:t>
            </w:r>
          </w:p>
        </w:tc>
        <w:tc>
          <w:tcPr>
            <w:tcW w:w="26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2020, respectively.</w:t>
            </w:r>
          </w:p>
        </w:tc>
        <w:tc>
          <w:tcPr>
            <w:tcW w:w="26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87,305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84,671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 3 shares at March 31, 2021 and December 31, 2020</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Pennant Group, Inc.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96,579</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101,172</w:t>
            </w:r>
          </w:p>
        </w:tc>
        <w:tc>
          <w:tcPr>
            <w:tcW w:w="0" w:type="dxa"/>
            <w:vAlign w:val="bottom"/>
          </w:tcPr>
          <w:p>
            <w:pPr>
              <w:spacing w:after="0"/>
              <w:rPr>
                <w:sz w:val="1"/>
                <w:szCs w:val="1"/>
                <w:color w:val="auto"/>
              </w:rPr>
            </w:pP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506,976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for per-share amounts)</w:t>
      </w:r>
    </w:p>
    <w:p>
      <w:pPr>
        <w:spacing w:after="0" w:line="200" w:lineRule="exact"/>
        <w:rPr>
          <w:sz w:val="20"/>
          <w:szCs w:val="20"/>
          <w:color w:val="auto"/>
        </w:rPr>
      </w:pPr>
    </w:p>
    <w:p>
      <w:pPr>
        <w:spacing w:after="0" w:line="31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7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91,849</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70,189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Rent—cost of services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87,577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and other comprehensive income attributable to The Pennant Group,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78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27,891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29,873</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8" w:right="4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9"/>
          </w:tcPr>
          <w:p>
            <w:pPr>
              <w:jc w:val="right"/>
              <w:ind w:right="460"/>
              <w:spacing w:after="0"/>
              <w:rPr>
                <w:sz w:val="20"/>
                <w:szCs w:val="20"/>
                <w:color w:val="auto"/>
              </w:rPr>
            </w:pPr>
            <w:r>
              <w:rPr>
                <w:rFonts w:ascii="Arial" w:cs="Arial" w:eastAsia="Arial" w:hAnsi="Arial"/>
                <w:sz w:val="16"/>
                <w:szCs w:val="16"/>
                <w:b w:val="1"/>
                <w:bCs w:val="1"/>
                <w:color w:val="auto"/>
                <w:w w:val="98"/>
              </w:rPr>
              <w:t>Common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vMerge w:val="restart"/>
          </w:tcPr>
          <w:p>
            <w:pPr>
              <w:jc w:val="right"/>
              <w:ind w:right="28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5"/>
          </w:tcPr>
          <w:p>
            <w:pPr>
              <w:ind w:left="28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8"/>
                <w:szCs w:val="18"/>
                <w:color w:val="auto"/>
              </w:rPr>
            </w:pP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Retained</w:t>
            </w:r>
          </w:p>
        </w:tc>
        <w:tc>
          <w:tcPr>
            <w:tcW w:w="1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vMerge w:val="restart"/>
          </w:tcPr>
          <w:p>
            <w:pPr>
              <w:jc w:val="right"/>
              <w:ind w:right="300"/>
              <w:spacing w:after="0"/>
              <w:rPr>
                <w:sz w:val="20"/>
                <w:szCs w:val="20"/>
                <w:color w:val="auto"/>
              </w:rPr>
            </w:pPr>
            <w:r>
              <w:rPr>
                <w:rFonts w:ascii="Arial" w:cs="Arial" w:eastAsia="Arial" w:hAnsi="Arial"/>
                <w:sz w:val="16"/>
                <w:szCs w:val="16"/>
                <w:b w:val="1"/>
                <w:bCs w:val="1"/>
                <w:color w:val="auto"/>
                <w:w w:val="89"/>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vMerge w:val="restart"/>
          </w:tcPr>
          <w:p>
            <w:pPr>
              <w:jc w:val="right"/>
              <w:ind w:right="240"/>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1060" w:type="dxa"/>
            <w:vAlign w:val="bottom"/>
            <w:gridSpan w:val="3"/>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101,172</w:t>
            </w:r>
          </w:p>
        </w:tc>
        <w:tc>
          <w:tcPr>
            <w:tcW w:w="0" w:type="dxa"/>
            <w:vAlign w:val="bottom"/>
          </w:tcPr>
          <w:p>
            <w:pPr>
              <w:spacing w:after="0"/>
              <w:rPr>
                <w:sz w:val="1"/>
                <w:szCs w:val="1"/>
                <w:color w:val="auto"/>
              </w:rPr>
            </w:pPr>
          </w:p>
        </w:tc>
      </w:tr>
      <w:tr>
        <w:trPr>
          <w:trHeight w:val="166"/>
        </w:trPr>
        <w:tc>
          <w:tcPr>
            <w:tcW w:w="29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Net income attributable to The Pennant</w:t>
            </w:r>
          </w:p>
        </w:tc>
        <w:tc>
          <w:tcPr>
            <w:tcW w:w="100" w:type="dxa"/>
            <w:vAlign w:val="bottom"/>
          </w:tcPr>
          <w:p>
            <w:pPr>
              <w:spacing w:after="0"/>
              <w:rPr>
                <w:sz w:val="14"/>
                <w:szCs w:val="14"/>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9"/>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Group, Inc.</w:t>
            </w:r>
          </w:p>
        </w:tc>
        <w:tc>
          <w:tcPr>
            <w:tcW w:w="10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Net loss attributable to Non-Controlling</w:t>
            </w:r>
          </w:p>
        </w:tc>
        <w:tc>
          <w:tcPr>
            <w:tcW w:w="10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169"/>
        </w:trPr>
        <w:tc>
          <w:tcPr>
            <w:tcW w:w="29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1"/>
              </w:rPr>
              <w:t>Issuance/ (cancellation) of restricted stock</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28,720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87,305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104,719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9"/>
          </w:tcPr>
          <w:p>
            <w:pPr>
              <w:jc w:val="right"/>
              <w:ind w:right="260"/>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24"/>
                <w:szCs w:val="24"/>
                <w:color w:val="auto"/>
              </w:rPr>
            </w:pPr>
          </w:p>
        </w:tc>
        <w:tc>
          <w:tcPr>
            <w:tcW w:w="1820" w:type="dxa"/>
            <w:vAlign w:val="bottom"/>
            <w:gridSpan w:val="5"/>
          </w:tcPr>
          <w:p>
            <w:pPr>
              <w:ind w:left="34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3"/>
            <w:vMerge w:val="restart"/>
          </w:tcPr>
          <w:p>
            <w:pPr>
              <w:ind w:left="20"/>
              <w:spacing w:after="0" w:line="122"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20"/>
              <w:spacing w:after="0" w:line="12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280"/>
              <w:spacing w:after="0" w:line="16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(Accumulated</w:t>
            </w:r>
          </w:p>
        </w:tc>
        <w:tc>
          <w:tcPr>
            <w:tcW w:w="100" w:type="dxa"/>
            <w:vAlign w:val="bottom"/>
          </w:tcPr>
          <w:p>
            <w:pPr>
              <w:spacing w:after="0"/>
              <w:rPr>
                <w:sz w:val="14"/>
                <w:szCs w:val="14"/>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1060" w:type="dxa"/>
            <w:vAlign w:val="bottom"/>
            <w:gridSpan w:val="3"/>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Deficit)</w:t>
            </w: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28,435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74,882</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(3,799)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71,111</w:t>
            </w:r>
          </w:p>
        </w:tc>
        <w:tc>
          <w:tcPr>
            <w:tcW w:w="0" w:type="dxa"/>
            <w:vAlign w:val="bottom"/>
          </w:tcPr>
          <w:p>
            <w:pPr>
              <w:spacing w:after="0"/>
              <w:rPr>
                <w:sz w:val="1"/>
                <w:szCs w:val="1"/>
                <w:color w:val="auto"/>
              </w:rPr>
            </w:pPr>
          </w:p>
        </w:tc>
      </w:tr>
      <w:tr>
        <w:trPr>
          <w:trHeight w:val="166"/>
        </w:trPr>
        <w:tc>
          <w:tcPr>
            <w:tcW w:w="29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Net income attributable to The Pennant</w:t>
            </w:r>
          </w:p>
        </w:tc>
        <w:tc>
          <w:tcPr>
            <w:tcW w:w="100" w:type="dxa"/>
            <w:vAlign w:val="bottom"/>
          </w:tcPr>
          <w:p>
            <w:pPr>
              <w:spacing w:after="0"/>
              <w:rPr>
                <w:sz w:val="14"/>
                <w:szCs w:val="14"/>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2,980</w:t>
            </w:r>
          </w:p>
        </w:tc>
        <w:tc>
          <w:tcPr>
            <w:tcW w:w="10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3"/>
            <w:vMerge w:val="restart"/>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9"/>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Group, Inc.</w:t>
            </w:r>
          </w:p>
        </w:tc>
        <w:tc>
          <w:tcPr>
            <w:tcW w:w="10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166"/>
        </w:trPr>
        <w:tc>
          <w:tcPr>
            <w:tcW w:w="296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2"/>
              </w:rPr>
              <w:t>Issuance of common stock from the exercise</w:t>
            </w:r>
          </w:p>
        </w:tc>
        <w:tc>
          <w:tcPr>
            <w:tcW w:w="800" w:type="dxa"/>
            <w:vAlign w:val="bottom"/>
            <w:gridSpan w:val="4"/>
            <w:vMerge w:val="restart"/>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3"/>
            <w:vMerge w:val="restart"/>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9"/>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of stock options</w:t>
            </w:r>
          </w:p>
        </w:tc>
        <w:tc>
          <w:tcPr>
            <w:tcW w:w="80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Issuance/ (cancellation) of restricted stock</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28,476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76,976</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76,185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10"/>
        </w:trPr>
        <w:tc>
          <w:tcPr>
            <w:tcW w:w="8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19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913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2,980</w:t>
            </w: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1,021</w:t>
            </w: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(3,664)</w:t>
            </w:r>
          </w:p>
        </w:tc>
      </w:tr>
      <w:tr>
        <w:trPr>
          <w:trHeight w:val="219"/>
        </w:trPr>
        <w:tc>
          <w:tcPr>
            <w:tcW w:w="8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Operating lease obligations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2,091</w:t>
            </w:r>
          </w:p>
        </w:tc>
      </w:tr>
      <w:tr>
        <w:trPr>
          <w:trHeight w:val="219"/>
        </w:trPr>
        <w:tc>
          <w:tcPr>
            <w:tcW w:w="8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Accrued wages and related liabilities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(3,408)</w:t>
            </w:r>
          </w:p>
        </w:tc>
      </w:tr>
      <w:tr>
        <w:trPr>
          <w:trHeight w:val="219"/>
        </w:trPr>
        <w:tc>
          <w:tcPr>
            <w:tcW w:w="8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r>
      <w:tr>
        <w:trPr>
          <w:trHeight w:val="213"/>
        </w:trPr>
        <w:tc>
          <w:tcPr>
            <w:tcW w:w="8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w:t>
            </w:r>
          </w:p>
        </w:tc>
      </w:tr>
      <w:tr>
        <w:trPr>
          <w:trHeight w:val="193"/>
        </w:trPr>
        <w:tc>
          <w:tcPr>
            <w:tcW w:w="82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w:t>
            </w: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Cash payments for business acquisitions, net of escrow</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(2,968)</w:t>
            </w: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Escrow deposits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13"/>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2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(6,772)</w:t>
            </w:r>
          </w:p>
        </w:tc>
      </w:tr>
      <w:tr>
        <w:trPr>
          <w:trHeight w:val="193"/>
        </w:trPr>
        <w:tc>
          <w:tcPr>
            <w:tcW w:w="82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revolver agreement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23,500</w:t>
            </w: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Payments on revolver agreement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(14,500)</w:t>
            </w: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deferred financing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Issuance of common stock upon the exercise of options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82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9,112</w:t>
            </w:r>
          </w:p>
        </w:tc>
      </w:tr>
      <w:tr>
        <w:trPr>
          <w:trHeight w:val="207"/>
        </w:trPr>
        <w:tc>
          <w:tcPr>
            <w:tcW w:w="8200" w:type="dxa"/>
            <w:vAlign w:val="bottom"/>
          </w:tcPr>
          <w:p>
            <w:pPr>
              <w:ind w:left="20"/>
              <w:spacing w:after="0"/>
              <w:rPr>
                <w:sz w:val="20"/>
                <w:szCs w:val="20"/>
                <w:color w:val="auto"/>
              </w:rPr>
            </w:pPr>
            <w:r>
              <w:rPr>
                <w:rFonts w:ascii="Arial" w:cs="Arial" w:eastAsia="Arial" w:hAnsi="Arial"/>
                <w:sz w:val="16"/>
                <w:szCs w:val="16"/>
                <w:color w:val="auto"/>
              </w:rPr>
              <w:t>Net increase in cash</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4,430</w:t>
            </w: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Cash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4,832</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Cash paid during the period for:</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24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140"/>
              <w:spacing w:after="0"/>
              <w:rPr>
                <w:sz w:val="20"/>
                <w:szCs w:val="20"/>
                <w:color w:val="auto"/>
              </w:rPr>
            </w:pPr>
            <w:r>
              <w:rPr>
                <w:rFonts w:ascii="Arial" w:cs="Arial" w:eastAsia="Arial" w:hAnsi="Arial"/>
                <w:sz w:val="16"/>
                <w:szCs w:val="16"/>
                <w:color w:val="auto"/>
              </w:rPr>
              <w:t>Right-of-use assets obtained in exchange for new operating lease obligations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non-cash adjustment to right-of-use assets and lease liabilities from lease modifications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Non-cash investing activity: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operational senior living units)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March 31, 2021, the Company’s subsidiaries operated 80 home health, hospice and home care agencies and 54 senior living communities located in Arizona, California, Colorado, Idaho, Iowa, Montana, Nevada, Oklahoma, Oregon, Texas, Utah, Washington, Wisconsin and Wyoming.</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1, 2019, The Ensign Group, Inc. (NASDAQ: ENSG) (“Ensign” or the “Parent”) completed the separation of Pennant (the “Spin-Off”). To accomplish the Spin-Off, Ensign contributed all of its home health and hospice and substantially all of its senior living businesses into Pennant. Each Ensign stockholder received a distribution of one share of Pennant’s common stock for every two shares of Ensign’s common stock, plus cash in lieu of fractional shares. The noncontrolling interest was converted into shares of Pennant at the established conversion ratio. As a result of the Spin-Off on October 1, 2019, Pennant began trading as an independent company on the NASDAQ under the symbol “PNTG.”</w:t>
      </w:r>
    </w:p>
    <w:p>
      <w:pPr>
        <w:spacing w:after="0" w:line="13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unaudited condensed consolidated financial statements of the Company (the “Interim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Condensed Consolidated Balance Sheet as of December 31, 2020 is derived from the Company’s annual audited Consolidated Financial Statements for the fiscal year ended December 31, 2020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Pennant Group, Inc. and the noncontrolling interest in its condensed consolidated Statements of Income.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Estimates and Assumptions - </w:t>
      </w:r>
      <w:r>
        <w:rPr>
          <w:rFonts w:ascii="Arial" w:cs="Arial" w:eastAsia="Arial" w:hAnsi="Arial"/>
          <w:sz w:val="17"/>
          <w:szCs w:val="17"/>
          <w:color w:val="auto"/>
        </w:rPr>
        <w:t>The preparation of the Interim Financial Statements in conformity with GAAP requires management to make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revenue, intangible assets and goodwill, right-of-use assets and lease liabilities for leases greater than 12 months, self-insurance reserves, and income taxes. Actual results could differ from those estimates.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CARES Act</w:t>
      </w:r>
      <w:r>
        <w:rPr>
          <w:rFonts w:ascii="Arial" w:cs="Arial" w:eastAsia="Arial" w:hAnsi="Arial"/>
          <w:sz w:val="18"/>
          <w:szCs w:val="18"/>
          <w:color w:val="auto"/>
        </w:rPr>
        <w:t>: The Coronavirus Aid, Relief, and Economic Security Act (the “CARES Act”) was enacted on March 27, 2020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CARES Act allowed for deferred payment of the employer-paid portion of social security taxes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the end of 2020, with 50% due on December 31, 2021 and the remainder due on December 31, 2022. As of March 31, 2021, the Company deferred approximately $7,836 of the employer-paid portion of social security taxes, of which $3,918 is included in other long-term liabilities and the current portion of $3,918 in accrued wages and related liabilities. The CARES Act also expanded the Centers for Medicare &amp; Medicaid Services’ (“CMS”) ability to provide accelerated/advance payments intended to increase the cash flow of healthcare providers and suppliers impacted by COVID-19. During the prior year the Company applied for and received $27,997 in funds under the Accelerated and Advance Payment (“AAP”) Program see Note 10, </w:t>
      </w:r>
      <w:r>
        <w:rPr>
          <w:rFonts w:ascii="Arial" w:cs="Arial" w:eastAsia="Arial" w:hAnsi="Arial"/>
          <w:sz w:val="18"/>
          <w:szCs w:val="18"/>
          <w:i w:val="1"/>
          <w:iCs w:val="1"/>
          <w:color w:val="auto"/>
        </w:rPr>
        <w:t>Other Accrued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for further discussion of the AAP.</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American Rescue Plan Act of 2021 (the “ARP Act”) was enacted on March 11, 2021 in the United States. The ARP Act was designed to assist the country with the effects of the COVID-19 pandemic and included a number of tax components. The ARP Act’s primary tax impact on the Company is a new revenue raising provision that requires the Company to include the next five highest paid employees to the list of covered officers already subject to the IRC Section 162(m) wage limitation beginning in the 2027 tax year. The Company will continue to assess the effect of the ARP Act and ongoing other government legislation related to the COVID-19 pandemic that may be issued.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 by the Company</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FASB Accounting Standards Update, or ASU, ASU 2021-01 “Reference Rate Reform (Topic 848): Scope” or ASU 2020-4 - </w:t>
      </w:r>
      <w:r>
        <w:rPr>
          <w:rFonts w:ascii="Arial" w:cs="Arial" w:eastAsia="Arial" w:hAnsi="Arial"/>
          <w:sz w:val="16"/>
          <w:szCs w:val="16"/>
          <w:color w:val="auto"/>
        </w:rPr>
        <w:t>On January 7, 2021,</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issued ASU 2021-01 to amend the scope of the guidance in ASU 2020-04 “Reference Rate Reform (Topic 848): Facilitation of the Effects of Reference Rate Reform on Financial Reporting” or ASU 2020-4. Specifically, the amendments in ASU 2021-01 clarify that “certain optional expedients and exceptions in Topic 848 for contract modifications and hedge accounting apply to derivatives that are affected by the discounting transition.” The amendment in ASU 2021-1 is available to all entities: (i) on a full retrospective basis as of any date from the beginning of an interim period that includes or is subsequent to March 12, 2020 through the date that the final update to the standard was issued or (ii) on a prospective basis for new contract modifications through December 31, 2022. The Company has adopted ASU 2021-01 on a prospective basis effective as of January 7, 2021. There was no material impact to the Company’s Interim Financial Statements or related disclosures as a result of the adoption of ASU 2021-01.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leases 31 of its senior living communities from subsidiaries of Ensign, each of the leases have a term of between 14 and 20 years from the lease commencement date. The total amount of rent expense included in Rent - cost of services paid to subsidiaries of Ensign was $3,073 and $3,101 for the three months ended March 31, 2021 and 2020, respectively.</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subsidiaries received services from Ensign’s subsidiaries. Services included in cost of services were $868 and $1,022 for the three months ended March 31,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activity with Ensign</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 2019, in connection with the Spin-Off, Pennant entered into several agreements with Ensign that set forth the principal actions taken or to be taken in connection with the Spin-Off and govern the relationship of the parties following the Spin-Off. The Company has incurred $988 and $1,336 in costs, net of the Company’s payroll reimbursement, related primarily to administrative support under the Transitions Services Agreement for the three months ended March 31, 2021 and 2020,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COMPUTATION OF NET INCOME PER COMMON SHARE</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income per share is computed by dividing income from net income attributable to stockholders of The Pennant Group, Inc.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following table sets forth the computation of basic and diluted net income per share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23"/>
        </w:trPr>
        <w:tc>
          <w:tcPr>
            <w:tcW w:w="8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0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2,980</w:t>
            </w:r>
          </w:p>
        </w:tc>
      </w:tr>
      <w:tr>
        <w:trPr>
          <w:trHeight w:val="229"/>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net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40" w:type="dxa"/>
            <w:vAlign w:val="bottom"/>
          </w:tcPr>
          <w:p>
            <w:pPr>
              <w:ind w:left="480"/>
              <w:spacing w:after="0"/>
              <w:rPr>
                <w:sz w:val="20"/>
                <w:szCs w:val="20"/>
                <w:color w:val="auto"/>
              </w:rPr>
            </w:pPr>
            <w:r>
              <w:rPr>
                <w:rFonts w:ascii="Arial" w:cs="Arial" w:eastAsia="Arial" w:hAnsi="Arial"/>
                <w:sz w:val="18"/>
                <w:szCs w:val="18"/>
                <w:color w:val="auto"/>
              </w:rPr>
              <w:t>Net income attributable to The Pennant Group,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for basic net income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27,891</w:t>
            </w:r>
          </w:p>
        </w:tc>
      </w:tr>
      <w:tr>
        <w:trPr>
          <w:trHeight w:val="229"/>
        </w:trPr>
        <w:tc>
          <w:tcPr>
            <w:tcW w:w="86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w w:val="91"/>
              </w:rPr>
              <w:t>Plus: assumed incremental shares from exercise of options and assumed conversion or vesting of restricted stock</w:t>
            </w:r>
            <w:r>
              <w:rPr>
                <w:rFonts w:ascii="Arial" w:cs="Arial" w:eastAsia="Arial" w:hAnsi="Arial"/>
                <w:sz w:val="23"/>
                <w:szCs w:val="23"/>
                <w:color w:val="auto"/>
                <w:w w:val="91"/>
                <w:vertAlign w:val="superscript"/>
              </w:rPr>
              <w:t>(a)</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r>
      <w:tr>
        <w:trPr>
          <w:trHeight w:val="223"/>
        </w:trPr>
        <w:tc>
          <w:tcPr>
            <w:tcW w:w="8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 weighted average common shares outstanding for diluted income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29,873</w:t>
            </w:r>
          </w:p>
        </w:tc>
      </w:tr>
      <w:tr>
        <w:trPr>
          <w:trHeight w:val="270"/>
        </w:trPr>
        <w:tc>
          <w:tcPr>
            <w:tcW w:w="8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640" w:type="dxa"/>
            <w:vAlign w:val="bottom"/>
          </w:tcPr>
          <w:p>
            <w:pPr>
              <w:ind w:left="140"/>
              <w:spacing w:after="0"/>
              <w:rPr>
                <w:sz w:val="20"/>
                <w:szCs w:val="20"/>
                <w:color w:val="auto"/>
              </w:rPr>
            </w:pPr>
            <w:r>
              <w:rPr>
                <w:rFonts w:ascii="Arial" w:cs="Arial" w:eastAsia="Arial" w:hAnsi="Arial"/>
                <w:sz w:val="18"/>
                <w:szCs w:val="18"/>
                <w:color w:val="auto"/>
              </w:rPr>
              <w:t>Basic net income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29"/>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net income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bl>
    <w:p>
      <w:pPr>
        <w:spacing w:after="0" w:line="373" w:lineRule="exact"/>
        <w:rPr>
          <w:sz w:val="20"/>
          <w:szCs w:val="20"/>
          <w:color w:val="auto"/>
        </w:rPr>
      </w:pPr>
    </w:p>
    <w:p>
      <w:pPr>
        <w:jc w:val="both"/>
        <w:ind w:left="480" w:right="20" w:hanging="454"/>
        <w:spacing w:after="0" w:line="224" w:lineRule="auto"/>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calculation of dilutive shares outstanding excludes out-of-the-money stock options (i.e., such options’ exercise prices were greater than the average market price of our common shares for the period) because their inclusion would have been antidilutive. Options outstanding which are anti-dilutive and therefore not factored into the weighted average common shares amount above were immaterial for the three months ended March 31, 2021 and 2020.</w:t>
      </w:r>
    </w:p>
    <w:p>
      <w:pPr>
        <w:spacing w:after="0" w:line="200" w:lineRule="exact"/>
        <w:rPr>
          <w:rFonts w:ascii="Arial" w:cs="Arial" w:eastAsia="Arial" w:hAnsi="Arial"/>
          <w:sz w:val="14"/>
          <w:szCs w:val="14"/>
          <w:color w:val="auto"/>
        </w:rPr>
      </w:pPr>
    </w:p>
    <w:p>
      <w:pPr>
        <w:spacing w:after="0" w:line="335" w:lineRule="exact"/>
        <w:rPr>
          <w:rFonts w:ascii="Arial" w:cs="Arial" w:eastAsia="Arial" w:hAnsi="Arial"/>
          <w:sz w:val="14"/>
          <w:szCs w:val="14"/>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ACCOUNTS RECEIVABLE</w:t>
      </w:r>
    </w:p>
    <w:p>
      <w:pPr>
        <w:spacing w:after="0" w:line="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is recognized when services are provided to the patients at the amount that reflects the consideration to which the Company expects to be entitled from patients and third-party payors, including Medicaid, Medicare and insurers (private, Medicare Advantage and Medicare replacement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0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from the Medicare and Medicaid programs accounted for 64.0% of the Company’s revenue, for the three months ended March 31, 2021, and 57.9% for the three months ended March 31, 2020,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Health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Revenue</w:t>
      </w:r>
    </w:p>
    <w:p>
      <w:pPr>
        <w:spacing w:after="0" w:line="25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For Medicare episodes that began after January 1, 2020, net service revenue is recognized in accordance with the Patient Driven Groupings Model (“PDGM”). This new reimbursement structure involves case mix calculation methodology refinements, changes to low-utilization payment adjustment (“LUPA”) thresholds, the elimination of therapy thresholds, a change to the unit of payment from a 60-day episode to a 30-day payment period, and reduction of requests for anticipated payments (“RAPs”) to 20% of the estimated payment for a patient’s initial or subsequent period of care up-front (after the initial assessment is completed and upon initial billing). The RAPs were phased out effective January 1, 2021.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LUPA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w:t>
      </w:r>
    </w:p>
    <w:p>
      <w:pPr>
        <w:spacing w:after="0" w:line="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to the acuity of the patient during the previous 30-day payment period; (f) changes in the base payments established by the Medicare program;</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adjustments to the base payments for case mix and geographic wages; and (h) recoveries of overpayments.</w:t>
      </w:r>
    </w:p>
    <w:p>
      <w:pPr>
        <w:spacing w:after="0" w:line="2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all episodes that began prior to January 1, 2020, net service revenue was recorded under the Medicare prospective payment system based on a 60-day episode payment rate that is subject to adjustment based on certain variables including, but not limited to: (a) an outlier payment if the patient’s care was unusually costly; (b) a LUPA if the number of visits was fewer than five; (c) a partial payment if the patient transferred to another provider or transferred from another provider before completing the episode; (d) a payment adjustment based upon the level of covered therapy services; (e) the number of episodes of care provided to a patient, regardless of whether the same home health provider provided care for the entire series of episodes;</w:t>
      </w:r>
    </w:p>
    <w:p>
      <w:pPr>
        <w:spacing w:after="0" w:line="2" w:lineRule="exact"/>
        <w:rPr>
          <w:sz w:val="20"/>
          <w:szCs w:val="20"/>
          <w:color w:val="auto"/>
        </w:rPr>
      </w:pPr>
    </w:p>
    <w:p>
      <w:pPr>
        <w:ind w:firstLine="8"/>
        <w:spacing w:after="0" w:line="260" w:lineRule="auto"/>
        <w:tabs>
          <w:tab w:leader="none" w:pos="231"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base episode payments established by the Medicare program; (g) adjustments to the base episode payments for case mix and geographic wages; and (h) recoveries of overpayments.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revenue recognized on completed episodes and periods, the Company also recognizes a portion of revenue associated with episodes and periods in progress. Episodes in progress are 30-day payment periods, if the episode started after January 1, 2020, or 60-day episodes of care, if the episode started prior to January 1, 2020,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Non-Medicare Revenue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Episodic Based Revenue - </w:t>
      </w:r>
      <w:r>
        <w:rPr>
          <w:rFonts w:ascii="Arial" w:cs="Arial" w:eastAsia="Arial" w:hAnsi="Arial"/>
          <w:sz w:val="17"/>
          <w:szCs w:val="17"/>
          <w:color w:val="auto"/>
        </w:rPr>
        <w:t>The Company recognizes revenue in a similar manner as it recognizes Medicare revenue for episodic-based rates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paid by other insurance carriers, including Medicare Advantage programs. These rates can vary based upon the negotiated terms.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Non-episodic Based Revenue - </w:t>
      </w:r>
      <w:r>
        <w:rPr>
          <w:rFonts w:ascii="Arial" w:cs="Arial" w:eastAsia="Arial" w:hAnsi="Arial"/>
          <w:sz w:val="18"/>
          <w:szCs w:val="18"/>
          <w:color w:val="auto"/>
        </w:rPr>
        <w:t>Revenue is recognized on an accrual basis based upon the date of service at amounts equal to its established 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per visit rates,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Revenue</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Living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has elected the lessor practical expedient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for its senior residency agreements, for which it has determined that the non-lease components of such residency agreements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component of each such contract.</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By Payor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three months ended March 31, 2021 and 2020,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100"/>
              <w:spacing w:after="0"/>
              <w:rPr>
                <w:sz w:val="20"/>
                <w:szCs w:val="20"/>
                <w:color w:val="auto"/>
              </w:rPr>
            </w:pPr>
            <w:r>
              <w:rPr>
                <w:rFonts w:ascii="Arial" w:cs="Arial" w:eastAsia="Arial" w:hAnsi="Arial"/>
                <w:sz w:val="18"/>
                <w:szCs w:val="18"/>
                <w:b w:val="1"/>
                <w:bCs w:val="1"/>
                <w:color w:val="auto"/>
              </w:rPr>
              <w:t>Three Months Ended March 31, 2021</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20,330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53,739</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13,853</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36,134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67,592</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26,982</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1100"/>
              <w:spacing w:after="0"/>
              <w:rPr>
                <w:sz w:val="20"/>
                <w:szCs w:val="20"/>
                <w:color w:val="auto"/>
              </w:rPr>
            </w:pPr>
            <w:r>
              <w:rPr>
                <w:rFonts w:ascii="Arial" w:cs="Arial" w:eastAsia="Arial" w:hAnsi="Arial"/>
                <w:sz w:val="18"/>
                <w:szCs w:val="18"/>
                <w:b w:val="1"/>
                <w:bCs w:val="1"/>
                <w:color w:val="auto"/>
              </w:rPr>
              <w:t>Three Months Ended March 31, 2020</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39,256</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53,208</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31,109</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Impact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As of March 31, 2021, the Company had contract liabilities in the amount of $27,997 related to Advance Payments received in connection with the CARES Act reported in other current liabilities. As further discussed in Note 10,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the repayment terms for Medicare advance payments were modified through the passage of the Continuing Appropriations Act,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Extensions Act on October 1, 2020.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as of March 31, 2021 and December 31, 2020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December 31, 2020</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82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28,569</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Medicaid</w:t>
            </w:r>
          </w:p>
        </w:tc>
        <w:tc>
          <w:tcPr>
            <w:tcW w:w="1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7,669</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1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 and other</w:t>
            </w:r>
          </w:p>
        </w:tc>
        <w:tc>
          <w:tcPr>
            <w:tcW w:w="1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gross</w:t>
            </w:r>
          </w:p>
        </w:tc>
        <w:tc>
          <w:tcPr>
            <w:tcW w:w="1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47,864</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1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820" w:type="dxa"/>
            <w:vAlign w:val="bottom"/>
            <w:tcBorders>
              <w:bottom w:val="single" w:sz="8" w:color="auto"/>
            </w:tcBorders>
            <w:shd w:val="clear" w:color="auto" w:fill="CCEEFF"/>
          </w:tcPr>
          <w:p>
            <w:pPr>
              <w:jc w:val="right"/>
              <w:ind w:right="16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Arial" w:cs="Arial" w:eastAsia="Arial" w:hAnsi="Arial"/>
          <w:sz w:val="16"/>
          <w:szCs w:val="16"/>
          <w:i w:val="1"/>
          <w:iCs w:val="1"/>
          <w:color w:val="auto"/>
        </w:rPr>
        <w:t>Other Assets and Deferred Costs</w:t>
      </w:r>
      <w:r>
        <w:rPr>
          <w:rFonts w:ascii="Arial" w:cs="Arial" w:eastAsia="Arial" w:hAnsi="Arial"/>
          <w:sz w:val="16"/>
          <w:szCs w:val="16"/>
          <w:color w:val="auto"/>
        </w:rPr>
        <w:t xml:space="preserve"> (“ASC 340”), and all incremental customer contract acquisition costs are expensed as they are incurred because the amortization period would have been one year or less.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5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the Company provided services through 80 affiliated home health, hospice and home care agencies, and 54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1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and (5) net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8"/>
          <w:szCs w:val="18"/>
          <w:color w:val="auto"/>
        </w:rPr>
        <w:t>The following table presents certain financial information regarding our reportable segments, general and administrative expenses are not allocated to the reportable segments and are included in “All Other” for the three months ended March 31, 2021 and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Hospice Services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74,607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105,663</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91,849</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12,397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17,344</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table provides a reconciliation of Segment Adjusted EBITDAR from Operations to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23"/>
        </w:trPr>
        <w:tc>
          <w:tcPr>
            <w:tcW w:w="8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16,227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17,344</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9"/>
        </w:trPr>
        <w:tc>
          <w:tcPr>
            <w:tcW w:w="8640" w:type="dxa"/>
            <w:vAlign w:val="bottom"/>
          </w:tcPr>
          <w:p>
            <w:pPr>
              <w:ind w:left="480"/>
              <w:spacing w:after="0"/>
              <w:rPr>
                <w:sz w:val="20"/>
                <w:szCs w:val="20"/>
                <w:color w:val="auto"/>
              </w:rPr>
            </w:pPr>
            <w:r>
              <w:rPr>
                <w:rFonts w:ascii="Arial" w:cs="Arial" w:eastAsia="Arial" w:hAnsi="Arial"/>
                <w:sz w:val="18"/>
                <w:szCs w:val="18"/>
                <w:color w:val="auto"/>
              </w:rPr>
              <w:t>Rent—cost of services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9,706</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640" w:type="dxa"/>
            <w:vAlign w:val="bottom"/>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86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29"/>
        </w:trPr>
        <w:tc>
          <w:tcPr>
            <w:tcW w:w="8640" w:type="dxa"/>
            <w:vAlign w:val="bottom"/>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Net loss attributable to noncontrolling interest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left="480" w:right="20"/>
        <w:spacing w:after="0" w:line="218" w:lineRule="auto"/>
        <w:rPr>
          <w:sz w:val="20"/>
          <w:szCs w:val="20"/>
          <w:color w:val="auto"/>
        </w:rPr>
      </w:pPr>
      <w:r>
        <w:rPr>
          <w:rFonts w:ascii="Arial" w:cs="Arial" w:eastAsia="Arial" w:hAnsi="Arial"/>
          <w:sz w:val="14"/>
          <w:szCs w:val="14"/>
          <w:color w:val="auto"/>
        </w:rPr>
        <w:t>Note: 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has been extended through December 31, 2021. Sequestration relief was $948 for the three months ended March 31, 2021. There was no adjustment for COVID-19 expenses offset by the amount of sequestration relief for the three months ended March 31, 2020.</w:t>
      </w:r>
    </w:p>
    <w:p>
      <w:pPr>
        <w:spacing w:after="0" w:line="9" w:lineRule="exact"/>
        <w:rPr>
          <w:sz w:val="20"/>
          <w:szCs w:val="20"/>
          <w:color w:val="auto"/>
        </w:rPr>
      </w:pPr>
    </w:p>
    <w:p>
      <w:pPr>
        <w:ind w:left="480" w:hanging="454"/>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57" w:lineRule="exact"/>
        <w:rPr>
          <w:sz w:val="20"/>
          <w:szCs w:val="20"/>
          <w:color w:val="auto"/>
        </w:rPr>
      </w:pPr>
    </w:p>
    <w:p>
      <w:pPr>
        <w:ind w:left="480" w:hanging="454"/>
        <w:spacing w:after="0"/>
        <w:tabs>
          <w:tab w:leader="none" w:pos="4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Acquisition related costs that are not capitalizable.</w:t>
      </w:r>
    </w:p>
    <w:p>
      <w:pPr>
        <w:spacing w:after="0" w:line="28" w:lineRule="exact"/>
        <w:rPr>
          <w:rFonts w:ascii="Arial" w:cs="Arial" w:eastAsia="Arial" w:hAnsi="Arial"/>
          <w:sz w:val="14"/>
          <w:szCs w:val="14"/>
          <w:color w:val="auto"/>
        </w:rPr>
      </w:pPr>
    </w:p>
    <w:p>
      <w:pPr>
        <w:jc w:val="both"/>
        <w:ind w:left="480" w:right="20" w:hanging="454"/>
        <w:spacing w:after="0" w:line="215" w:lineRule="auto"/>
        <w:tabs>
          <w:tab w:leader="none" w:pos="4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A portion of the costs incurred under the Transition Services Agreement (as defined in Note 3, Related Party Transactions) identified as redundant or nonrecurring that are included in general and administrative expense. Fees incurred under the Transition Services agreement, net of the Company’s payroll reimbursement, were $988 and $1,336 for the three months ended March 31, 2021 and 2020, respectively. During the fourth quarter of fiscal 2020, we updated our Transition service costs adjustment to include duplicate software costs. The prior year transition service costs adjustment has been recast to reflect the change. The adjustment to the prior year transition service costs was $107 for the duplicative software costs for the three months ended March 31, 2020 that were included in the 2020 full year amount in the Company’s as filed Form 10-K.</w:t>
      </w:r>
    </w:p>
    <w:p>
      <w:pPr>
        <w:spacing w:after="0" w:line="200" w:lineRule="exact"/>
        <w:rPr>
          <w:rFonts w:ascii="Arial" w:cs="Arial" w:eastAsia="Arial" w:hAnsi="Arial"/>
          <w:sz w:val="14"/>
          <w:szCs w:val="14"/>
          <w:color w:val="auto"/>
        </w:rPr>
      </w:pPr>
    </w:p>
    <w:p>
      <w:pPr>
        <w:spacing w:after="0" w:line="334" w:lineRule="exact"/>
        <w:rPr>
          <w:rFonts w:ascii="Arial" w:cs="Arial" w:eastAsia="Arial" w:hAnsi="Arial"/>
          <w:sz w:val="14"/>
          <w:szCs w:val="14"/>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5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2021, the Company expanded its operations with the addition of two home health and two hospice agencies. The aggregate purchase price for these acquisitions was $3,685. A subsidiary of the Company entered into a separate operations transfer agreement with the prior operator of each acquired operation as part of each transaction.</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fair value of assets for home health acquisitions was mostly concentrated in goodwill and as such, these transactions were classified as business combinations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purchase price for the business combinations was $3,100, which consisted of equipment and other assets of $39, goodwill of $1,735, and indefinite-lived intangible assets of $1,326 related to Medicare and Medicaid licenses. The Company anticipates that the total goodwill recognized will be fully deductible for tax purposes. There were no material acquisition costs that were expensed related to the business combinations during the three months ended March 31, 2021.</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hospice agencies were acquired Medicare licenses and are considered asset acquisitions. The fair value of assets for the hospice licenses acquired totaled $585 and was allocated to indefinite-lived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three months ended March 31, 2020, the Company expanded its operations with the addition of one home health agencies, one hospice agencies, and two senior living communities. The aggregate purchase price for these acquisitions was $2,968. In connection with the addition of the senior living communities, the Company entered into new long-term “triple-net” leases with subsidiaries of Ensign. The addition of these operations added a total of 164 operational senior living units to be operated by the Company’s independent operating subsidiaries. A subsidiary of the Company entered into a separate operations transfer agreement with the prior operator of each acquired operation as part of each transaction.</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fair value of assets for all home health, hospice and home care acquisitions was concentrated in goodwill and as such, these transactions were classified as business combinations in accordance with ASC 805. The purchase price for the business combinations was $2,968, which mostly consisted of equipment of $20, goodwill of $1,604, indefinite-lived intangible assets of $1,363 related to Medicare and Medicaid licenses, net of assumed liabilities of $19. The majority of total goodwill recognized is fully deductible for tax purposes. There were no acquisition costs that were expensed related to the business combinations of home health, hospice, and home care during the three months ended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Subsequent to March 31, 2021, the Company announced it closed on two acquisitions of providers of home health and home care services. The acquisitions added three home health and two home care agencies throughout Southwest Colorado and Texas. The combined purchase price for the home health and home care agencies was $5,000. As of the date of this report, the preliminary allocation of the purchase price for the acquisitions acquired subsequent to March 31, 2021 were not completed as necessary valuation information was not yet available. As such, the determination regarding whether these acquisitions should be classified as business combinations or asset acquisitions under ASC 805 will be determined upon completion of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ind w:left="660"/>
              <w:spacing w:after="0"/>
              <w:rPr>
                <w:sz w:val="20"/>
                <w:szCs w:val="20"/>
                <w:color w:val="auto"/>
              </w:rPr>
            </w:pPr>
            <w:r>
              <w:rPr>
                <w:rFonts w:ascii="Arial" w:cs="Arial" w:eastAsia="Arial" w:hAnsi="Arial"/>
                <w:sz w:val="18"/>
                <w:szCs w:val="18"/>
                <w:color w:val="auto"/>
              </w:rPr>
              <w:t>Property and equipment, net consist of the following:</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r>
      <w:tr>
        <w:trPr>
          <w:trHeight w:val="223"/>
        </w:trPr>
        <w:tc>
          <w:tcPr>
            <w:tcW w:w="7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(15,706)</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$1,171 for the three months ended March 31, 2021, and $1,018 for the three months ended March 31, 2020.</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and a reporting unit are considered Level 3 measurements due to their subjective nature. Management has evaluated its long-lived assets and determined there was no impairment during the three months ended March 31, 2021 and 2020.</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INDEFINITE-LIVED INTANGIBLE ASSETS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activity in goodwill by segment as of and for the three months ended March 31,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Home Health and</w:t>
            </w:r>
          </w:p>
        </w:tc>
        <w:tc>
          <w:tcPr>
            <w:tcW w:w="2020" w:type="dxa"/>
            <w:vAlign w:val="bottom"/>
            <w:gridSpan w:val="6"/>
            <w:vMerge w:val="restart"/>
          </w:tcPr>
          <w:p>
            <w:pPr>
              <w:ind w:left="100"/>
              <w:spacing w:after="0"/>
              <w:rPr>
                <w:sz w:val="20"/>
                <w:szCs w:val="20"/>
                <w:color w:val="auto"/>
              </w:rPr>
            </w:pPr>
            <w:r>
              <w:rPr>
                <w:rFonts w:ascii="Arial" w:cs="Arial" w:eastAsia="Arial" w:hAnsi="Arial"/>
                <w:sz w:val="18"/>
                <w:szCs w:val="18"/>
                <w:b w:val="1"/>
                <w:bCs w:val="1"/>
                <w:color w:val="auto"/>
                <w:w w:val="98"/>
              </w:rPr>
              <w:t>Senior Living Services</w:t>
            </w:r>
          </w:p>
        </w:tc>
        <w:tc>
          <w:tcPr>
            <w:tcW w:w="120" w:type="dxa"/>
            <w:vAlign w:val="bottom"/>
          </w:tcPr>
          <w:p>
            <w:pPr>
              <w:spacing w:after="0"/>
              <w:rPr>
                <w:sz w:val="17"/>
                <w:szCs w:val="17"/>
                <w:color w:val="auto"/>
              </w:rPr>
            </w:pPr>
          </w:p>
        </w:tc>
        <w:tc>
          <w:tcPr>
            <w:tcW w:w="18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5"/>
              </w:rPr>
              <w:t>Hospice Services</w:t>
            </w:r>
          </w:p>
        </w:tc>
        <w:tc>
          <w:tcPr>
            <w:tcW w:w="202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62,802</w:t>
            </w:r>
          </w:p>
        </w:tc>
        <w:tc>
          <w:tcPr>
            <w:tcW w:w="100" w:type="dxa"/>
            <w:vAlign w:val="bottom"/>
          </w:tcPr>
          <w:p>
            <w:pPr>
              <w:spacing w:after="0"/>
              <w:rPr>
                <w:sz w:val="19"/>
                <w:szCs w:val="19"/>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66,444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64,537</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68,179</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660"/>
              <w:spacing w:after="0"/>
              <w:rPr>
                <w:sz w:val="20"/>
                <w:szCs w:val="20"/>
                <w:color w:val="auto"/>
              </w:rPr>
            </w:pPr>
            <w:r>
              <w:rPr>
                <w:rFonts w:ascii="Arial" w:cs="Arial" w:eastAsia="Arial" w:hAnsi="Arial"/>
                <w:sz w:val="18"/>
                <w:szCs w:val="18"/>
                <w:color w:val="auto"/>
                <w:w w:val="92"/>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5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March 31, 2021</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8"/>
              </w:rPr>
              <w:t>December 31, 2020</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 and Medicaid licenses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46,133</w:t>
            </w:r>
          </w:p>
        </w:tc>
        <w:tc>
          <w:tcPr>
            <w:tcW w:w="0" w:type="dxa"/>
            <w:vAlign w:val="bottom"/>
          </w:tcPr>
          <w:p>
            <w:pPr>
              <w:spacing w:after="0"/>
              <w:rPr>
                <w:sz w:val="1"/>
                <w:szCs w:val="1"/>
                <w:color w:val="auto"/>
              </w:rPr>
            </w:pPr>
          </w:p>
        </w:tc>
      </w:tr>
      <w:tr>
        <w:trPr>
          <w:trHeight w:val="223"/>
        </w:trPr>
        <w:tc>
          <w:tcPr>
            <w:tcW w:w="526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2021, we evaluated potential triggering events that might be indicators that our goodwill and indefinite lived intangibles were impaired. The Company concluded that the current economic and business conditions did not result in a triggering event requiring a quantitative goodwill impairment analysis. No goodwill or intangible asset impairments were recorded during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ACCRUED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Refunds payable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Resident deposits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5,647</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(CARES Act advance payments)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 liabilities - current portion</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 and a small portion consists of non-refundable deposits recognized into revenue over a period of time. The CARES Act also expanded the ability of CMS to provide accelerated/advance payments intended to increase the cash flow of healthcare providers and suppliers impacted by COVID-19. During the prior year the Company applied for and received $27,997 in funds under the AAP Program. On October 1, 2020, the Continuing Appropriations Act, 2021 and Other Extensions Act (the “CA Act”) was signed into law. Among other things, the CARES Act significantly changed the repayment terms for AAP. In April 2021 Medicare began automatic recoupment of these amounts through offsets to new claims. Medicare will automatically recoup 25 percent of Medicare payments for 11 months. At the end of the 11 months and assuming full repayment has not occurred, recoupment will increase to 50 percent for another six months. Any balance outstanding after these two recoupment periods will be subject to repayment at a four percent interest rate. The Company anticipates completing repayment of the AAP within the allotted recoupment periods.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11. DEBT</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6"/>
        </w:trPr>
        <w:tc>
          <w:tcPr>
            <w:tcW w:w="6640" w:type="dxa"/>
            <w:vAlign w:val="bottom"/>
          </w:tcPr>
          <w:p>
            <w:pPr>
              <w:ind w:left="660"/>
              <w:spacing w:after="0"/>
              <w:rPr>
                <w:sz w:val="20"/>
                <w:szCs w:val="20"/>
                <w:color w:val="auto"/>
              </w:rPr>
            </w:pPr>
            <w:r>
              <w:rPr>
                <w:rFonts w:ascii="Arial" w:cs="Arial" w:eastAsia="Arial" w:hAnsi="Arial"/>
                <w:sz w:val="18"/>
                <w:szCs w:val="18"/>
                <w:color w:val="auto"/>
              </w:rPr>
              <w:t>Long-term debt, net consists of the following:</w:t>
            </w: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7"/>
        </w:trPr>
        <w:tc>
          <w:tcPr>
            <w:tcW w:w="6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22"/>
                <w:szCs w:val="22"/>
                <w:color w:val="auto"/>
              </w:rPr>
            </w:pPr>
          </w:p>
        </w:tc>
        <w:tc>
          <w:tcPr>
            <w:tcW w:w="2000" w:type="dxa"/>
            <w:vAlign w:val="bottom"/>
          </w:tcPr>
          <w:p>
            <w:pPr>
              <w:ind w:left="16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27,500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88"/>
              </w:rPr>
              <w:t>9,500</w:t>
            </w:r>
          </w:p>
        </w:tc>
      </w:tr>
      <w:tr>
        <w:trPr>
          <w:trHeight w:val="229"/>
        </w:trPr>
        <w:tc>
          <w:tcPr>
            <w:tcW w:w="66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Less: unamortized debt issuance costs</w:t>
            </w:r>
            <w:r>
              <w:rPr>
                <w:rFonts w:ascii="Arial" w:cs="Arial" w:eastAsia="Arial" w:hAnsi="Arial"/>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w w:val="94"/>
              </w:rPr>
              <w:t>(2,529)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color w:val="auto"/>
                <w:w w:val="94"/>
              </w:rPr>
              <w:t>(1,223)</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24,971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88"/>
              </w:rPr>
              <w:t>8,277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480" w:right="20" w:hanging="454"/>
        <w:spacing w:after="0" w:line="236"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Amortization expense for debt issuance costs was $87 and $82 for the three months ended March 31, 2021 and 2020 respectively, and is recorded in interest expense, net on the condensed consolidated statements of income.</w:t>
      </w:r>
    </w:p>
    <w:p>
      <w:pPr>
        <w:spacing w:after="0" w:line="2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October 1, 2019, Pennant originally entered into a credit agreement with a borrowing capacity of $75,000. On February 23, 2021, Pennant entered into an amendment to the Credit Agreement (the “Amended Credit Agreement”), which provides for a revolving credit facility (the “2021 Revolving Credit Facility”) with a syndicate of banks with a borrowing capacity of $150,000. The interest rates applicable to loans under the 2021 Revolving Credit Facility are, at the Company’s election, either (i) Adjusted LIBOR (as defined in the Amended Credit Agreement) plus a margin ranging from 2.3% to 3.3% per annum or (ii) Base Rate plus a margin ranging from 1.3% to 2.3% per annum, in each case based on the ratio of Consolidated Total Net Debt to Consolidated EBITDA (each, as defined in the Amended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Amended Credit Agreement prior to maturity in 2026, other than to the extent the outstanding borrowings exceed the aggregate commitments under the Credit Agreement. As of March 31, 2021, the Company’s weighted average interest rate on its outstanding debt was 3.33%. As of March 31, 2021, the Company had available borrowing on the Revolving Credit Facility of $119,164, which is net of outstanding letters of credit of $3,336.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Revolving Credit Facility approximates carrying value, due to the short-term nature and variable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this debt is categorized within Level 2 of the fair value hierarchy based on the observable market borrowing rates.</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March 31, 2021, the Company was compliant with all such financial covenants.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OPTIONS AND AWARDS</w:t>
      </w:r>
    </w:p>
    <w:p>
      <w:pPr>
        <w:spacing w:after="0" w:line="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 xml:space="preserve">Outstanding options held by employees of the Company under the </w:t>
      </w:r>
      <w:r>
        <w:rPr>
          <w:rFonts w:ascii="Arial" w:cs="Arial" w:eastAsia="Arial" w:hAnsi="Arial"/>
          <w:sz w:val="18"/>
          <w:szCs w:val="18"/>
          <w:color w:val="000000"/>
        </w:rPr>
        <w:t>Ensign stock plans (collectively the “Ensign Plans”) and outstanding options</w:t>
      </w:r>
      <w:r>
        <w:rPr>
          <w:rFonts w:ascii="Arial" w:cs="Arial" w:eastAsia="Arial" w:hAnsi="Arial"/>
          <w:sz w:val="18"/>
          <w:szCs w:val="18"/>
          <w:color w:val="212529"/>
        </w:rPr>
        <w:t xml:space="preserve"> </w:t>
      </w:r>
      <w:r>
        <w:rPr>
          <w:rFonts w:ascii="Arial" w:cs="Arial" w:eastAsia="Arial" w:hAnsi="Arial"/>
          <w:sz w:val="18"/>
          <w:szCs w:val="18"/>
          <w:color w:val="000000"/>
        </w:rPr>
        <w:t xml:space="preserve">and restricted stock awards under the Company Subsidiary Equity Plan (together with the Ensign Plans the “Pre-Spin Plans”) </w:t>
      </w:r>
      <w:r>
        <w:rPr>
          <w:rFonts w:ascii="Arial" w:cs="Arial" w:eastAsia="Arial" w:hAnsi="Arial"/>
          <w:sz w:val="18"/>
          <w:szCs w:val="18"/>
          <w:color w:val="212529"/>
        </w:rPr>
        <w:t>were modified and replaced</w:t>
      </w:r>
      <w:r>
        <w:rPr>
          <w:rFonts w:ascii="Arial" w:cs="Arial" w:eastAsia="Arial" w:hAnsi="Arial"/>
          <w:sz w:val="18"/>
          <w:szCs w:val="18"/>
          <w:color w:val="000000"/>
        </w:rPr>
        <w:t xml:space="preserve"> </w:t>
      </w:r>
      <w:r>
        <w:rPr>
          <w:rFonts w:ascii="Arial" w:cs="Arial" w:eastAsia="Arial" w:hAnsi="Arial"/>
          <w:sz w:val="18"/>
          <w:szCs w:val="18"/>
          <w:color w:val="212529"/>
        </w:rPr>
        <w:t xml:space="preserve">with Pennant awards under the Pennant Plans at the Spin-Off date. Additionally, in connection with the Spin-Off, the Company issued new options and restricted stock awards to Pennant and Ensign employees under the 2019 Omnibus Incentive Plan (the </w:t>
      </w:r>
      <w:r>
        <w:rPr>
          <w:rFonts w:ascii="Arial" w:cs="Arial" w:eastAsia="Arial" w:hAnsi="Arial"/>
          <w:sz w:val="18"/>
          <w:szCs w:val="18"/>
          <w:color w:val="000000"/>
        </w:rPr>
        <w:t>“</w:t>
      </w:r>
      <w:r>
        <w:rPr>
          <w:rFonts w:ascii="Arial" w:cs="Arial" w:eastAsia="Arial" w:hAnsi="Arial"/>
          <w:sz w:val="18"/>
          <w:szCs w:val="18"/>
          <w:color w:val="212529"/>
        </w:rPr>
        <w:t>OIP</w:t>
      </w:r>
      <w:r>
        <w:rPr>
          <w:rFonts w:ascii="Arial" w:cs="Arial" w:eastAsia="Arial" w:hAnsi="Arial"/>
          <w:sz w:val="18"/>
          <w:szCs w:val="18"/>
          <w:color w:val="000000"/>
        </w:rPr>
        <w:t>”</w:t>
      </w:r>
      <w:r>
        <w:rPr>
          <w:rFonts w:ascii="Arial" w:cs="Arial" w:eastAsia="Arial" w:hAnsi="Arial"/>
          <w:sz w:val="18"/>
          <w:szCs w:val="18"/>
          <w:color w:val="212529"/>
        </w:rPr>
        <w:t xml:space="preserve">) and Long-Term Incentive Plan (the </w:t>
      </w:r>
      <w:r>
        <w:rPr>
          <w:rFonts w:ascii="Arial" w:cs="Arial" w:eastAsia="Arial" w:hAnsi="Arial"/>
          <w:sz w:val="18"/>
          <w:szCs w:val="18"/>
          <w:color w:val="000000"/>
        </w:rPr>
        <w:t>“</w:t>
      </w:r>
      <w:r>
        <w:rPr>
          <w:rFonts w:ascii="Arial" w:cs="Arial" w:eastAsia="Arial" w:hAnsi="Arial"/>
          <w:sz w:val="18"/>
          <w:szCs w:val="18"/>
          <w:color w:val="212529"/>
        </w:rPr>
        <w:t>LTIP</w:t>
      </w:r>
      <w:r>
        <w:rPr>
          <w:rFonts w:ascii="Arial" w:cs="Arial" w:eastAsia="Arial" w:hAnsi="Arial"/>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together referred to as the “Pennant Plans”</w:t>
      </w:r>
      <w:r>
        <w:rPr>
          <w:rFonts w:ascii="Arial" w:cs="Arial" w:eastAsia="Arial" w:hAnsi="Arial"/>
          <w:sz w:val="18"/>
          <w:szCs w:val="18"/>
          <w:color w:val="212529"/>
        </w:rPr>
        <w:t>).</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Ensign Plans and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who have awards under the Ensign and Pennant Plans.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for all Plans for the three months ended March 31, 2021 and 2020 was:</w:t>
      </w:r>
    </w:p>
    <w:p>
      <w:pPr>
        <w:spacing w:after="0" w:line="277"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Three Months Ended March</w:t>
      </w:r>
    </w:p>
    <w:p>
      <w:pPr>
        <w:jc w:val="center"/>
        <w:ind w:left="874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 related to stock 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Share-based compensation expense related to Restricted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1,543</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 related to Restricted Stock to non-employee directors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8760" w:type="dxa"/>
            <w:vAlign w:val="bottom"/>
          </w:tcPr>
          <w:p>
            <w:pPr>
              <w:ind w:left="240"/>
              <w:spacing w:after="0"/>
              <w:rPr>
                <w:sz w:val="20"/>
                <w:szCs w:val="20"/>
                <w:color w:val="auto"/>
              </w:rPr>
            </w:pPr>
            <w:r>
              <w:rPr>
                <w:rFonts w:ascii="Arial" w:cs="Arial" w:eastAsia="Arial" w:hAnsi="Arial"/>
                <w:sz w:val="18"/>
                <w:szCs w:val="18"/>
                <w:color w:val="auto"/>
              </w:rPr>
              <w:t>Total share-based compensation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r>
      <w:tr>
        <w:trPr>
          <w:trHeight w:val="20"/>
        </w:trPr>
        <w:tc>
          <w:tcPr>
            <w:tcW w:w="8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future periods, the Company estimates it will recognize the following share-based compensation expense for unvested stock options and unvested Restricted Stock, which were unvested as of March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Recognition Period (in</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Compensation Expense</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each option is estimated on the grant date using a Black-Scholes option-pricing model with the following weighted average assumptions for stock options granted after the Spin-Off:</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Risk-Free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Expected</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5"/>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Expected Life</w:t>
            </w:r>
            <w:r>
              <w:rPr>
                <w:rFonts w:ascii="Arial" w:cs="Arial" w:eastAsia="Arial" w:hAnsi="Arial"/>
                <w:sz w:val="23"/>
                <w:szCs w:val="23"/>
                <w:b w:val="1"/>
                <w:bCs w:val="1"/>
                <w:color w:val="auto"/>
                <w:w w:val="97"/>
                <w:vertAlign w:val="superscript"/>
              </w:rPr>
              <w:t>(a)</w:t>
            </w:r>
          </w:p>
        </w:tc>
        <w:tc>
          <w:tcPr>
            <w:tcW w:w="1540" w:type="dxa"/>
            <w:vAlign w:val="bottom"/>
            <w:gridSpan w:val="2"/>
            <w:vMerge w:val="continue"/>
          </w:tcPr>
          <w:p>
            <w:pPr>
              <w:spacing w:after="0"/>
              <w:rPr>
                <w:sz w:val="15"/>
                <w:szCs w:val="15"/>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Dividend Yield</w:t>
            </w:r>
          </w:p>
        </w:tc>
        <w:tc>
          <w:tcPr>
            <w:tcW w:w="12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30"/>
        </w:trPr>
        <w:tc>
          <w:tcPr>
            <w:tcW w:w="2660" w:type="dxa"/>
            <w:vAlign w:val="bottom"/>
            <w:gridSpan w:val="2"/>
            <w:vMerge w:val="continue"/>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8"/>
              </w:rPr>
              <w:t>Volatility</w:t>
            </w:r>
            <w:r>
              <w:rPr>
                <w:rFonts w:ascii="Arial" w:cs="Arial" w:eastAsia="Arial" w:hAnsi="Arial"/>
                <w:sz w:val="23"/>
                <w:szCs w:val="23"/>
                <w:b w:val="1"/>
                <w:bCs w:val="1"/>
                <w:color w:val="auto"/>
                <w:w w:val="88"/>
                <w:vertAlign w:val="superscript"/>
              </w:rPr>
              <w:t>(b)</w:t>
            </w: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7"/>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35.8 %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bl>
    <w:p>
      <w:pPr>
        <w:spacing w:after="0" w:line="372" w:lineRule="exact"/>
        <w:rPr>
          <w:sz w:val="20"/>
          <w:szCs w:val="20"/>
          <w:color w:val="auto"/>
        </w:rPr>
      </w:pPr>
    </w:p>
    <w:p>
      <w:pPr>
        <w:ind w:left="480" w:right="20" w:hanging="454"/>
        <w:spacing w:after="0" w:line="236" w:lineRule="auto"/>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7" w:lineRule="exact"/>
        <w:rPr>
          <w:rFonts w:ascii="Arial" w:cs="Arial" w:eastAsia="Arial" w:hAnsi="Arial"/>
          <w:sz w:val="14"/>
          <w:szCs w:val="14"/>
          <w:color w:val="auto"/>
        </w:rPr>
      </w:pPr>
    </w:p>
    <w:p>
      <w:pPr>
        <w:ind w:left="480" w:hanging="454"/>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Because the Company’s equity shares have been traded for a relatively short period of time, expected volatility assumption was based on the volatility of related industry stocks.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employee stock option activity during the three months ended March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4"/>
                <w:szCs w:val="14"/>
                <w:color w:val="auto"/>
              </w:rPr>
            </w:pPr>
          </w:p>
        </w:tc>
        <w:tc>
          <w:tcPr>
            <w:tcW w:w="126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Average</w:t>
            </w: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92"/>
              </w:rPr>
              <w:t>of Options</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Options Vested</w:t>
            </w:r>
          </w:p>
        </w:tc>
        <w:tc>
          <w:tcPr>
            <w:tcW w:w="160" w:type="dxa"/>
            <w:vAlign w:val="bottom"/>
          </w:tcPr>
          <w:p>
            <w:pPr>
              <w:spacing w:after="0"/>
              <w:rPr>
                <w:sz w:val="18"/>
                <w:szCs w:val="18"/>
                <w:color w:val="auto"/>
              </w:rPr>
            </w:pPr>
          </w:p>
        </w:tc>
        <w:tc>
          <w:tcPr>
            <w:tcW w:w="1260" w:type="dxa"/>
            <w:vAlign w:val="bottom"/>
          </w:tcPr>
          <w:p>
            <w:pPr>
              <w:jc w:val="center"/>
              <w:ind w:right="76"/>
              <w:spacing w:after="0"/>
              <w:rPr>
                <w:sz w:val="20"/>
                <w:szCs w:val="20"/>
                <w:color w:val="auto"/>
              </w:rPr>
            </w:pPr>
            <w:r>
              <w:rPr>
                <w:rFonts w:ascii="Arial" w:cs="Arial" w:eastAsia="Arial" w:hAnsi="Arial"/>
                <w:sz w:val="16"/>
                <w:szCs w:val="16"/>
                <w:b w:val="1"/>
                <w:bCs w:val="1"/>
                <w:color w:val="auto"/>
                <w:w w:val="87"/>
              </w:rPr>
              <w:t>Vested</w:t>
            </w:r>
          </w:p>
        </w:tc>
        <w:tc>
          <w:tcPr>
            <w:tcW w:w="0" w:type="dxa"/>
            <w:vAlign w:val="bottom"/>
          </w:tcPr>
          <w:p>
            <w:pPr>
              <w:spacing w:after="0"/>
              <w:rPr>
                <w:sz w:val="1"/>
                <w:szCs w:val="1"/>
                <w:color w:val="auto"/>
              </w:rPr>
            </w:pP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48.78</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Pennant’s non-vested Restricted Stock, and changes during the three months ended March 31, 2021,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w w:val="92"/>
              </w:rPr>
              <w:t>Non-Vested Restricted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Weighted Average</w:t>
            </w:r>
          </w:p>
        </w:tc>
      </w:tr>
      <w:tr>
        <w:trPr>
          <w:trHeight w:val="213"/>
        </w:trPr>
        <w:tc>
          <w:tcPr>
            <w:tcW w:w="78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Grant Date Fair Value</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57.54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14.77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independent operating subsidiaries lease 54 senior living communities and its administrative offices under non-cancelable operating leases, most of which have initial lease terms ranging from five to 21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As of March 31, 2021, the Company’s independent operating subsidiaries leased 31 communities from subsidiaries of Ensign (the “Ensign Leases”) under a master lease arrangement</w:t>
      </w:r>
      <w:r>
        <w:rPr>
          <w:rFonts w:ascii="Arial" w:cs="Arial" w:eastAsia="Arial" w:hAnsi="Arial"/>
          <w:sz w:val="17"/>
          <w:szCs w:val="17"/>
          <w:i w:val="1"/>
          <w:iCs w:val="1"/>
          <w:color w:val="auto"/>
        </w:rPr>
        <w:t>.</w:t>
      </w:r>
      <w:r>
        <w:rPr>
          <w:rFonts w:ascii="Arial" w:cs="Arial" w:eastAsia="Arial" w:hAnsi="Arial"/>
          <w:sz w:val="17"/>
          <w:szCs w:val="17"/>
          <w:color w:val="auto"/>
        </w:rPr>
        <w:t xml:space="preserve"> The existing leases with subsidiaries of Ensign are generally for initial terms of between 14 to 20 years. In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Fifteen of the Company’s affiliated senior living communities, excluding the communities that are operated under the Ensign Leases (as defined herein), are operated under two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ind w:left="660"/>
              <w:spacing w:after="0"/>
              <w:rPr>
                <w:sz w:val="20"/>
                <w:szCs w:val="20"/>
                <w:color w:val="auto"/>
              </w:rPr>
            </w:pPr>
            <w:r>
              <w:rPr>
                <w:rFonts w:ascii="Arial" w:cs="Arial" w:eastAsia="Arial" w:hAnsi="Arial"/>
                <w:sz w:val="18"/>
                <w:szCs w:val="18"/>
                <w:color w:val="auto"/>
              </w:rPr>
              <w:t>The components of operating lease cost, are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9"/>
        </w:trPr>
        <w:tc>
          <w:tcPr>
            <w:tcW w:w="8640" w:type="dxa"/>
            <w:vAlign w:val="bottom"/>
          </w:tcPr>
          <w:p>
            <w:pPr>
              <w:spacing w:after="0"/>
              <w:rPr>
                <w:sz w:val="24"/>
                <w:szCs w:val="2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23"/>
        </w:trPr>
        <w:tc>
          <w:tcPr>
            <w:tcW w:w="8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0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Facility Rent—cost of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8,835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8,856</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Rent—cost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Rent—cost of services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9,706</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r>
    </w:tbl>
    <w:p>
      <w:pPr>
        <w:spacing w:after="0" w:line="373" w:lineRule="exact"/>
        <w:rPr>
          <w:sz w:val="20"/>
          <w:szCs w:val="20"/>
          <w:color w:val="auto"/>
        </w:rPr>
      </w:pPr>
    </w:p>
    <w:p>
      <w:pPr>
        <w:ind w:left="480" w:right="40" w:hanging="454"/>
        <w:spacing w:after="0" w:line="236" w:lineRule="auto"/>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variable lease cost for operating leases, which costs include property taxes and insurance, common area maintenance, and consumer price index increases, incurred as part of our triple net lease, and which is included in cost of services for the three months ended March 31, 2021 and 2020.</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lease maturity analysis for all leases as of March 31, 2021, for the years ended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29,073</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38,171</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36,546</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35,607</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356,846</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533,695</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(224,834)</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308,861</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lease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(14,606)</w:t>
            </w:r>
          </w:p>
        </w:tc>
      </w:tr>
      <w:tr>
        <w:trPr>
          <w:trHeight w:val="248"/>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March 31, 2021, the weighted average remaining lease term is 14.8 years and the weighted average discount rate is 8.2%.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recorded income tax expense of $340 for the three months ended March 31, 2021, and income tax expense of $889 during the three months ended March 31, 2020, or 27.1% of earnings before income taxes for the three months ended March 31, 2021, compared to 23.0% of earnings before income taxes for the three months ended March 31, 2020. The effective tax rate for both three-month periods includes excess tax benefits from share-based compensation which were offset by non-deductible expenses including non-deductible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Regulatory Matters - </w:t>
      </w:r>
      <w:r>
        <w:rPr>
          <w:rFonts w:ascii="Arial" w:cs="Arial" w:eastAsia="Arial" w:hAnsi="Arial"/>
          <w:sz w:val="17"/>
          <w:szCs w:val="17"/>
          <w:color w:val="auto"/>
        </w:rPr>
        <w:t>The Company provides services in complex and highly regulated industries. The Company’s compliance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Cost-Containment Measures - </w:t>
      </w:r>
      <w:r>
        <w:rPr>
          <w:rFonts w:ascii="Arial" w:cs="Arial" w:eastAsia="Arial" w:hAnsi="Arial"/>
          <w:sz w:val="18"/>
          <w:szCs w:val="18"/>
          <w:color w:val="auto"/>
        </w:rPr>
        <w:t>Government and third-party payors have instituted cost-containment measures designed to limit payments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of healthcare services, and there can be no assurance that future measures designed to limit payments made to providers will not adversely affect the Company.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Indemnities - </w:t>
      </w:r>
      <w:r>
        <w:rPr>
          <w:rFonts w:ascii="Arial" w:cs="Arial" w:eastAsia="Arial" w:hAnsi="Arial"/>
          <w:sz w:val="16"/>
          <w:szCs w:val="16"/>
          <w:color w:val="auto"/>
        </w:rPr>
        <w:t>From time to time, the Company enters into certain types of contracts that contingently require the Company to indemnify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2" w:lineRule="exact"/>
        <w:rPr>
          <w:sz w:val="20"/>
          <w:szCs w:val="20"/>
          <w:color w:val="auto"/>
        </w:rPr>
      </w:pPr>
    </w:p>
    <w:p>
      <w:pPr>
        <w:jc w:val="both"/>
        <w:ind w:firstLine="8"/>
        <w:spacing w:after="0" w:line="281" w:lineRule="auto"/>
        <w:tabs>
          <w:tab w:leader="none" w:pos="27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spacing w:after="0" w:line="21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The Company’s businesses involve a significant risk of liability given the age and health of the patients and residents served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 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As such, the Company could face increased scrutiny, potential liability and legal expenses and costs based on claims under state false claims acts in markets in which it conducts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May 2009, Congress passed the Fraud Enforcement and Recovery Act (“FERA”) which made significant changes to the FCA, expanding the types of activities subject to prosecution and whistleblower liability. Following changes by FERA, healthcare providers face significant penalties for the knowing retention of government overpayments, even if no false claim was involved. Providers can now be liable for knowingly and improperly avoiding or decreasing an obligation to pay money or property to the government, including the retention of any government overpayment. The Patient Protection and Affordable Care Act of 2010 (the “ACA”) supplemented FERA by imposing an affirmative obligation on healthcare providers to return an overpayment to CMS within 60 days of “identification” or the date any corresponding cost report is due, whichever is later. According to CMS’s February 12, 2016, final rule with respect to Medicare Parts A and B, providers have an obligation to proactively exercise “reasonable diligence” to identify overpayments. The 60-day clock begins to run after the reasonable diligence period has concluded, which may take, at most, six months from the receipt of credible information. Retention of any overpayment beyond this period may create liability under the FCA. In addition, FERA extended protections against retaliation for whistleblowers, including protections not only for employees, but also contractors and agents. Thus, there is generally no need for an employment relationship in order to qualify for protection against retaliation for whistleblowing.</w:t>
      </w:r>
    </w:p>
    <w:p>
      <w:pPr>
        <w:spacing w:after="0" w:line="20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19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Medicare Revenue Recoupments - </w:t>
      </w:r>
      <w:r>
        <w:rPr>
          <w:rFonts w:ascii="Arial" w:cs="Arial" w:eastAsia="Arial" w:hAnsi="Arial"/>
          <w:sz w:val="16"/>
          <w:szCs w:val="16"/>
          <w:color w:val="auto"/>
        </w:rPr>
        <w:t>The Company is subject to probe reviews relating to Medicare services, billings and potential overpayments by</w:t>
      </w:r>
      <w:r>
        <w:rPr>
          <w:rFonts w:ascii="Arial" w:cs="Arial" w:eastAsia="Arial" w:hAnsi="Arial"/>
          <w:sz w:val="16"/>
          <w:szCs w:val="16"/>
          <w:i w:val="1"/>
          <w:iCs w:val="1"/>
          <w:color w:val="auto"/>
        </w:rPr>
        <w:t xml:space="preserve"> </w:t>
      </w:r>
      <w:r>
        <w:rPr>
          <w:rFonts w:ascii="Arial" w:cs="Arial" w:eastAsia="Arial" w:hAnsi="Arial"/>
          <w:sz w:val="16"/>
          <w:szCs w:val="16"/>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As of March 31, 2021, eight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As of March 31, 2021, and through the filing of this Quarterly Report on Form 10-Q, the Company’s independent operating subsidiaries have responded to the Reviews that are currently ongoing, on appeal or in dispute resolution process and the Company has no material probable or estimable contingencies.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The Company retains risk for a substantial portion of potential claims for general and professional liability,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automobile liability. The Company does not retain risk related to its employee health plans.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and Washington which are subject to state insurance and possess their own limits.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The Company has significant accounts receivable balances, the collectability of which is dependent on the availability of funds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73.5% and 75.7% of its total gross accounts receivable as of March 31, 2021 and December 31, 2020, respectively. Revenue from reimbursement under the Medicare and Medicaid programs accounted for 64.0% for the three months ended March 31, 2021, and 57.9% of the Company’s revenue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in conjunction with the Interim Financial Statements and the related notes thereto contained in Part I, Item 1 of this Quarterly Report on Form 10-Q (the “Quarterly Report”). The information contained in this Quarterly Report on Form 10-Q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2020 (the “2020 Annual Report”), which discusses our business and related risks in greater detail, as well as subsequent reports we may file from time to time on Form 10-K, Form 10-Q and 8-K, for additional information. The section entitled “Risk Factors” filed within our 2020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jc w:val="both"/>
        <w:ind w:firstLine="212"/>
        <w:spacing w:after="0" w:line="269" w:lineRule="auto"/>
        <w:rPr>
          <w:sz w:val="20"/>
          <w:szCs w:val="20"/>
          <w:color w:val="auto"/>
        </w:rPr>
      </w:pPr>
      <w:r>
        <w:rPr>
          <w:rFonts w:ascii="Arial" w:cs="Arial" w:eastAsia="Arial" w:hAnsi="Arial"/>
          <w:sz w:val="17"/>
          <w:szCs w:val="17"/>
          <w:color w:val="auto"/>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benefits resulting from the Spin-Off, the effects of competition and the effects of future legislation or regulations and other non-historical statements. Additionally, many of these risks and uncertainties are currently amplified by and will continue to be amplified by, or in the future may be amplified by, the COVID-19 outbreak. The developments with respect to the spread of COVID-19 and its impacts have occurred rapidly, and because of the unprecedented nature of the pandemic, we are unable to predict the extent and duration of the adverse financial impact of COVID-19 on our business, financial condition and results of operations.</w:t>
      </w:r>
    </w:p>
    <w:p>
      <w:pPr>
        <w:spacing w:after="0" w:line="209" w:lineRule="exact"/>
        <w:rPr>
          <w:sz w:val="20"/>
          <w:szCs w:val="20"/>
          <w:color w:val="auto"/>
        </w:rPr>
      </w:pPr>
    </w:p>
    <w:p>
      <w:pPr>
        <w:jc w:val="both"/>
        <w:ind w:firstLine="257"/>
        <w:spacing w:after="0" w:line="263" w:lineRule="auto"/>
        <w:rPr>
          <w:sz w:val="20"/>
          <w:szCs w:val="20"/>
          <w:color w:val="auto"/>
        </w:rPr>
      </w:pPr>
      <w:r>
        <w:rPr>
          <w:rFonts w:ascii="Arial" w:cs="Arial" w:eastAsia="Arial" w:hAnsi="Arial"/>
          <w:sz w:val="18"/>
          <w:szCs w:val="18"/>
          <w:color w:val="auto"/>
        </w:rPr>
        <w:t>The risk factors discussed in this Quarterly Report and the 2020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spacing w:after="0" w:line="2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uncertainties related to the COVID-19 outbreak;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changes to, or delays receiving, reimbursement and other aspects of Medicaid and Medicare;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regulation of the healthcare services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the federal income tax 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for, or a shortage of, skilled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reviews, audits and investigations of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federal and state employment related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state and federal employment, immigration, licensing and other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from other healthcare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of national labor unions;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leases of our affiliated senior living communities;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complete future community or business acquisitions and failure to successfully integrate acquired communities and businesses into our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breaches and other cyber security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of the financial and credit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uncertainties related to our ability to realize the anticipated benefits of the Spin-Off;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uncertainties related to our ability to obtain financing or the terms of such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37"/>
        <w:spacing w:after="0" w:line="311"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March 31, 2021, our home health and hospice business provided home health, hospice and home care services from 80 agencies operating across these 14 states, and our senior living business operated 54 senior living communities throughout seven states.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affiliated home health and hospice agencies and senior living communities as of:</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agencies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Senior living communities</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living units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line="176" w:lineRule="exact"/>
              <w:rPr>
                <w:sz w:val="20"/>
                <w:szCs w:val="20"/>
                <w:color w:val="auto"/>
              </w:rPr>
            </w:pPr>
            <w:r>
              <w:rPr>
                <w:rFonts w:ascii="Arial" w:cs="Arial" w:eastAsia="Arial" w:hAnsi="Arial"/>
                <w:sz w:val="18"/>
                <w:szCs w:val="18"/>
                <w:color w:val="auto"/>
                <w:w w:val="92"/>
              </w:rPr>
              <w:t>Total number of home health, hospice, and senior</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living operations</w:t>
            </w: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its discovery in late 2019, a new strain of coronavirus, which causes the viral disease known as COVID-19 (“COVID-19”), has spread around the globe. The outbreak has been declared to be a pandemic by the World Health Organization, and the United States Health and Human Services Secretary has declared a public health emergency in the United States in response to the outbreak. Additionally, the United States Centers for Disease Control and Prevention (“CDC”) has stated that older adults are at a higher risk for serious illness from COVID-19. As a result of the COVID-19 outbreak, we have taken necessary precautions to prevent and minimize spread of the virus to our patients and our residents.</w:t>
      </w:r>
    </w:p>
    <w:p>
      <w:pPr>
        <w:spacing w:after="0" w:line="20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been, and we expect to continue to be, impacted by several factors that may cause actual results to differ from our historical results or current expectations. Due to the COVID-19 pandemic, the results presented in this report are not necessarily indicative of future operating results. The situation surrounding COVID-19 remains fluid. We are actively managing our response in collaboration with government officials, team members and business partners, and we are assessing potential impacts to our financial position and operating results, as well as adverse developments in our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Operational Response</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COVID-19 continues to impact all aspects of our business and geographies, including impacts on our patients, residents, team members, vendors and business partners. Our overall senior living occupancy has decreased since the onset of the pandemic due to a greater number of move outs net of move ins. We cannot be sure when the occupancy levels in our senior living communities will stabilize or improve over multiple measurement periods. As the effects of COVID-19 continue to evolve, it is difficult to predict the full extent of the impact that COVID-19 and its aftermath will have on our future financial position and operating results due to numerous uncertainties. These uncertainties include the impact of vaccination of residents and employees, variants of the virus, the duration of the outbreak, and governmental, business or other actions (which could include limitations on our operations or mandates to provide services to our patients and communities). Further, the impacts of a potential worsening of global economic conditions and the continued disruptions to, and volatility in, the credit and financial markets, as well as other unanticipated consequences remain unknown.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experienced and expect to continue to see increased labor costs due to increased overtime and premium pay and the increased need for temporary labor to supplement our existing staffing. Furthermore, we experienced and expect to continue to experience increased expenses for medical supplies due to the need for more personal protective equipment (“PPE”) as part of our strict infection control procedures, along with additional COVID-19 testing expenses. We are monitoring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ongoing impact of our COVID-19 response actions on our revenue and expenses. However, the extent to which COVID-19 will continue to impact our operations will depend on future developments, which remain uncertain and cannot be predicted with confidence, including the duration of the outbreak, new information that may emerge concerning the severity of the coronavirus and variant strains, and the actions taken to contain the coronavirus or treat its impact, among others.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COVID-19, we have enhanced our infection control procedures in accordance with guidance from Centers for Medicare &amp; Medicaid Services (“CMS”) along with other state and federal agencies to protect our patients, residents, and staff. The infection control guidance from CMS and other agencies continues to evolve. We frequently update our infection control procedures and share best practices across our organization. Our operating subsidiaries have followed guidelines from CMS, the CDC and other federal or state agencies regarding infection control, including recommended screening and isolation protocols, increased PPE usage and systems for addressing local needs related to supplies, staffing and communication with families, patients and local health agencies.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Activities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three months ended March 31, 2021, We expanded our operations with the addition of two home health and two hospice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agencies. We entered into a separate operations transfer agreement with each respective prior operator as a part of each transaction. The aggregate purchase price for these acquisitions was $3.7 million. For further discussion of our acquisitions, see Note 7, </w:t>
      </w: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Interim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As discussed more above under </w:t>
      </w:r>
      <w:r>
        <w:rPr>
          <w:rFonts w:ascii="Arial" w:cs="Arial" w:eastAsia="Arial" w:hAnsi="Arial"/>
          <w:sz w:val="17"/>
          <w:szCs w:val="17"/>
          <w:i w:val="1"/>
          <w:iCs w:val="1"/>
          <w:color w:val="auto"/>
        </w:rPr>
        <w:t>COVID-19</w:t>
      </w:r>
      <w:r>
        <w:rPr>
          <w:rFonts w:ascii="Arial" w:cs="Arial" w:eastAsia="Arial" w:hAnsi="Arial"/>
          <w:sz w:val="17"/>
          <w:szCs w:val="17"/>
          <w:color w:val="auto"/>
        </w:rPr>
        <w:t xml:space="preserve">, in the first quarter we experienced an increase in all of our key metrics in our home health and hospice businesses. Since the pandemic began, we have experienced a steady decline in senior living occupancy as move-ins declined relative to move-outs due to the pandemic. We cannot be sure when the occupancy levels in our senior living communities will stabilize or improve over consecutive measurement periods. As uncertainty regarding the COVID-19 pandemic persists, if there is a resurgence in cases, or if variant strains aggressively emerge, we could see a more prolonged recovery. For further discussion of trends related to COVID-19, see </w:t>
      </w:r>
      <w:r>
        <w:rPr>
          <w:rFonts w:ascii="Arial" w:cs="Arial" w:eastAsia="Arial" w:hAnsi="Arial"/>
          <w:sz w:val="17"/>
          <w:szCs w:val="17"/>
          <w:i w:val="1"/>
          <w:iCs w:val="1"/>
          <w:color w:val="auto"/>
        </w:rPr>
        <w:t>COVID-19</w:t>
      </w:r>
      <w:r>
        <w:rPr>
          <w:rFonts w:ascii="Arial" w:cs="Arial" w:eastAsia="Arial" w:hAnsi="Arial"/>
          <w:sz w:val="17"/>
          <w:szCs w:val="17"/>
          <w:color w:val="auto"/>
        </w:rPr>
        <w:t xml:space="preserve"> above.</w:t>
      </w:r>
    </w:p>
    <w:p>
      <w:pPr>
        <w:spacing w:after="0" w:line="2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consolidated and segment margins during years of acquisition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disclosed under the heading “Government Regulation” in the 2020 Annual Report a summary of regulations that we believe materially affects our business, financial condition or results of operations. Since the time of the filing of the 2020 Annual Report, the following regulations have been updated.</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Coronavirus Aid, Relief, and Economic Security Act (the “CARES Act”) was enacted on March 27, 2020 in the United States and subsequent regulatory actions. The CARES Act contained provisions for accelerated or advance Medicare payments (“AAP”) to provide supporting cash flow to providers and suppliers combating the effects of the COVID-19 pandemic. We applied for and received $28.0 million in the prior year. These funds are subject to automatic recoupment through offsets to new claims beginning one year after payment were issued. In April, 2021, Medicare began to automatically recoup 25 percent of Medicare payments for the next 11 months. At the end of the 11 months, assuming full repayment has not occurred, recoupment will increase to 50 percent for another six months. Any balance outstanding after these two recoupment periods will be subject to repayment at a four percent interest rate. We anticipate completing repayment of the AAP within the allotted recoupment periods.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CARES Act temporarily suspended the 2% sequestration payment adjustment on Medicare fee-for-service payment beginning May 1, 2020 until December 31, 2020. The suspension was initially extended to go through March 31, 2021, and in April 2021 was extended through December 31, 2021. We recognized $0.9 million in revenue related to the suspension of sequestration for the three months ended March 31, 2021, exclusive of our start-up operations. The CARES Act payroll tax deferral program allowed employers to defer the deposit and payment of the employer’s portion of social security taxes that otherwise would be due between March 27, 2020, and December 31, 2020. The CARES Act permits employers to deposit half of these deferred payments by the end of 2021 and the other half by the end of 2022. Further, we deferred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$7,836 of the employer-paid portion of social security taxes, of which $3,918 is included in other long-term liabilities and the current portion of $3,918 in accrued wages and related liabilities.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American Rescue Plan Act of 2021 (the “ARP Act”) was enacted on March 11, 2021 in the United States. The ARP Act was designed to assist the country with the effects of the COVID-19 pandemic and included a number of tax components. The ARP Act’s primary tax impact on us is a new revenue raising provision that requires us to include the next five highest paid employees to the list of covered officers already subject to the IRC Section 162(m) wage limitation beginning in the 2027 tax year. We will continue to assess the effect of the ARP Act and ongoing other government legislation related to the COVID-19 pandemic that may be issued.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two reportable segments: (1) home health and hospice services, which includes our home health, home care and hospice businesses; and</w:t>
      </w:r>
    </w:p>
    <w:p>
      <w:pPr>
        <w:spacing w:after="0" w:line="46" w:lineRule="exact"/>
        <w:rPr>
          <w:sz w:val="20"/>
          <w:szCs w:val="20"/>
          <w:color w:val="auto"/>
        </w:rPr>
      </w:pPr>
    </w:p>
    <w:p>
      <w:pPr>
        <w:jc w:val="both"/>
        <w:ind w:firstLine="8"/>
        <w:spacing w:after="0" w:line="255" w:lineRule="auto"/>
        <w:tabs>
          <w:tab w:leader="none" w:pos="2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the fiscal aspects of our business by monitoring key performance indicators that affect our financial performance. These indicators and their definitions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Total home health admissions</w:t>
      </w:r>
      <w:r>
        <w:rPr>
          <w:rFonts w:ascii="Arial" w:cs="Arial" w:eastAsia="Arial" w:hAnsi="Arial"/>
          <w:sz w:val="16"/>
          <w:szCs w:val="16"/>
          <w:color w:val="auto"/>
        </w:rPr>
        <w:t>. The total admissions of home health patients, including new acquisitions, new admissions and readmissions.</w:t>
      </w:r>
    </w:p>
    <w:p>
      <w:pPr>
        <w:spacing w:after="0" w:line="140" w:lineRule="exact"/>
        <w:rPr>
          <w:rFonts w:ascii="Arial" w:cs="Arial" w:eastAsia="Arial" w:hAnsi="Arial"/>
          <w:sz w:val="16"/>
          <w:szCs w:val="16"/>
          <w:i w:val="1"/>
          <w:iCs w:val="1"/>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Total Medicare home health admissions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admissions of home health patients, who are receiving care under Medicare reimbursement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including new acquisitions, new admissions and readmissions.</w:t>
      </w:r>
    </w:p>
    <w:p>
      <w:pPr>
        <w:spacing w:after="0" w:line="62"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Average Medicare revenue per completed 60-day home health episode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amount of revenue for each completed 60-day home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episode generated from patients who are receiving care under Medicare reimbursement programs.</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Total hospice admissions</w:t>
      </w:r>
      <w:r>
        <w:rPr>
          <w:rFonts w:ascii="Arial" w:cs="Arial" w:eastAsia="Arial" w:hAnsi="Arial"/>
          <w:sz w:val="18"/>
          <w:szCs w:val="18"/>
          <w:color w:val="auto"/>
        </w:rPr>
        <w:t>. Total admissions of hospice patients, including new acquisitions, new admissions and recertifications.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Average hospice daily census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number of patients who are receiving hospice care during any measurement period divided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days during such measurement period.</w:t>
      </w:r>
    </w:p>
    <w:p>
      <w:pPr>
        <w:spacing w:after="0" w:line="62"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Hospice Medicare revenue per day</w:t>
      </w:r>
      <w:r>
        <w:rPr>
          <w:rFonts w:ascii="Arial" w:cs="Arial" w:eastAsia="Arial" w:hAnsi="Arial"/>
          <w:sz w:val="18"/>
          <w:szCs w:val="18"/>
          <w:color w:val="auto"/>
        </w:rPr>
        <w:t>. The average daily Medicare revenue recorded during any measurement period for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hospice patients.</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overall home health and hospice statistics for the periods indicated: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496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3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Total home health admissions</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6,136</w:t>
            </w:r>
          </w:p>
        </w:tc>
      </w:tr>
      <w:tr>
        <w:trPr>
          <w:trHeight w:val="230"/>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Medicare home health admissions</w:t>
            </w:r>
          </w:p>
        </w:tc>
        <w:tc>
          <w:tcPr>
            <w:tcW w:w="3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Average Medicare revenue per 60-day completed episode</w:t>
            </w:r>
          </w:p>
        </w:tc>
        <w:tc>
          <w:tcPr>
            <w:tcW w:w="4040" w:type="dxa"/>
            <w:vAlign w:val="bottom"/>
            <w:gridSpan w:val="2"/>
          </w:tcPr>
          <w:p>
            <w:pPr>
              <w:ind w:left="37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3,091</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3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Total hospice admissions</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hospice daily census</w:t>
            </w:r>
          </w:p>
        </w:tc>
        <w:tc>
          <w:tcPr>
            <w:tcW w:w="3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Hospice Medicare revenue per day</w:t>
            </w:r>
          </w:p>
        </w:tc>
        <w:tc>
          <w:tcPr>
            <w:tcW w:w="4040" w:type="dxa"/>
            <w:vAlign w:val="bottom"/>
            <w:gridSpan w:val="2"/>
          </w:tcPr>
          <w:p>
            <w:pPr>
              <w:ind w:left="37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769"/>
        </w:trPr>
        <w:tc>
          <w:tcPr>
            <w:tcW w:w="4960" w:type="dxa"/>
            <w:vAlign w:val="bottom"/>
          </w:tcPr>
          <w:p>
            <w:pPr>
              <w:spacing w:after="0"/>
              <w:rPr>
                <w:sz w:val="24"/>
                <w:szCs w:val="24"/>
                <w:color w:val="auto"/>
              </w:rPr>
            </w:pPr>
          </w:p>
        </w:tc>
        <w:tc>
          <w:tcPr>
            <w:tcW w:w="3760" w:type="dxa"/>
            <w:vAlign w:val="bottom"/>
          </w:tcPr>
          <w:p>
            <w:pPr>
              <w:jc w:val="right"/>
              <w:ind w:right="291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Occupancy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ratio of actual number of days our units are occupied during any measurement period to the number of units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during such measurement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Average monthly revenue per occupied unit</w:t>
      </w:r>
      <w:r>
        <w:rPr>
          <w:rFonts w:ascii="Arial" w:cs="Arial" w:eastAsia="Arial" w:hAnsi="Arial"/>
          <w:sz w:val="18"/>
          <w:szCs w:val="18"/>
          <w:color w:val="auto"/>
        </w:rPr>
        <w:t>. The revenue for senior living services during any measurement period divided by actual occupied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living units for such measurement period divided by the number of months for such measurement period.</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senior living statistics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80.2 %</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3,206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Home Health. </w:t>
      </w:r>
      <w:r>
        <w:rPr>
          <w:rFonts w:ascii="Arial" w:cs="Arial" w:eastAsia="Arial" w:hAnsi="Arial"/>
          <w:sz w:val="16"/>
          <w:szCs w:val="16"/>
          <w:color w:val="auto"/>
        </w:rPr>
        <w:t>We derive the majority of our home health revenue from Medicare and managed care. The Medicare payment is adjusted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differences between estimated and actual payment amounts, an inability to obtain appropriate billing documentation or authorizations acceptable to the payor and other reasons unrelated to credit risk. For Medicare episodes that began prior to January 1, 2020, home health agencies were reimbursed under the Medicare HH PPS, while Medicare periods of care that began on or after that date are reimbursed under the Patient-Driven Groupings Model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For further detail regarding PDGM see the </w:t>
      </w:r>
      <w:r>
        <w:rPr>
          <w:rFonts w:ascii="Arial" w:cs="Arial" w:eastAsia="Arial" w:hAnsi="Arial"/>
          <w:sz w:val="16"/>
          <w:szCs w:val="16"/>
          <w:i w:val="1"/>
          <w:iCs w:val="1"/>
          <w:color w:val="auto"/>
        </w:rPr>
        <w:t>Government Regulation</w:t>
      </w:r>
      <w:r>
        <w:rPr>
          <w:rFonts w:ascii="Arial" w:cs="Arial" w:eastAsia="Arial" w:hAnsi="Arial"/>
          <w:sz w:val="16"/>
          <w:szCs w:val="16"/>
          <w:color w:val="auto"/>
        </w:rPr>
        <w:t xml:space="preserve"> section of our 2020 Annual Report.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Hospice. </w:t>
      </w:r>
      <w:r>
        <w:rPr>
          <w:rFonts w:ascii="Arial" w:cs="Arial" w:eastAsia="Arial" w:hAnsi="Arial"/>
          <w:sz w:val="18"/>
          <w:szCs w:val="18"/>
          <w:color w:val="auto"/>
        </w:rPr>
        <w:t>We derive the majority of our hospice business revenue from Medicare reimbursement. The estimated payment rates are calculated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14"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Routine Home Care (“RHC”). </w:t>
      </w:r>
      <w:r>
        <w:rPr>
          <w:rFonts w:ascii="Arial" w:cs="Arial" w:eastAsia="Arial" w:hAnsi="Arial"/>
          <w:sz w:val="18"/>
          <w:szCs w:val="18"/>
          <w:color w:val="auto"/>
        </w:rPr>
        <w:t>Care that is not classified under any of the other levels of care, such as the work of nurses, social workers or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aides.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Inpatient Care. </w:t>
      </w:r>
      <w:r>
        <w:rPr>
          <w:rFonts w:ascii="Arial" w:cs="Arial" w:eastAsia="Arial" w:hAnsi="Arial"/>
          <w:sz w:val="18"/>
          <w:szCs w:val="18"/>
          <w:color w:val="auto"/>
        </w:rPr>
        <w:t>Pain control or acute or chronic symptom management that cannot be managed in a setting other than an inpatient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Medicare-certified facility, such as a hospital, skilled nursing facility or hospice inpatient facility.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Home Care. </w:t>
      </w:r>
      <w:r>
        <w:rPr>
          <w:rFonts w:ascii="Arial" w:cs="Arial" w:eastAsia="Arial" w:hAnsi="Arial"/>
          <w:sz w:val="18"/>
          <w:szCs w:val="18"/>
          <w:color w:val="auto"/>
        </w:rPr>
        <w:t>Care for patients experiencing a medical crisis that requires nursing services to achieve palliation and symptom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agency provides a minimum of eight hours of care within a 24-hour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one through 60 and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Senior Living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March 31, 2021, we provided assisted living, independent living and memory care services in 54 communities.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our senior living operations, we generate revenue primarily from private pay sources, with a portion earned from Medicaid or other state-specific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Expense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Cost of Services (excluding rent, general and administrative expense and depreciation and amortization)</w:t>
      </w:r>
      <w:r>
        <w:rPr>
          <w:rFonts w:ascii="Arial" w:cs="Arial" w:eastAsia="Arial" w:hAnsi="Arial"/>
          <w:sz w:val="17"/>
          <w:szCs w:val="17"/>
          <w:color w:val="auto"/>
        </w:rPr>
        <w:t>. Our cost of services represents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Rent—Cost of Services</w:t>
      </w:r>
      <w:r>
        <w:rPr>
          <w:rFonts w:ascii="Arial" w:cs="Arial" w:eastAsia="Arial" w:hAnsi="Arial"/>
          <w:sz w:val="18"/>
          <w:szCs w:val="18"/>
          <w:color w:val="auto"/>
        </w:rPr>
        <w:t>. Rent—cost of services consists solely of base minimum rent amounts payable under lease agreements to our landlords.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General and Administrative Expense</w:t>
      </w:r>
      <w:r>
        <w:rPr>
          <w:rFonts w:ascii="Arial" w:cs="Arial" w:eastAsia="Arial" w:hAnsi="Arial"/>
          <w:sz w:val="16"/>
          <w:szCs w:val="16"/>
          <w:color w:val="auto"/>
        </w:rPr>
        <w:t>. General and administrative expense consists primarily of payroll and related benefits and travel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Property and equipment are recorded at their original historical cost. Depreciation is computed using the straight-line method over the estimated useful lives of the depreciable assets (ranging from three to 15 years). Leasehold improvements are amortized on a straight-line basis over the shorter of their estimated useful lives or the remaining lease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revenue, cost allocations,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within the 2020 Annual Report for further information on our critical accounting estimates and policies, which are as follows:</w:t>
      </w:r>
    </w:p>
    <w:p>
      <w:pPr>
        <w:spacing w:after="0" w:line="209" w:lineRule="exact"/>
        <w:rPr>
          <w:sz w:val="20"/>
          <w:szCs w:val="20"/>
          <w:color w:val="auto"/>
        </w:rPr>
      </w:pPr>
    </w:p>
    <w:p>
      <w:pPr>
        <w:ind w:left="660" w:right="52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The estimate of variable considerations to arrive at the transaction price, including methods and assumptions used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settlements with Medicare and Medicaid payors or retroactive adjustments due to audits and reviews;</w:t>
      </w:r>
    </w:p>
    <w:p>
      <w:pPr>
        <w:spacing w:after="0" w:line="38" w:lineRule="exact"/>
        <w:rPr>
          <w:rFonts w:ascii="Arial" w:cs="Arial" w:eastAsia="Arial" w:hAnsi="Arial"/>
          <w:sz w:val="17"/>
          <w:szCs w:val="17"/>
          <w:color w:val="auto"/>
        </w:rPr>
      </w:pPr>
    </w:p>
    <w:p>
      <w:pPr>
        <w:ind w:left="660" w:right="4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use our estimated incremental borrowing rate based on the information available at lease commencement date in determining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value of future lease payments;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right="180" w:hanging="328"/>
        <w:spacing w:after="0" w:line="28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accountin</w:t>
      </w:r>
      <w:r>
        <w:rPr>
          <w:rFonts w:ascii="Arial" w:cs="Arial" w:eastAsia="Arial" w:hAnsi="Arial"/>
          <w:sz w:val="18"/>
          <w:szCs w:val="18"/>
          <w:b w:val="1"/>
          <w:bCs w:val="1"/>
          <w:color w:val="auto"/>
        </w:rPr>
        <w:t>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The assumptions used to allocate the purchase price paid for assets acquired and liabilities assumed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acquisitions; and</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estimation of valuation allowance or the need for and magnitude of liabilities for uncertain tax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40" w:firstLine="180"/>
        <w:spacing w:after="0" w:line="277" w:lineRule="auto"/>
        <w:rPr>
          <w:sz w:val="20"/>
          <w:szCs w:val="20"/>
          <w:color w:val="auto"/>
        </w:rPr>
      </w:pPr>
      <w:r>
        <w:rPr>
          <w:rFonts w:ascii="Arial" w:cs="Arial" w:eastAsia="Arial" w:hAnsi="Arial"/>
          <w:sz w:val="18"/>
          <w:szCs w:val="18"/>
          <w:color w:val="auto"/>
        </w:rPr>
        <w:t xml:space="preserve">Information concerning recently issued accounting pronouncements are included in Note 2, </w:t>
      </w:r>
      <w:r>
        <w:rPr>
          <w:rFonts w:ascii="Arial" w:cs="Arial" w:eastAsia="Arial" w:hAnsi="Arial"/>
          <w:sz w:val="18"/>
          <w:szCs w:val="18"/>
          <w:i w:val="1"/>
          <w:iCs w:val="1"/>
          <w:color w:val="auto"/>
        </w:rPr>
        <w:t>Basis of Presentation and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the Interim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details of our revenue, expenses and earnings as a percentage of total revenue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846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3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76.4</w:t>
            </w:r>
          </w:p>
        </w:tc>
      </w:tr>
      <w:tr>
        <w:trPr>
          <w:trHeight w:val="230"/>
        </w:trPr>
        <w:tc>
          <w:tcPr>
            <w:tcW w:w="8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Rent—cost of services</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7.2</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23"/>
        </w:trPr>
        <w:tc>
          <w:tcPr>
            <w:tcW w:w="84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expenses</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95.3</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expense, net</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r>
      <w:tr>
        <w:trPr>
          <w:trHeight w:val="223"/>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 net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23"/>
        </w:trPr>
        <w:tc>
          <w:tcPr>
            <w:tcW w:w="8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3.2</w:t>
            </w:r>
          </w:p>
        </w:tc>
      </w:tr>
      <w:tr>
        <w:trPr>
          <w:trHeight w:val="229"/>
        </w:trPr>
        <w:tc>
          <w:tcPr>
            <w:tcW w:w="8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Less: net loss attributable to noncontrolling interest</w:t>
            </w:r>
            <w:r>
              <w:rPr>
                <w:rFonts w:ascii="Arial" w:cs="Arial" w:eastAsia="Arial" w:hAnsi="Arial"/>
                <w:sz w:val="23"/>
                <w:szCs w:val="23"/>
                <w:color w:val="auto"/>
                <w:vertAlign w:val="superscript"/>
              </w:rPr>
              <w:t>(a)</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ind w:left="220"/>
              <w:spacing w:after="0"/>
              <w:rPr>
                <w:sz w:val="20"/>
                <w:szCs w:val="20"/>
                <w:color w:val="auto"/>
              </w:rPr>
            </w:pPr>
            <w:r>
              <w:rPr>
                <w:rFonts w:ascii="Arial" w:cs="Arial" w:eastAsia="Arial" w:hAnsi="Arial"/>
                <w:sz w:val="18"/>
                <w:szCs w:val="18"/>
                <w:color w:val="auto"/>
              </w:rPr>
              <w:t>Net income attributable to Pennant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80" w:right="20" w:hanging="454"/>
        <w:spacing w:after="0" w:line="236"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loss attributable to noncontrolling interest for the three months ended March 31, 2021 was less than 0.1% and thus not meaningful as a percentage of total revenue. There was not any noncontrolling interest for the three months ended March 31, 2020.</w:t>
      </w:r>
    </w:p>
    <w:p>
      <w:pPr>
        <w:spacing w:after="0" w:line="278" w:lineRule="exact"/>
        <w:rPr>
          <w:sz w:val="20"/>
          <w:szCs w:val="20"/>
          <w:color w:val="auto"/>
        </w:rPr>
      </w:pPr>
    </w:p>
    <w:p>
      <w:pPr>
        <w:jc w:val="center"/>
        <w:ind w:left="8700"/>
        <w:spacing w:after="0"/>
        <w:rPr>
          <w:sz w:val="20"/>
          <w:szCs w:val="20"/>
          <w:color w:val="auto"/>
        </w:rPr>
      </w:pPr>
      <w:r>
        <w:rPr>
          <w:rFonts w:ascii="Arial" w:cs="Arial" w:eastAsia="Arial" w:hAnsi="Arial"/>
          <w:sz w:val="17"/>
          <w:szCs w:val="17"/>
          <w:b w:val="1"/>
          <w:bCs w:val="1"/>
          <w:u w:val="single" w:color="auto"/>
          <w:color w:val="auto"/>
        </w:rPr>
        <w:t>Three Months Ended March 31,</w:t>
      </w:r>
    </w:p>
    <w:p>
      <w:pPr>
        <w:spacing w:after="0" w:line="48" w:lineRule="exact"/>
        <w:rPr>
          <w:sz w:val="20"/>
          <w:szCs w:val="20"/>
          <w:color w:val="auto"/>
        </w:rPr>
      </w:pPr>
    </w:p>
    <w:p>
      <w:pPr>
        <w:ind w:left="9140"/>
        <w:spacing w:after="0"/>
        <w:tabs>
          <w:tab w:leader="none" w:pos="104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17145</wp:posOffset>
            </wp:positionV>
            <wp:extent cx="15944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 w:lineRule="exact"/>
        <w:rPr>
          <w:sz w:val="20"/>
          <w:szCs w:val="20"/>
          <w:color w:val="auto"/>
        </w:rPr>
      </w:pPr>
    </w:p>
    <w:p>
      <w:pPr>
        <w:ind w:left="9420"/>
        <w:spacing w:after="0"/>
        <w:rPr>
          <w:sz w:val="20"/>
          <w:szCs w:val="20"/>
          <w:color w:val="auto"/>
        </w:rPr>
      </w:pPr>
      <w:r>
        <w:rPr>
          <w:rFonts w:ascii="Arial" w:cs="Arial" w:eastAsia="Arial" w:hAnsi="Arial"/>
          <w:sz w:val="18"/>
          <w:szCs w:val="18"/>
          <w:b w:val="1"/>
          <w:b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GAAP Financial Measures: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105,663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91,849</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87,577</w:t>
            </w:r>
          </w:p>
        </w:tc>
      </w:tr>
      <w:tr>
        <w:trPr>
          <w:trHeight w:val="224"/>
        </w:trPr>
        <w:tc>
          <w:tcPr>
            <w:tcW w:w="87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certain financial information regarding our reportable segments. General and administrative expenses are not allocated to the reportable segments and are included in “All Other”: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Senior Living</w:t>
            </w:r>
          </w:p>
        </w:tc>
        <w:tc>
          <w:tcPr>
            <w:tcW w:w="32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Hospice 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31,056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105,663</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13,791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8,834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(6,398)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56,762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35,087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91,849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12,397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reconciliation of Segment Adjusted EBITDAR from Operations above to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8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Adjusted EBITDAR from Operations</w:t>
            </w:r>
            <w:r>
              <w:rPr>
                <w:rFonts w:ascii="Arial" w:cs="Arial" w:eastAsia="Arial" w:hAnsi="Arial"/>
                <w:sz w:val="23"/>
                <w:szCs w:val="23"/>
                <w:color w:val="auto"/>
                <w:vertAlign w:val="superscript"/>
              </w:rPr>
              <w:t>(a)</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Less: 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30"/>
        </w:trPr>
        <w:tc>
          <w:tcPr>
            <w:tcW w:w="8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Rent—cost of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720" w:type="dxa"/>
            <w:vAlign w:val="bottom"/>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87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(f)</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Net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r>
      <w:tr>
        <w:trPr>
          <w:trHeight w:val="21"/>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left="480" w:right="20"/>
        <w:spacing w:after="0" w:line="218" w:lineRule="auto"/>
        <w:rPr>
          <w:sz w:val="20"/>
          <w:szCs w:val="20"/>
          <w:color w:val="auto"/>
        </w:rPr>
      </w:pPr>
      <w:r>
        <w:rPr>
          <w:rFonts w:ascii="Arial" w:cs="Arial" w:eastAsia="Arial" w:hAnsi="Arial"/>
          <w:sz w:val="14"/>
          <w:szCs w:val="14"/>
          <w:color w:val="auto"/>
        </w:rPr>
        <w:t>Note: 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has been extended through December 31, 2021. Sequestration relief was $948 for the three months ended March 31, 2021. There was no adjustment for COVID-19 expenses offset by the amount of sequestration relief for the three months ended March 31, 2020.</w:t>
      </w:r>
    </w:p>
    <w:p>
      <w:pPr>
        <w:spacing w:after="0" w:line="9" w:lineRule="exact"/>
        <w:rPr>
          <w:sz w:val="20"/>
          <w:szCs w:val="20"/>
          <w:color w:val="auto"/>
        </w:rPr>
      </w:pPr>
    </w:p>
    <w:p>
      <w:pPr>
        <w:jc w:val="both"/>
        <w:ind w:left="480" w:right="20" w:hanging="454"/>
        <w:spacing w:after="0" w:line="212" w:lineRule="auto"/>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and (5) net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10" w:lineRule="exact"/>
        <w:rPr>
          <w:rFonts w:ascii="Arial" w:cs="Arial" w:eastAsia="Arial" w:hAnsi="Arial"/>
          <w:sz w:val="14"/>
          <w:szCs w:val="14"/>
          <w:color w:val="auto"/>
        </w:rPr>
      </w:pPr>
    </w:p>
    <w:p>
      <w:pPr>
        <w:ind w:left="480" w:hanging="454"/>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Acquisition related costs that are not capitalizable.</w:t>
      </w:r>
    </w:p>
    <w:p>
      <w:pPr>
        <w:spacing w:after="0" w:line="28" w:lineRule="exact"/>
        <w:rPr>
          <w:rFonts w:ascii="Arial" w:cs="Arial" w:eastAsia="Arial" w:hAnsi="Arial"/>
          <w:sz w:val="14"/>
          <w:szCs w:val="14"/>
          <w:color w:val="auto"/>
        </w:rPr>
      </w:pPr>
    </w:p>
    <w:p>
      <w:pPr>
        <w:jc w:val="both"/>
        <w:ind w:left="480" w:right="20" w:hanging="454"/>
        <w:spacing w:after="0" w:line="215" w:lineRule="auto"/>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portion of the costs incurred under the Transition Services Agreement (as defined in Note 3, Related Party Transactions) identified as redundant or nonrecurring that are included in general and administrative expense. Fees incurred under the Transition Services agreement, net of the Company’s payroll reimbursement, were $988 and $1,336 for the three months ended March 31, 2021 and 2020, respectively. During the fourth quarter of fiscal 2020, we updated our Transition service costs adjustment to include duplicate software costs. The prior year transition service costs adjustment has been recast to reflect the change. The adjustment to the prior year transition service costs was $107 for the duplicative software costs for the three months ended March 31, 2020 that were included in the 2020 full year amount in the Company’s as filed Form 10-K.</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87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90"/>
        </w:trPr>
        <w:tc>
          <w:tcPr>
            <w:tcW w:w="8720" w:type="dxa"/>
            <w:vAlign w:val="bottom"/>
            <w:gridSpan w:val="2"/>
          </w:tcPr>
          <w:p>
            <w:pPr>
              <w:ind w:left="660"/>
              <w:spacing w:after="0"/>
              <w:rPr>
                <w:sz w:val="20"/>
                <w:szCs w:val="20"/>
                <w:color w:val="auto"/>
              </w:rPr>
            </w:pPr>
            <w:r>
              <w:rPr>
                <w:rFonts w:ascii="Arial" w:cs="Arial" w:eastAsia="Arial" w:hAnsi="Arial"/>
                <w:sz w:val="18"/>
                <w:szCs w:val="18"/>
                <w:i w:val="1"/>
                <w:iCs w:val="1"/>
                <w:color w:val="auto"/>
              </w:rPr>
              <w:t>Performance and Valuation Measures: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Non-GAAP Financial Measures: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Performance Metrics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6,296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7,651</w:t>
            </w: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Metric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16,227</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823"/>
        </w:trPr>
        <w:tc>
          <w:tcPr>
            <w:tcW w:w="1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Segment Non-GAAP Measures:</w:t>
            </w:r>
            <w:r>
              <w:rPr>
                <w:rFonts w:ascii="Arial" w:cs="Arial" w:eastAsia="Arial" w:hAnsi="Arial"/>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Home health and hospice services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12,775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Senior living services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3,541</w:t>
            </w:r>
          </w:p>
        </w:tc>
      </w:tr>
    </w:tbl>
    <w:p>
      <w:pPr>
        <w:spacing w:after="0" w:line="372" w:lineRule="exact"/>
        <w:rPr>
          <w:sz w:val="20"/>
          <w:szCs w:val="20"/>
          <w:color w:val="auto"/>
        </w:rPr>
      </w:pPr>
    </w:p>
    <w:p>
      <w:pPr>
        <w:ind w:left="480" w:hanging="454"/>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General and administrative expenses are not allocated to any segment for purposes of determining segment profit or loss.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tables below reconciles Consolidated Net Income to the Consolidated Non-GAAP Financial Measures, Consolidated and EBITDA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Adjusted EBITDAR,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8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Provision for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8720" w:type="dxa"/>
            <w:vAlign w:val="bottom"/>
          </w:tcPr>
          <w:p>
            <w:pPr>
              <w:ind w:left="4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8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Consolidated and EBITDA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5,293</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Consolidated EBITDA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line="230" w:lineRule="exact"/>
              <w:rPr>
                <w:sz w:val="20"/>
                <w:szCs w:val="20"/>
                <w:color w:val="auto"/>
              </w:rPr>
            </w:pPr>
            <w:r>
              <w:rPr>
                <w:rFonts w:ascii="Arial" w:cs="Arial" w:eastAsia="Arial" w:hAnsi="Arial"/>
                <w:sz w:val="18"/>
                <w:szCs w:val="18"/>
                <w:color w:val="auto"/>
              </w:rPr>
              <w:t>Add: Costs at start-up operations</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8720" w:type="dxa"/>
            <w:vAlign w:val="bottom"/>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87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Rent related to item (a) above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color w:val="auto"/>
              </w:rPr>
              <w:t>Rent—cost of services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9,706</w:t>
            </w:r>
          </w:p>
        </w:tc>
      </w:tr>
      <w:tr>
        <w:trPr>
          <w:trHeight w:val="230"/>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 related to item (a) above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Adjusted rent—cost of services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9,693</w:t>
            </w:r>
          </w:p>
        </w:tc>
      </w:tr>
      <w:tr>
        <w:trPr>
          <w:trHeight w:val="248"/>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left="480" w:right="20"/>
        <w:spacing w:after="0" w:line="243" w:lineRule="auto"/>
        <w:rPr>
          <w:sz w:val="20"/>
          <w:szCs w:val="20"/>
          <w:color w:val="auto"/>
        </w:rPr>
      </w:pPr>
      <w:r>
        <w:rPr>
          <w:rFonts w:ascii="Arial" w:cs="Arial" w:eastAsia="Arial" w:hAnsi="Arial"/>
          <w:sz w:val="13"/>
          <w:szCs w:val="13"/>
          <w:color w:val="auto"/>
        </w:rPr>
        <w:t>Note: Segment Adjusted EBITDAR no longer includes an adjustment for COVID-19 expenses offset by the amount of sequestration relief as they approximate each other. COVID-19 expenses continue to be part of daily operations for which less specific identification is visible. Furthermore, the sequestration relief has been extended through December 31, 2021. Sequestration relief was $948 for the three months ended March 31, 2021. There was no sequestration relief for the three months ended March 31, 2020.</w:t>
      </w:r>
    </w:p>
    <w:p>
      <w:pPr>
        <w:spacing w:after="0" w:line="5" w:lineRule="exact"/>
        <w:rPr>
          <w:sz w:val="20"/>
          <w:szCs w:val="20"/>
          <w:color w:val="auto"/>
        </w:rPr>
      </w:pPr>
    </w:p>
    <w:p>
      <w:pPr>
        <w:ind w:left="480" w:hanging="454"/>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Acquisition related costs that are not capitalizable.</w:t>
      </w:r>
    </w:p>
    <w:p>
      <w:pPr>
        <w:spacing w:after="0" w:line="28" w:lineRule="exact"/>
        <w:rPr>
          <w:rFonts w:ascii="Arial" w:cs="Arial" w:eastAsia="Arial" w:hAnsi="Arial"/>
          <w:sz w:val="14"/>
          <w:szCs w:val="14"/>
          <w:color w:val="auto"/>
        </w:rPr>
      </w:pPr>
    </w:p>
    <w:p>
      <w:pPr>
        <w:jc w:val="both"/>
        <w:ind w:left="480" w:right="20" w:hanging="454"/>
        <w:spacing w:after="0" w:line="215" w:lineRule="auto"/>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portion of the costs incurred under the Transition Services Agreement (as defined in Note 3, Related Party Transactions) identified as redundant or nonrecurring that are included in general and administrative expense. Fees incurred under the Transition Services agreement, net of the Company’s payroll reimbursement, were $988 and $1,336 for the three months ended March 31, 2021 and 2020, respectively. During the fourth quarter of fiscal 2020, we updated our Transition service costs adjustment to include duplicate software costs. The prior year transition service costs adjustment has been recast to reflect the change. The adjustment to the prior year transition service costs was $107 for the duplicative software costs for the three months ended March 31, 2020 that were included in the 2020 full year amount in the Company’s as filed Form 10-K.</w:t>
      </w:r>
    </w:p>
    <w:p>
      <w:pPr>
        <w:spacing w:after="0" w:line="24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table below reconciles Segment Adjusted EBITDAR from Operations to Segment Adjusted EBITDA from Operations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 March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5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8,856</w:t>
            </w:r>
          </w:p>
        </w:tc>
      </w:tr>
      <w:tr>
        <w:trPr>
          <w:trHeight w:val="229"/>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r>
      <w:tr>
        <w:trPr>
          <w:trHeight w:val="21"/>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these Non-GAAP Financial Measures are useful to investors and other external users of our financial statements regarding our results of operations because:</w:t>
      </w:r>
    </w:p>
    <w:p>
      <w:pPr>
        <w:spacing w:after="0" w:line="197" w:lineRule="exact"/>
        <w:rPr>
          <w:sz w:val="20"/>
          <w:szCs w:val="20"/>
          <w:color w:val="auto"/>
        </w:rPr>
      </w:pPr>
    </w:p>
    <w:p>
      <w:pPr>
        <w:jc w:val="both"/>
        <w:ind w:left="660" w:hanging="328"/>
        <w:spacing w:after="0" w:line="311"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they help investors evaluate and compare the results of our operations from period to period by removing the impact of our asset base and capital structure from our operating results;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Adjusted EBITDAR is used by investors and analysts in our industry to value the companies in our industry without regard to capital structures.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use Non-GAAP Financial Measures: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measurements of our operating performance to assist us in comparing our operating performance on a consistent basis from period to period;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assess the value of a potential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assess the value of a transformed operation’s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compare our operating performance to that of our competitors.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establish compensation programs and bonuses for our leaders that are partially based upon the achievement of Consolidated Adjusted EBITDAR targets.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1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they do not reflect our current or future cash requirements for capital expenditures or contractual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they do not reflect the net interest expense, or the cash requirements necessary to service interest or principal payments, on our debt;</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Consolidated Adjusted EBITDAR, it does not reflect rent expenses, which are normal and recurring operating expenses that are necessary to operate our leased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they do not reflect any income tax payments we may be required to make;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do not reflect any cash requirements for such replacements;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companies in our industry may calculate the same Non-GAAP Financial Measures differently than we do, which may limit their usefulness as comparative measures.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the Interim Financial Statements and related notes included elsewhere in this Quarterly Report.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following Non-GAAP Financial Measures are useful to investors as key operating performance measures and valuation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EBITDA</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calculate Consolidated EBITDA as net income, adjusted for net income (loss) attributable to noncontrolling interest prior to the Spin-Off, before (a) interest expense (b) provision for income taxes and (c)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Consolidated Adjusted EBITDA by adjusting Consolidated EBITDA to exclude the effects of non-core business items, which for the reported periods includes, to the extent applicable:</w:t>
      </w:r>
    </w:p>
    <w:p>
      <w:pPr>
        <w:spacing w:after="0" w:line="19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at start-up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 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Spin-Off related transaction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redundant or nonrecurring costs incurred as part of the Transition Services Agreement (as defined in Note 3,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w:t>
      </w: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Adjusted EBITDA from Operations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Measure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EBITDAR</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790"/>
        </w:trPr>
        <w:tc>
          <w:tcPr>
            <w:tcW w:w="802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Three Months Ended March 31, 2021 Compared to the Three Months Ended March 31, 2020</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75"/>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73"/>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Home health</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33,204</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31.4 %</w:t>
            </w:r>
          </w:p>
        </w:tc>
        <w:tc>
          <w:tcPr>
            <w:tcW w:w="10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21,444</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23.4 %</w:t>
            </w:r>
          </w:p>
        </w:tc>
      </w:tr>
      <w:tr>
        <w:trPr>
          <w:trHeight w:val="229"/>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33.1</w:t>
            </w:r>
          </w:p>
        </w:tc>
      </w:tr>
      <w:tr>
        <w:trPr>
          <w:trHeight w:val="230"/>
        </w:trPr>
        <w:tc>
          <w:tcPr>
            <w:tcW w:w="4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4,489</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4,878</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5.3</w:t>
            </w:r>
          </w:p>
        </w:tc>
      </w:tr>
      <w:tr>
        <w:trPr>
          <w:trHeight w:val="223"/>
        </w:trPr>
        <w:tc>
          <w:tcPr>
            <w:tcW w:w="47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70.6</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61.8</w:t>
            </w:r>
          </w:p>
        </w:tc>
      </w:tr>
      <w:tr>
        <w:trPr>
          <w:trHeight w:val="23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31,056</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35,087</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38.2</w:t>
            </w:r>
          </w:p>
        </w:tc>
      </w:tr>
      <w:tr>
        <w:trPr>
          <w:trHeight w:val="248"/>
        </w:trPr>
        <w:tc>
          <w:tcPr>
            <w:tcW w:w="47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480" w:hanging="454"/>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2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total revenue increased $13.8 million, or 15.0%. This increase was primarily the result of revenue from acquired home health and hospice operations increasing by $12.6 million or 13.7% since March 31, 2020. The remaining revenue growth came from operational performance in our home health and hospice segment, offset by a decrease of $4.0 million in our senior living segment.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72"/>
        </w:trPr>
        <w:tc>
          <w:tcPr>
            <w:tcW w:w="5940" w:type="dxa"/>
            <w:vAlign w:val="bottom"/>
          </w:tcPr>
          <w:p>
            <w:pPr>
              <w:spacing w:after="0"/>
              <w:rPr>
                <w:sz w:val="24"/>
                <w:szCs w:val="24"/>
                <w:color w:val="auto"/>
              </w:rPr>
            </w:pPr>
          </w:p>
        </w:tc>
        <w:tc>
          <w:tcPr>
            <w:tcW w:w="26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3"/>
              </w:rPr>
              <w:t>Three Months Ended March 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Home health services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54.8 %</w:t>
            </w:r>
          </w:p>
        </w:tc>
      </w:tr>
      <w:tr>
        <w:trPr>
          <w:trHeight w:val="22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w:t>
            </w:r>
          </w:p>
        </w:tc>
      </w:tr>
      <w:tr>
        <w:trPr>
          <w:trHeight w:val="230"/>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Home care and 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(8.0)</w:t>
            </w:r>
          </w:p>
        </w:tc>
      </w:tr>
      <w:tr>
        <w:trPr>
          <w:trHeight w:val="248"/>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447"/>
        </w:trPr>
        <w:tc>
          <w:tcPr>
            <w:tcW w:w="5940" w:type="dxa"/>
            <w:vAlign w:val="bottom"/>
          </w:tcPr>
          <w:p>
            <w:pPr>
              <w:spacing w:after="0"/>
              <w:rPr>
                <w:sz w:val="24"/>
                <w:szCs w:val="24"/>
                <w:color w:val="auto"/>
              </w:rPr>
            </w:pPr>
          </w:p>
        </w:tc>
        <w:tc>
          <w:tcPr>
            <w:tcW w:w="26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3"/>
              </w:rPr>
              <w:t>Three Months Ended March 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Total home health admissions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48.3 %</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60.1</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Average Medicare revenue per 60-day completed episode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12.0</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Total hospice admissions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28.5</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Hospice Medicare revenue per day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w:t>
            </w:r>
          </w:p>
        </w:tc>
      </w:tr>
      <w:tr>
        <w:trPr>
          <w:trHeight w:val="23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Home health and hospice revenue increased $17.8 million, or 31.4%. Revenue grew primarily due to an increase in home health admissions of 48.3% inclusive of total Medicare home health admissions of 60.1%, total hospice admissions of 28.5%, and hospice average daily census of 23.4%. Growth was partially driven by the addition of fifteen home health, hospice and home care operations between March 31, 2020 and March 31, 2021, resulting in an increase of $12.6 million or 22.2% overall, as well as additional revenue due to improved operational performance.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3"/>
        </w:trPr>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4"/>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5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31,056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12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72.1 %</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3,186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(0.6)</w:t>
            </w:r>
          </w:p>
        </w:tc>
      </w:tr>
    </w:tbl>
    <w:p>
      <w:pPr>
        <w:spacing w:after="0" w:line="3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Senior living revenue decreased $4.0 million, or 11.5%, for the three months ended March 31, 2021 compared to the same period in the prior year due primarily to a decrease in occupancy rates of 8.1%, between March 31, 2020 and March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total cost of services by each of our reportable segments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66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Three Months Ended March 31,</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2"/>
              </w:rPr>
              <w:t>29.7 %</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Living</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480" w:type="dxa"/>
            <w:vAlign w:val="bottom"/>
            <w:tcBorders>
              <w:bottom w:val="single" w:sz="8" w:color="CCEEFF"/>
            </w:tcBorders>
            <w:gridSpan w:val="2"/>
          </w:tcPr>
          <w:p>
            <w:pPr>
              <w:ind w:left="960"/>
              <w:spacing w:after="0"/>
              <w:rPr>
                <w:sz w:val="20"/>
                <w:szCs w:val="20"/>
                <w:color w:val="auto"/>
              </w:rPr>
            </w:pPr>
            <w:r>
              <w:rPr>
                <w:rFonts w:ascii="Arial" w:cs="Arial" w:eastAsia="Arial" w:hAnsi="Arial"/>
                <w:sz w:val="18"/>
                <w:szCs w:val="18"/>
                <w:color w:val="auto"/>
              </w:rPr>
              <w:t>(2.9)</w:t>
            </w:r>
          </w:p>
        </w:tc>
      </w:tr>
      <w:tr>
        <w:trPr>
          <w:trHeight w:val="248"/>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services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13,433</w:t>
            </w: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92"/>
              </w:rPr>
              <w:t>19.1 %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Consolidated cost of services increased $13.4 million or 19.1%. Cost of services as a percentage of revenue for the three months ended March 31, 2021 increased by 2.7% to 79.1% from 76.4% compared to the three months ended 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Health and Hospice Services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61,484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47,388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14,096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services related to our home health and hospice services segment increased $14.1 million, or 29.7%, primarily due to increased volume of services. Cost of services as a percentage of revenue for the three months ended March 31, 2021 decreased 1.1% compared to the three months ended March 31, 2020, resulting from focusing on managing labor costs and expenses.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Senior Living Services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22,138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22,801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services related to our senior living services segment decreased $0.7 million, or 2.9%. As a percentage of revenue, costs of service increased by 6.3% as a result of a decrease in occupancy without corresponding reduction in operating expenses.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Rent—Cost of Services</w:t>
      </w:r>
      <w:r>
        <w:rPr>
          <w:rFonts w:ascii="Arial" w:cs="Arial" w:eastAsia="Arial" w:hAnsi="Arial"/>
          <w:sz w:val="18"/>
          <w:szCs w:val="18"/>
          <w:color w:val="auto"/>
        </w:rPr>
        <w:t>. Actual rent increased 2.7% from $9.7 million to $10.0 million in the three months ended March 31,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as a result of acquisitions and other lease renewals. As a percentage of revenue, rent</w:t>
      </w:r>
      <w:r>
        <w:rPr>
          <w:rFonts w:ascii="Arial" w:cs="Arial" w:eastAsia="Arial" w:hAnsi="Arial"/>
          <w:sz w:val="18"/>
          <w:szCs w:val="18"/>
          <w:i w:val="1"/>
          <w:iCs w:val="1"/>
          <w:color w:val="auto"/>
        </w:rPr>
        <w:t>—</w:t>
      </w:r>
      <w:r>
        <w:rPr>
          <w:rFonts w:ascii="Arial" w:cs="Arial" w:eastAsia="Arial" w:hAnsi="Arial"/>
          <w:sz w:val="18"/>
          <w:szCs w:val="18"/>
          <w:color w:val="auto"/>
        </w:rPr>
        <w:t>cost of services decreased 1.2% when compared to the three months ended March 31,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Our general and administrative expense increased from $6.7 million to $9.3 million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costs of $1.6 million related to building our own information systems support and infrastructure and an increase of $0.5 million from wages for supporting growth in operations for the three months ended March 31,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remained relatively flat as a percentage of total revenue.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effective tax rate for the three months ended March 31, 2021 was 27.1% of earnings before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an effective tax rate of 23.0% for the three months ended March 31, 2020. The increase in the effective tax rate was due to an increase in non-deductible expenses including non-deductible compensation., which was partially offset by an increase in excess tax benefits from share-based compensation. See Note 14</w:t>
      </w:r>
      <w:r>
        <w:rPr>
          <w:rFonts w:ascii="Arial" w:cs="Arial" w:eastAsia="Arial" w:hAnsi="Arial"/>
          <w:sz w:val="18"/>
          <w:szCs w:val="18"/>
          <w:i w:val="1"/>
          <w:iCs w:val="1"/>
          <w:color w:val="auto"/>
        </w:rPr>
        <w:t>, Income Taxes</w:t>
      </w:r>
      <w:r>
        <w:rPr>
          <w:rFonts w:ascii="Arial" w:cs="Arial" w:eastAsia="Arial" w:hAnsi="Arial"/>
          <w:sz w:val="18"/>
          <w:szCs w:val="18"/>
          <w:color w:val="auto"/>
        </w:rPr>
        <w:t>, to the Interim Financial Statements included elsewhere in this Quarterly Report filed on Form 10-Q for further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sources of liquidity are net cash provided by operating activities and borrowings under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2019, Pennant entered into a credit agreement, with a borrowing capacity of $75.0 million. On February 23, 2021, Pennant entered into an amendment to the Credit Agreement (the “Amended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March 31, 2021, the Company was compliant with all such financial covenants.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252525"/>
        </w:rPr>
        <w:t xml:space="preserve">As of </w:t>
      </w:r>
      <w:r>
        <w:rPr>
          <w:rFonts w:ascii="Arial" w:cs="Arial" w:eastAsia="Arial" w:hAnsi="Arial"/>
          <w:sz w:val="18"/>
          <w:szCs w:val="18"/>
          <w:color w:val="000000"/>
        </w:rPr>
        <w:t>March 31, 2021 we had $5.6 million of cash and $119.2 million of available borrowing capacity on our Revolving Credit Facility.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existing cash, cash equivalents, cash generated through operations and our access to financing facilities, together with funding through third-party sources such as commercial banks, will be sufficient to fund our operating activities and growth needs, and provide adequate liquidity for the next twelve months.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selected data from our condensed consolidated Statement of Cash Flows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23"/>
        </w:trPr>
        <w:tc>
          <w:tcPr>
            <w:tcW w:w="8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8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color w:val="auto"/>
              </w:rPr>
              <w:t>(In thousands)</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(6,772)</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9,112</w:t>
            </w: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Net increase in cash</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4,430</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Cash at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w:t>
            </w:r>
          </w:p>
        </w:tc>
      </w:tr>
      <w:tr>
        <w:trPr>
          <w:trHeight w:val="21"/>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the Three Months Ended March 31, 2020</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net cash used in operating activities for the three months ended March 31, 2021 decreased by $9.4 million. The decrease was primarily due to a decrease in net income of $2.1 million, a decrease of $3.9 million related to prepaid items, a decrease of $2.5 million related to the timing and payment of accrued wages, and a decrease of $1.5 million related to the timing of rent payments when compared to the three months ended March 31, 2020.</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net cash used in investing activities for the three months ended March 31, 2021 decreased by $2.8 million compared to the three months ended March 31, 2020, primarily due to an decrease in capital expenditure spending of $2.2 million and a decrease in escrow deposits of $0.7 million because cash paid for escrow deposits related to acquisitions in three months ended March 31, 2021 were paid in the prior quarter.</w:t>
      </w:r>
    </w:p>
    <w:p>
      <w:pPr>
        <w:spacing w:after="0" w:line="192" w:lineRule="exact"/>
        <w:rPr>
          <w:sz w:val="20"/>
          <w:szCs w:val="20"/>
          <w:color w:val="auto"/>
        </w:rPr>
      </w:pPr>
    </w:p>
    <w:p>
      <w:pPr>
        <w:jc w:val="both"/>
        <w:ind w:firstLine="192"/>
        <w:spacing w:after="0" w:line="263" w:lineRule="auto"/>
        <w:rPr>
          <w:sz w:val="20"/>
          <w:szCs w:val="20"/>
          <w:color w:val="auto"/>
        </w:rPr>
      </w:pPr>
      <w:r>
        <w:rPr>
          <w:rFonts w:ascii="Arial" w:cs="Arial" w:eastAsia="Arial" w:hAnsi="Arial"/>
          <w:sz w:val="18"/>
          <w:szCs w:val="18"/>
          <w:color w:val="auto"/>
        </w:rPr>
        <w:t>Our net cash provided by financing activities increased by approximately $7.7 million for the three months ended March 31, 2021 compared to the three months ended March 31, 2020, primarily due to the timing of our borrowings on our Revolving Credit Facility offset by cash payment for deferred financing costs related to the amended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Other than certain draws and payments made on our Revolving Credit Facility, as described in Note 11, </w:t>
      </w:r>
      <w:r>
        <w:rPr>
          <w:rFonts w:ascii="Arial" w:cs="Arial" w:eastAsia="Arial" w:hAnsi="Arial"/>
          <w:sz w:val="18"/>
          <w:szCs w:val="18"/>
          <w:i w:val="1"/>
          <w:iCs w:val="1"/>
          <w:color w:val="auto"/>
        </w:rPr>
        <w:t>Debt</w:t>
      </w:r>
      <w:r>
        <w:rPr>
          <w:rFonts w:ascii="Arial" w:cs="Arial" w:eastAsia="Arial" w:hAnsi="Arial"/>
          <w:sz w:val="18"/>
          <w:szCs w:val="18"/>
          <w:color w:val="auto"/>
        </w:rPr>
        <w:t>, to the Interim Financial Statements in Part I of this 10-Q, there have been no material changes to our total obligations during the period covered by this 10-Q outside of the normal course of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are exposed to risks associated with market changes in interest rates. Our Revolving Credit Facility exposes us to variability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 interest payments due to changes in LIBOR. We manage our exposure to this market risk by monitoring available financing alternatives.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Interim Financial Statements for a description of claims and legal actions arising in the ordinary course of our business.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We have disclosed under the heading “Risk Factors” in the 2020 Annual Report risk factors that materially affect our business, financial condition or results of operations. You should carefully consider the risk factors set forth in the 2020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256"/>
        </w:trPr>
        <w:tc>
          <w:tcPr>
            <w:tcW w:w="1080" w:type="dxa"/>
            <w:vAlign w:val="bottom"/>
            <w:gridSpan w:val="5"/>
          </w:tcPr>
          <w:p>
            <w:pPr>
              <w:ind w:left="220"/>
              <w:spacing w:after="0"/>
              <w:rPr>
                <w:sz w:val="20"/>
                <w:szCs w:val="20"/>
                <w:color w:val="auto"/>
              </w:rPr>
            </w:pPr>
            <w:r>
              <w:rPr>
                <w:rFonts w:ascii="Arial" w:cs="Arial" w:eastAsia="Arial" w:hAnsi="Arial"/>
                <w:sz w:val="18"/>
                <w:szCs w:val="18"/>
                <w:color w:val="auto"/>
              </w:rPr>
              <w:t>Exhibit</w:t>
            </w:r>
          </w:p>
        </w:tc>
        <w:tc>
          <w:tcPr>
            <w:tcW w:w="101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23"/>
        </w:trPr>
        <w:tc>
          <w:tcPr>
            <w:tcW w:w="940" w:type="dxa"/>
            <w:vAlign w:val="bottom"/>
            <w:tcBorders>
              <w:top w:val="single" w:sz="8" w:color="auto"/>
            </w:tcBorders>
            <w:gridSpan w:val="3"/>
          </w:tcPr>
          <w:p>
            <w:pPr>
              <w:jc w:val="right"/>
              <w:spacing w:after="0"/>
              <w:rPr>
                <w:rFonts w:ascii="Arial" w:cs="Arial" w:eastAsia="Arial" w:hAnsi="Arial"/>
                <w:sz w:val="18"/>
                <w:szCs w:val="18"/>
                <w:color w:val="0000FF"/>
              </w:rPr>
            </w:pPr>
            <w:hyperlink r:id="rId5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Amended and Restated Certificate of Incorporation of The Pennant Group, Inc., effective as of September 27, 2019 (incorporated by</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Pr>
          <w:p>
            <w:pPr>
              <w:spacing w:after="0" w:line="142" w:lineRule="exact"/>
              <w:rPr>
                <w:sz w:val="20"/>
                <w:szCs w:val="20"/>
                <w:color w:val="auto"/>
              </w:rPr>
            </w:pPr>
            <w:r>
              <w:rPr>
                <w:rFonts w:ascii="Arial" w:cs="Arial" w:eastAsia="Arial" w:hAnsi="Arial"/>
                <w:sz w:val="16"/>
                <w:szCs w:val="16"/>
                <w:color w:val="auto"/>
              </w:rPr>
              <w:t>reference to Exhibit 3.1 to The Pennant Group, Inc.’s Current Report on Form 8-K (File No. 001-38900) filed with the SEC on October 3,</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2019).</w:t>
            </w:r>
          </w:p>
        </w:tc>
      </w:tr>
      <w:tr>
        <w:trPr>
          <w:trHeight w:val="242"/>
        </w:trPr>
        <w:tc>
          <w:tcPr>
            <w:tcW w:w="940" w:type="dxa"/>
            <w:vAlign w:val="bottom"/>
            <w:gridSpan w:val="3"/>
          </w:tcPr>
          <w:p>
            <w:pPr>
              <w:jc w:val="right"/>
              <w:spacing w:after="0"/>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1"/>
              </w:rPr>
              <w:t>Amended and Restated By-laws of The Pennant Group, Inc. (incorporated by reference to Exhibit 3.2 to The Pennant Group, Inc.’s Current</w:t>
            </w: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Report on Form 8-K (File No. 001-38900) filed with the SEC on October 3, 2019).</w:t>
            </w:r>
          </w:p>
        </w:tc>
      </w:tr>
      <w:tr>
        <w:trPr>
          <w:trHeight w:val="229"/>
        </w:trPr>
        <w:tc>
          <w:tcPr>
            <w:tcW w:w="620" w:type="dxa"/>
            <w:vAlign w:val="bottom"/>
          </w:tcPr>
          <w:p>
            <w:pPr>
              <w:spacing w:after="0"/>
              <w:rPr>
                <w:sz w:val="19"/>
                <w:szCs w:val="19"/>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9"/>
        </w:trPr>
        <w:tc>
          <w:tcPr>
            <w:tcW w:w="62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9"/>
        </w:trPr>
        <w:tc>
          <w:tcPr>
            <w:tcW w:w="62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9"/>
        </w:trPr>
        <w:tc>
          <w:tcPr>
            <w:tcW w:w="62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50"/>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101.INS</w:t>
            </w:r>
          </w:p>
        </w:tc>
        <w:tc>
          <w:tcPr>
            <w:tcW w:w="10100" w:type="dxa"/>
            <w:vAlign w:val="bottom"/>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101.SCH</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101.CAL</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101.DEF</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4"/>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101.LAB</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101.PRE</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Arial" w:cs="Arial" w:eastAsia="Arial" w:hAnsi="Arial"/>
                <w:sz w:val="18"/>
                <w:szCs w:val="18"/>
                <w:color w:val="auto"/>
              </w:rPr>
              <w:t>The Pennant Group, Inc.</w:t>
            </w:r>
          </w:p>
        </w:tc>
      </w:t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Dated: May 6, 2021</w:t>
            </w:r>
          </w:p>
        </w:tc>
        <w:tc>
          <w:tcPr>
            <w:tcW w:w="284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L. FREEMAN</w:t>
            </w:r>
          </w:p>
        </w:tc>
      </w:tr>
      <w:tr>
        <w:trPr>
          <w:trHeight w:val="224"/>
        </w:trPr>
        <w:tc>
          <w:tcPr>
            <w:tcW w:w="35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Jennifer L. Freeman</w:t>
            </w:r>
          </w:p>
        </w:tc>
      </w:tr>
    </w:tbl>
    <w:p>
      <w:pPr>
        <w:ind w:left="6380"/>
        <w:spacing w:after="0" w:line="220" w:lineRule="auto"/>
        <w:rPr>
          <w:sz w:val="20"/>
          <w:szCs w:val="20"/>
          <w:color w:val="auto"/>
        </w:rPr>
      </w:pPr>
      <w:r>
        <w:rPr>
          <w:rFonts w:ascii="Arial" w:cs="Arial" w:eastAsia="Arial" w:hAnsi="Arial"/>
          <w:sz w:val="18"/>
          <w:szCs w:val="18"/>
          <w:color w:val="auto"/>
        </w:rPr>
        <w:t>Chief Financial Officer (Principal Financial Officer and Duly</w:t>
      </w:r>
    </w:p>
    <w:p>
      <w:pPr>
        <w:ind w:left="63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Daniel H Walker,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DANIEL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14605</wp:posOffset>
            </wp:positionV>
            <wp:extent cx="2691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Name:</w:t>
        <w:tab/>
        <w:t>Daniel H Walker</w:t>
      </w:r>
    </w:p>
    <w:tbl>
      <w:tblPr>
        <w:tblLayout w:type="fixed"/>
        <w:tblInd w:w="5600" w:type="dxa"/>
        <w:tblCellMar>
          <w:top w:w="0" w:type="dxa"/>
          <w:left w:w="0" w:type="dxa"/>
          <w:bottom w:w="0" w:type="dxa"/>
          <w:right w:w="0" w:type="dxa"/>
        </w:tblCellMar>
      </w:tblPr>
      <w:tr>
        <w:trPr>
          <w:trHeight w:val="199"/>
        </w:trPr>
        <w:tc>
          <w:tcPr>
            <w:tcW w:w="6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980" w:type="dxa"/>
            <w:vAlign w:val="bottom"/>
          </w:tcPr>
          <w:p>
            <w:pPr>
              <w:ind w:left="200"/>
              <w:spacing w:after="0" w:line="199" w:lineRule="exact"/>
              <w:rPr>
                <w:sz w:val="20"/>
                <w:szCs w:val="20"/>
                <w:color w:val="auto"/>
              </w:rPr>
            </w:pPr>
            <w:r>
              <w:rPr>
                <w:rFonts w:ascii="Arial" w:cs="Arial" w:eastAsia="Arial" w:hAnsi="Arial"/>
                <w:sz w:val="18"/>
                <w:szCs w:val="18"/>
                <w:color w:val="auto"/>
                <w:w w:val="91"/>
              </w:rPr>
              <w:t>Chairman and Chief Executive Officer</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2980" w:type="dxa"/>
            <w:vAlign w:val="bottom"/>
            <w:vMerge w:val="restart"/>
          </w:tcPr>
          <w:p>
            <w:pPr>
              <w:ind w:left="2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Jennifer L. Freeman, certify that:</w:t>
      </w:r>
    </w:p>
    <w:p>
      <w:pPr>
        <w:spacing w:after="0" w:line="40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6746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 (Principal Financial</w:t>
      </w:r>
    </w:p>
    <w:p>
      <w:pPr>
        <w:ind w:left="5660"/>
        <w:spacing w:after="0" w:line="203" w:lineRule="auto"/>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440"/>
        <w:spacing w:after="0"/>
        <w:rPr>
          <w:sz w:val="20"/>
          <w:szCs w:val="20"/>
          <w:color w:val="auto"/>
        </w:rPr>
      </w:pPr>
      <w:r>
        <w:rPr>
          <w:rFonts w:ascii="Arial" w:cs="Arial" w:eastAsia="Arial" w:hAnsi="Arial"/>
          <w:sz w:val="18"/>
          <w:szCs w:val="18"/>
          <w:i w:val="1"/>
          <w:iCs w:val="1"/>
          <w:color w:val="auto"/>
        </w:rPr>
        <w:t>Authorized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Quarterly Report of The Pennant Group, Inc. (the Company) on Form 10-Q for the period ended March 31, 2021, as filed with the Securities and Exchange Commission on the date hereof (the Report), I, Daniel H Walker, Chief Executive Officer of the Company, certify, pursuant to 18 U.S.C. § 1350, as adopted pursuant to Section 906 of the Sarbanes-Oxley Act of 2002, that to my knowledge:</w:t>
      </w:r>
    </w:p>
    <w:p>
      <w:pPr>
        <w:spacing w:after="0" w:line="240" w:lineRule="exact"/>
        <w:rPr>
          <w:sz w:val="20"/>
          <w:szCs w:val="20"/>
          <w:color w:val="auto"/>
        </w:rPr>
      </w:pPr>
    </w:p>
    <w:p>
      <w:pPr>
        <w:ind w:left="700" w:hanging="35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H WALKER</w:t>
      </w:r>
    </w:p>
    <w:p>
      <w:pPr>
        <w:spacing w:after="0" w:line="23" w:lineRule="exact"/>
        <w:rPr>
          <w:sz w:val="20"/>
          <w:szCs w:val="20"/>
          <w:color w:val="auto"/>
        </w:rPr>
      </w:pPr>
    </w:p>
    <w:tbl>
      <w:tblPr>
        <w:tblLayout w:type="fixed"/>
        <w:tblInd w:w="540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Daniel H Walker</w:t>
            </w:r>
          </w:p>
        </w:tc>
        <w:tc>
          <w:tcPr>
            <w:tcW w:w="0" w:type="dxa"/>
            <w:vAlign w:val="bottom"/>
          </w:tcPr>
          <w:p>
            <w:pPr>
              <w:spacing w:after="0"/>
              <w:rPr>
                <w:sz w:val="1"/>
                <w:szCs w:val="1"/>
                <w:color w:val="auto"/>
              </w:rPr>
            </w:pPr>
          </w:p>
        </w:tc>
      </w:tr>
      <w:tr>
        <w:trPr>
          <w:trHeight w:val="176"/>
        </w:trPr>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3700" w:type="dxa"/>
            <w:vAlign w:val="bottom"/>
          </w:tcPr>
          <w:p>
            <w:pPr>
              <w:ind w:left="160"/>
              <w:spacing w:after="0" w:line="176" w:lineRule="exact"/>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135"/>
        </w:trPr>
        <w:tc>
          <w:tcPr>
            <w:tcW w:w="680" w:type="dxa"/>
            <w:vAlign w:val="bottom"/>
            <w:vMerge w:val="continue"/>
          </w:tcPr>
          <w:p>
            <w:pPr>
              <w:spacing w:after="0"/>
              <w:rPr>
                <w:sz w:val="11"/>
                <w:szCs w:val="11"/>
                <w:color w:val="auto"/>
              </w:rPr>
            </w:pPr>
          </w:p>
        </w:tc>
        <w:tc>
          <w:tcPr>
            <w:tcW w:w="370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May 6, 2021</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The Pennant Group, Inc. (the Company) on Form 10-Q for the period ended March 31, 2021, as filed with the Securities and Exchange Commission on the date hereof (the Report), I, Jennifer L. Freeman, Chief Financial Officer of the Company, certify, pursuant to 18 U.S.C. § 1350, as adopted pursuant to Section 906 of the Sarbanes-Oxley Act of 2002, that to my knowledge:</w:t>
      </w:r>
    </w:p>
    <w:p>
      <w:pPr>
        <w:spacing w:after="0" w:line="233" w:lineRule="exact"/>
        <w:rPr>
          <w:sz w:val="20"/>
          <w:szCs w:val="20"/>
          <w:color w:val="auto"/>
        </w:rPr>
      </w:pPr>
    </w:p>
    <w:p>
      <w:pPr>
        <w:ind w:left="700" w:hanging="35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2768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 (Principal Financial</w:t>
      </w:r>
    </w:p>
    <w:p>
      <w:pPr>
        <w:ind w:left="5440"/>
        <w:spacing w:after="0" w:line="203" w:lineRule="auto"/>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240"/>
        <w:spacing w:after="0"/>
        <w:rPr>
          <w:sz w:val="20"/>
          <w:szCs w:val="20"/>
          <w:color w:val="auto"/>
        </w:rPr>
      </w:pPr>
      <w:r>
        <w:rPr>
          <w:rFonts w:ascii="Arial" w:cs="Arial" w:eastAsia="Arial" w:hAnsi="Arial"/>
          <w:sz w:val="18"/>
          <w:szCs w:val="18"/>
          <w:i w:val="1"/>
          <w:iCs w:val="1"/>
          <w:color w:val="auto"/>
        </w:rPr>
        <w:t>Authorized Officer)</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May 6, 2021</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lvl w:ilvl="1">
      <w:lvlJc w:val="left"/>
      <w:lvlText w:val="(%2)"/>
      <w:numFmt w:val="lowerLetter"/>
      <w:start w:val="1"/>
    </w:lvl>
  </w:abstractNum>
  <w:abstractNum w:abstractNumId="4">
    <w:nsid w:val="2443A858"/>
    <w:multiLevelType w:val="hybridMultilevel"/>
    <w:lvl w:ilvl="0">
      <w:lvlJc w:val="left"/>
      <w:lvlText w:val="%1."/>
      <w:numFmt w:val="decimal"/>
      <w:start w:val="5"/>
    </w:lvl>
    <w:lvl w:ilvl="1">
      <w:lvlJc w:val="left"/>
      <w:lvlText w:val="%2"/>
      <w:numFmt w:val="lowerLetter"/>
      <w:start w:val="1"/>
    </w:lvl>
  </w:abstractNum>
  <w:abstractNum w:abstractNumId="5">
    <w:nsid w:val="2D1D5AE9"/>
    <w:multiLevelType w:val="hybridMultilevel"/>
    <w:lvl w:ilvl="0">
      <w:lvlJc w:val="left"/>
      <w:lvlText w:val="(%1)"/>
      <w:numFmt w:val="lowerLetter"/>
      <w:start w:val="5"/>
    </w:lvl>
  </w:abstractNum>
  <w:abstractNum w:abstractNumId="6">
    <w:nsid w:val="6763845E"/>
    <w:multiLevelType w:val="hybridMultilevel"/>
    <w:lvl w:ilvl="0">
      <w:lvlJc w:val="left"/>
      <w:lvlText w:val="(%1)"/>
      <w:numFmt w:val="lowerLetter"/>
      <w:start w:val="7"/>
    </w:lvl>
  </w:abstractNum>
  <w:abstractNum w:abstractNumId="7">
    <w:nsid w:val="75A2A8D4"/>
    <w:multiLevelType w:val="hybridMultilevel"/>
    <w:lvl w:ilvl="0">
      <w:lvlJc w:val="left"/>
      <w:lvlText w:val="(%1)"/>
      <w:numFmt w:val="lowerLetter"/>
      <w:start w:val="6"/>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decimal"/>
      <w:start w:val="1"/>
    </w:lvl>
    <w:lvl w:ilvl="1">
      <w:lvlJc w:val="left"/>
      <w:lvlText w:val="(%2)"/>
      <w:numFmt w:val="lowerLetter"/>
      <w:start w:val="3"/>
    </w:lvl>
  </w:abstractNum>
  <w:abstractNum w:abstractNumId="12">
    <w:nsid w:val="189A769B"/>
    <w:multiLevelType w:val="hybridMultilevel"/>
    <w:lvl w:ilvl="0">
      <w:lvlJc w:val="left"/>
      <w:lvlText w:val="%1."/>
      <w:numFmt w:val="decimal"/>
      <w:start w:val="7"/>
    </w:lvl>
    <w:lvl w:ilvl="1">
      <w:lvlJc w:val="left"/>
      <w:lvlText w:val="%2"/>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Roman"/>
      <w:start w:val="2"/>
    </w:lvl>
  </w:abstractNum>
  <w:abstractNum w:abstractNumId="17">
    <w:nsid w:val="2901D82"/>
    <w:multiLevelType w:val="hybridMultilevel"/>
    <w:lvl w:ilvl="0">
      <w:lvlJc w:val="left"/>
      <w:lvlText w:val="(%1)"/>
      <w:numFmt w:val="lowerRoman"/>
      <w:start w:val="4"/>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2"/>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bullet"/>
      <w:start w:val="1"/>
    </w:lvl>
  </w:abstractNum>
  <w:abstractNum w:abstractNumId="37">
    <w:nsid w:val="5E884ADC"/>
    <w:multiLevelType w:val="hybridMultilevel"/>
    <w:lvl w:ilvl="0">
      <w:lvlJc w:val="left"/>
      <w:lvlText w:val="2"/>
      <w:numFmt w:val="bullet"/>
      <w:start w:val="1"/>
    </w:lvl>
  </w:abstractNum>
  <w:abstractNum w:abstractNumId="38">
    <w:nsid w:val="51EAD36B"/>
    <w:multiLevelType w:val="hybridMultilevel"/>
    <w:lvl w:ilvl="0">
      <w:lvlJc w:val="left"/>
      <w:lvlText w:val="1"/>
      <w:numFmt w:val="bullet"/>
      <w:start w:val="1"/>
    </w:lvl>
  </w:abstractNum>
  <w:abstractNum w:abstractNumId="39">
    <w:nsid w:val="2D51779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5" Type="http://schemas.openxmlformats.org/officeDocument/2006/relationships/hyperlink" Target="https://www.sec.gov/Archives/edgar/data/1766400/000119312519235824/d693607dex31.htm" TargetMode="External"/><Relationship Id="rId56" Type="http://schemas.openxmlformats.org/officeDocument/2006/relationships/hyperlink" Target="https://www.sec.gov/Archives/edgar/data/1766400/000119312519235824/d693607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2021-05-06T15:40:34Z</dcterms:created>
  <dcterms:modified xsi:type="dcterms:W3CDTF">2021-05-06T15:40:34Z</dcterms:modified>
</cp:coreProperties>
</file>