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June 30, 2023.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left"/>
        <w:rPr/>
      </w:pPr>
      <w:r>
        <w:rPr>
          <w:color w:val="000000"/>
        </w:rPr>
        <w:t>    </w:t>
      </w: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r>
        <w:rPr>
          <w:rFonts w:ascii="Times New Roman;sans-serif" w:hAnsi="Times New Roman;sans-serif"/>
          <w:b/>
          <w:color w:val="000000"/>
          <w:sz w:val="18"/>
        </w:rPr>
        <w:t>.</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001-38900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THE PENNANT GROUP,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748" w:type="dxa"/>
        <w:jc w:val="center"/>
        <w:tblInd w:w="0" w:type="dxa"/>
        <w:tblLayout w:type="fixed"/>
        <w:tblCellMar>
          <w:top w:w="28" w:type="dxa"/>
          <w:left w:w="28" w:type="dxa"/>
          <w:bottom w:w="28" w:type="dxa"/>
          <w:right w:w="28" w:type="dxa"/>
        </w:tblCellMar>
      </w:tblPr>
      <w:tblGrid>
        <w:gridCol w:w="827"/>
        <w:gridCol w:w="730"/>
        <w:gridCol w:w="737"/>
        <w:gridCol w:w="425"/>
        <w:gridCol w:w="425"/>
        <w:gridCol w:w="604"/>
      </w:tblGrid>
      <w:tr>
        <w:trPr/>
        <w:tc>
          <w:tcPr>
            <w:tcW w:w="8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83-3349931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1675 East Riverside Drive, Suite 150, Eagle, ID 83616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and Zip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(208) 506-6100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47"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None </w:t>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PNTG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0" w:after="0"/>
        <w:ind w:left="0" w:right="0" w:firstLine="495"/>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bidi w:val="0"/>
        <w:spacing w:before="0" w:after="0"/>
        <w:jc w:val="center"/>
        <w:rPr/>
      </w:pPr>
      <w:r>
        <w:rPr/>
      </w:r>
    </w:p>
    <w:p>
      <w:pPr>
        <w:pStyle w:val="TextBody"/>
        <w:bidi w:val="0"/>
        <w:spacing w:lineRule="auto" w:line="288" w:before="200" w:after="283"/>
        <w:ind w:left="0" w:right="0" w:firstLine="495"/>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200" w:after="283"/>
        <w:ind w:left="0" w:right="0" w:firstLine="495"/>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18"/>
        </w:rPr>
        <w:t xml:space="preserve">Indicate by a check mark whether the registrant is a shell company (as defined in Rule 12b-2 of the Exchange Act).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August 7, 2023, 29,850,343 shares of the registrant’s common stock were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PENNANT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AND SIX MONTHS ENDED JUNE 30, 2023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9"/>
        <w:gridCol w:w="246"/>
        <w:gridCol w:w="247"/>
        <w:gridCol w:w="109"/>
        <w:gridCol w:w="2991"/>
        <w:gridCol w:w="2976"/>
        <w:gridCol w:w="2982"/>
        <w:gridCol w:w="109"/>
        <w:gridCol w:w="109"/>
        <w:gridCol w:w="157"/>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10">
              <w:r>
                <w:rPr>
                  <w:rStyle w:val="InternetLink"/>
                  <w:rFonts w:ascii="Times New Roman;sans-serif" w:hAnsi="Times New Roman;sans-serif"/>
                  <w:b/>
                  <w:color w:val="0000FF"/>
                  <w:sz w:val="20"/>
                  <w:u w:val="single"/>
                </w:rPr>
                <w:t>Part I.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23e21d19b34bf5bbe16e9faf030259_13">
              <w:r>
                <w:rPr>
                  <w:rStyle w:val="InternetLink"/>
                  <w:rFonts w:ascii="Times New Roman;sans-serif" w:hAnsi="Times New Roman;sans-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13">
              <w:r>
                <w:rPr>
                  <w:rStyle w:val="InternetLink"/>
                  <w:rFonts w:ascii="Times New Roman;sans-serif" w:hAnsi="Times New Roman;sans-serif"/>
                  <w:b w:val="false"/>
                  <w:color w:val="0000FF"/>
                  <w:sz w:val="20"/>
                  <w:u w:val="single"/>
                </w:rPr>
                <w:t>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16">
              <w:r>
                <w:rPr>
                  <w:rStyle w:val="InternetLink"/>
                  <w:rFonts w:ascii="Times New Roman;sans-serif" w:hAnsi="Times New Roman;sans-serif"/>
                  <w:b w:val="false"/>
                  <w:color w:val="0000FF"/>
                  <w:sz w:val="20"/>
                  <w:u w:val="single"/>
                </w:rPr>
                <w:t>Condensed Consolidated Balance Sheets as of June 30, 2023 and December 31,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16">
              <w:r>
                <w:rPr>
                  <w:rStyle w:val="InternetLink"/>
                  <w:rFonts w:ascii="Times New Roman;sans-serif" w:hAnsi="Times New Roman;sans-serif"/>
                  <w:b w:val="false"/>
                  <w:color w:val="0000FF"/>
                  <w:sz w:val="20"/>
                  <w:u w:val="single"/>
                </w:rPr>
                <w:t>1</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19">
              <w:r>
                <w:rPr>
                  <w:rStyle w:val="InternetLink"/>
                  <w:rFonts w:ascii="Times New Roman;sans-serif" w:hAnsi="Times New Roman;sans-serif"/>
                  <w:b w:val="false"/>
                  <w:color w:val="0000FF"/>
                  <w:sz w:val="20"/>
                  <w:u w:val="single"/>
                </w:rPr>
                <w:t>Condensed Consolidated Statements of Income for the three and six months ended June 30,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19">
              <w:r>
                <w:rPr>
                  <w:rStyle w:val="InternetLink"/>
                  <w:rFonts w:ascii="Times New Roman;sans-serif" w:hAnsi="Times New Roman;sans-serif"/>
                  <w:b w:val="false"/>
                  <w:color w:val="0000FF"/>
                  <w:sz w:val="20"/>
                  <w:u w:val="single"/>
                </w:rPr>
                <w:t>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22">
              <w:r>
                <w:rPr>
                  <w:rStyle w:val="InternetLink"/>
                  <w:rFonts w:ascii="Times New Roman;sans-serif" w:hAnsi="Times New Roman;sans-serif"/>
                  <w:b w:val="false"/>
                  <w:color w:val="0000FF"/>
                  <w:sz w:val="20"/>
                  <w:u w:val="single"/>
                </w:rPr>
                <w:t>Condensed Consolidated Statements of Stockholders’ Equity for the three and six months ended June 30,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22">
              <w:r>
                <w:rPr>
                  <w:rStyle w:val="InternetLink"/>
                  <w:rFonts w:ascii="Times New Roman;sans-serif" w:hAnsi="Times New Roman;sans-serif"/>
                  <w:b w:val="false"/>
                  <w:color w:val="0000FF"/>
                  <w:sz w:val="20"/>
                  <w:u w:val="single"/>
                </w:rPr>
                <w:t>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25">
              <w:r>
                <w:rPr>
                  <w:rStyle w:val="InternetLink"/>
                  <w:rFonts w:ascii="Times New Roman;sans-serif" w:hAnsi="Times New Roman;sans-serif"/>
                  <w:b w:val="false"/>
                  <w:color w:val="0000FF"/>
                  <w:sz w:val="20"/>
                  <w:u w:val="single"/>
                </w:rPr>
                <w:t>Condensed Consolidated Statements of Cash Flows for the six months ended June 30,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25">
              <w:r>
                <w:rPr>
                  <w:rStyle w:val="InternetLink"/>
                  <w:rFonts w:ascii="Times New Roman;sans-serif" w:hAnsi="Times New Roman;sans-serif"/>
                  <w:b w:val="false"/>
                  <w:color w:val="0000FF"/>
                  <w:sz w:val="20"/>
                  <w:u w:val="single"/>
                </w:rPr>
                <w:t>4</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28">
              <w:r>
                <w:rPr>
                  <w:rStyle w:val="InternetLink"/>
                  <w:rFonts w:ascii="Times New Roman;sans-serif" w:hAnsi="Times New Roman;sans-serif"/>
                  <w:b w:val="false"/>
                  <w:color w:val="0000FF"/>
                  <w:sz w:val="20"/>
                  <w:u w:val="single"/>
                </w:rPr>
                <w:t>Notes to the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28">
              <w:r>
                <w:rPr>
                  <w:rStyle w:val="InternetLink"/>
                  <w:rFonts w:ascii="Times New Roman;sans-serif" w:hAnsi="Times New Roman;sans-serif"/>
                  <w:b w:val="false"/>
                  <w:color w:val="0000FF"/>
                  <w:sz w:val="20"/>
                  <w:u w:val="single"/>
                </w:rPr>
                <w:t>6</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23e21d19b34bf5bbe16e9faf030259_112">
              <w:r>
                <w:rPr>
                  <w:rStyle w:val="InternetLink"/>
                  <w:rFonts w:ascii="Times New Roman;sans-serif" w:hAnsi="Times New Roman;sans-serif"/>
                  <w:b w:val="false"/>
                  <w:color w:val="0000FF"/>
                  <w:sz w:val="20"/>
                  <w:u w:val="single"/>
                </w:rPr>
                <w:t>Item 2.</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11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112">
              <w:r>
                <w:rPr>
                  <w:rStyle w:val="InternetLink"/>
                  <w:rFonts w:ascii="Times New Roman;sans-serif" w:hAnsi="Times New Roman;sans-serif"/>
                  <w:b w:val="false"/>
                  <w:color w:val="0000FF"/>
                  <w:sz w:val="20"/>
                  <w:u w:val="single"/>
                </w:rPr>
                <w:t>23</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23e21d19b34bf5bbe16e9faf030259_184">
              <w:r>
                <w:rPr>
                  <w:rStyle w:val="InternetLink"/>
                  <w:rFonts w:ascii="Times New Roman;sans-serif" w:hAnsi="Times New Roman;sans-serif"/>
                  <w:b w:val="false"/>
                  <w:color w:val="0000FF"/>
                  <w:sz w:val="20"/>
                  <w:u w:val="single"/>
                </w:rPr>
                <w:t>Item 3.</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184">
              <w:r>
                <w:rPr>
                  <w:rStyle w:val="InternetLink"/>
                  <w:rFonts w:ascii="Times New Roman;sans-serif" w:hAnsi="Times New Roman;sans-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184">
              <w:r>
                <w:rPr>
                  <w:rStyle w:val="InternetLink"/>
                  <w:rFonts w:ascii="Times New Roman;sans-serif" w:hAnsi="Times New Roman;sans-serif"/>
                  <w:b w:val="false"/>
                  <w:color w:val="0000FF"/>
                  <w:sz w:val="20"/>
                  <w:u w:val="single"/>
                </w:rPr>
                <w:t>43</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23e21d19b34bf5bbe16e9faf030259_187">
              <w:r>
                <w:rPr>
                  <w:rStyle w:val="InternetLink"/>
                  <w:rFonts w:ascii="Times New Roman;sans-serif" w:hAnsi="Times New Roman;sans-serif"/>
                  <w:b w:val="false"/>
                  <w:color w:val="0000FF"/>
                  <w:sz w:val="20"/>
                  <w:u w:val="single"/>
                </w:rPr>
                <w:t>Item 4.</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187">
              <w:r>
                <w:rPr>
                  <w:rStyle w:val="InternetLink"/>
                  <w:rFonts w:ascii="Times New Roman;sans-serif" w:hAnsi="Times New Roman;sans-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187">
              <w:r>
                <w:rPr>
                  <w:rStyle w:val="InternetLink"/>
                  <w:rFonts w:ascii="Times New Roman;sans-serif" w:hAnsi="Times New Roman;sans-serif"/>
                  <w:b w:val="false"/>
                  <w:color w:val="0000FF"/>
                  <w:sz w:val="20"/>
                  <w:u w:val="single"/>
                </w:rPr>
                <w:t>43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923e21d19b34bf5bbe16e9faf030259_190">
              <w:r>
                <w:rPr>
                  <w:rStyle w:val="InternetLink"/>
                  <w:rFonts w:ascii="Times New Roman;sans-serif" w:hAnsi="Times New Roman;sans-serif"/>
                  <w:b/>
                  <w:color w:val="0000FF"/>
                  <w:sz w:val="20"/>
                  <w:u w:val="single"/>
                </w:rPr>
                <w:t>Part II. 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23e21d19b34bf5bbe16e9faf030259_193">
              <w:r>
                <w:rPr>
                  <w:rStyle w:val="InternetLink"/>
                  <w:rFonts w:ascii="Times New Roman;sans-serif" w:hAnsi="Times New Roman;sans-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193">
              <w:r>
                <w:rPr>
                  <w:rStyle w:val="InternetLink"/>
                  <w:rFonts w:ascii="Times New Roman;sans-serif" w:hAnsi="Times New Roman;sans-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193">
              <w:r>
                <w:rPr>
                  <w:rStyle w:val="InternetLink"/>
                  <w:rFonts w:ascii="Times New Roman;sans-serif" w:hAnsi="Times New Roman;sans-serif"/>
                  <w:b w:val="false"/>
                  <w:color w:val="0000FF"/>
                  <w:sz w:val="20"/>
                  <w:u w:val="single"/>
                </w:rPr>
                <w:t>44</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23e21d19b34bf5bbe16e9faf030259_196">
              <w:r>
                <w:rPr>
                  <w:rStyle w:val="InternetLink"/>
                  <w:rFonts w:ascii="Times New Roman;sans-serif" w:hAnsi="Times New Roman;sans-serif"/>
                  <w:b w:val="false"/>
                  <w:color w:val="0000FF"/>
                  <w:sz w:val="20"/>
                  <w:u w:val="single"/>
                </w:rPr>
                <w:t>Item 1A.</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196">
              <w:r>
                <w:rPr>
                  <w:rStyle w:val="InternetLink"/>
                  <w:rFonts w:ascii="Times New Roman;sans-serif" w:hAnsi="Times New Roman;sans-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196">
              <w:r>
                <w:rPr>
                  <w:rStyle w:val="InternetLink"/>
                  <w:rFonts w:ascii="Times New Roman;sans-serif" w:hAnsi="Times New Roman;sans-serif"/>
                  <w:b w:val="false"/>
                  <w:color w:val="0000FF"/>
                  <w:sz w:val="20"/>
                  <w:u w:val="single"/>
                </w:rPr>
                <w:t>44</w:t>
              </w:r>
            </w:hyperlink>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23e21d19b34bf5bbe16e9faf030259_199">
              <w:r>
                <w:rPr>
                  <w:rStyle w:val="InternetLink"/>
                  <w:rFonts w:ascii="Times New Roman;sans-serif" w:hAnsi="Times New Roman;sans-serif"/>
                  <w:b w:val="false"/>
                  <w:color w:val="0000FF"/>
                  <w:sz w:val="20"/>
                  <w:u w:val="single"/>
                </w:rPr>
                <w:t>Item 6.</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199">
              <w:r>
                <w:rPr>
                  <w:rStyle w:val="InternetLink"/>
                  <w:rFonts w:ascii="Times New Roman;sans-serif" w:hAnsi="Times New Roman;sans-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199">
              <w:r>
                <w:rPr>
                  <w:rStyle w:val="InternetLink"/>
                  <w:rFonts w:ascii="Times New Roman;sans-serif" w:hAnsi="Times New Roman;sans-serif"/>
                  <w:b w:val="false"/>
                  <w:color w:val="0000FF"/>
                  <w:sz w:val="20"/>
                  <w:u w:val="single"/>
                </w:rPr>
                <w:t>45</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923e21d19b34bf5bbe16e9faf030259_202">
              <w:r>
                <w:rPr>
                  <w:rStyle w:val="InternetLink"/>
                  <w:rFonts w:ascii="Times New Roman;sans-serif" w:hAnsi="Times New Roman;sans-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23e21d19b34bf5bbe16e9faf030259_202">
              <w:r>
                <w:rPr>
                  <w:rStyle w:val="InternetLink"/>
                  <w:rFonts w:ascii="Times New Roman;sans-serif" w:hAnsi="Times New Roman;sans-serif"/>
                  <w:b w:val="false"/>
                  <w:color w:val="0000FF"/>
                  <w:sz w:val="20"/>
                  <w:u w:val="single"/>
                </w:rPr>
                <w:t>46</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I. </w:t>
      </w:r>
      <w:r>
        <w:rPr>
          <w:rFonts w:ascii="Times New Roman;sans-serif" w:hAnsi="Times New Roman;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69"/>
        <w:gridCol w:w="2303"/>
        <w:gridCol w:w="2232"/>
        <w:gridCol w:w="218"/>
        <w:gridCol w:w="857"/>
        <w:gridCol w:w="113"/>
        <w:gridCol w:w="109"/>
        <w:gridCol w:w="109"/>
        <w:gridCol w:w="109"/>
        <w:gridCol w:w="245"/>
        <w:gridCol w:w="960"/>
        <w:gridCol w:w="181"/>
      </w:tblGrid>
      <w:tr>
        <w:trPr/>
        <w:tc>
          <w:tcPr>
            <w:tcW w:w="2769"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receivable—less allowance for doubtful accounts of $957 and $592, respectively</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and other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512,119 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and related liabilities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liabilities—current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liabilities—less current portion</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381,716 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386,462 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$0.001 par value; 100,000 shares authorized; 30,251 and 29,799 shares issued and outstanding, respectively, at June 30, 2023; and 30,149 and 29,692 shares issued and outstanding, respectively, at December 31, 2022 </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3 shares at June 30, 2023 and December 31, 2022</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Pennant Group, Inc. stockholders’ equity</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121,012 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515,414 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512,119 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for per-share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87"/>
        <w:gridCol w:w="1412"/>
        <w:gridCol w:w="1392"/>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6"/>
      </w:tblGrid>
      <w:tr>
        <w:trPr/>
        <w:tc>
          <w:tcPr>
            <w:tcW w:w="178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asset dispositions and impairment,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and other comprehensive income attributable to The Pennant Group, Inc.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w:t>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984" w:type="dxa"/>
        <w:jc w:val="center"/>
        <w:tblInd w:w="0" w:type="dxa"/>
        <w:tblLayout w:type="fixed"/>
        <w:tblCellMar>
          <w:top w:w="28" w:type="dxa"/>
          <w:left w:w="28" w:type="dxa"/>
          <w:bottom w:w="28" w:type="dxa"/>
          <w:right w:w="28" w:type="dxa"/>
        </w:tblCellMar>
      </w:tblPr>
      <w:tblGrid>
        <w:gridCol w:w="74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300"/>
        <w:gridCol w:w="853"/>
        <w:gridCol w:w="168"/>
        <w:gridCol w:w="109"/>
        <w:gridCol w:w="109"/>
        <w:gridCol w:w="109"/>
        <w:gridCol w:w="196"/>
        <w:gridCol w:w="736"/>
        <w:gridCol w:w="154"/>
      </w:tblGrid>
      <w:tr>
        <w:trPr/>
        <w:tc>
          <w:tcPr>
            <w:tcW w:w="7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30,203 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984" w:type="dxa"/>
        <w:jc w:val="center"/>
        <w:tblInd w:w="0" w:type="dxa"/>
        <w:tblLayout w:type="fixed"/>
        <w:tblCellMar>
          <w:top w:w="28" w:type="dxa"/>
          <w:left w:w="28" w:type="dxa"/>
          <w:bottom w:w="28" w:type="dxa"/>
          <w:right w:w="28" w:type="dxa"/>
        </w:tblCellMar>
      </w:tblPr>
      <w:tblGrid>
        <w:gridCol w:w="74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300"/>
        <w:gridCol w:w="853"/>
        <w:gridCol w:w="168"/>
        <w:gridCol w:w="109"/>
        <w:gridCol w:w="109"/>
        <w:gridCol w:w="109"/>
        <w:gridCol w:w="196"/>
        <w:gridCol w:w="736"/>
        <w:gridCol w:w="154"/>
      </w:tblGrid>
      <w:tr>
        <w:trPr/>
        <w:tc>
          <w:tcPr>
            <w:tcW w:w="7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The Pennant Group, Inc.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8516" w:type="dxa"/>
        <w:jc w:val="center"/>
        <w:tblInd w:w="0" w:type="dxa"/>
        <w:tblLayout w:type="fixed"/>
        <w:tblCellMar>
          <w:top w:w="28" w:type="dxa"/>
          <w:left w:w="28" w:type="dxa"/>
          <w:bottom w:w="28" w:type="dxa"/>
          <w:right w:w="28" w:type="dxa"/>
        </w:tblCellMar>
      </w:tblPr>
      <w:tblGrid>
        <w:gridCol w:w="2260"/>
        <w:gridCol w:w="1982"/>
        <w:gridCol w:w="1998"/>
        <w:gridCol w:w="206"/>
        <w:gridCol w:w="584"/>
        <w:gridCol w:w="114"/>
        <w:gridCol w:w="114"/>
        <w:gridCol w:w="114"/>
        <w:gridCol w:w="114"/>
        <w:gridCol w:w="206"/>
        <w:gridCol w:w="663"/>
        <w:gridCol w:w="161"/>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fees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 net of acquisitions:</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wages and related liabilities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(CARES Act advance payments)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business acquisitions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Credit Facility</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Revolving Credit Facility</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exercise of options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increase (decrease) in cash </w:t>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beginning of period</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end of period</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(Continued)</w: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9774" w:type="dxa"/>
        <w:jc w:val="center"/>
        <w:tblInd w:w="0" w:type="dxa"/>
        <w:tblLayout w:type="fixed"/>
        <w:tblCellMar>
          <w:top w:w="28" w:type="dxa"/>
          <w:left w:w="28" w:type="dxa"/>
          <w:bottom w:w="28" w:type="dxa"/>
          <w:right w:w="28" w:type="dxa"/>
        </w:tblCellMar>
      </w:tblPr>
      <w:tblGrid>
        <w:gridCol w:w="2686"/>
        <w:gridCol w:w="2363"/>
        <w:gridCol w:w="2376"/>
        <w:gridCol w:w="196"/>
        <w:gridCol w:w="646"/>
        <w:gridCol w:w="109"/>
        <w:gridCol w:w="109"/>
        <w:gridCol w:w="109"/>
        <w:gridCol w:w="109"/>
        <w:gridCol w:w="196"/>
        <w:gridCol w:w="721"/>
        <w:gridCol w:w="154"/>
      </w:tblGrid>
      <w:tr>
        <w:trPr/>
        <w:tc>
          <w:tcPr>
            <w:tcW w:w="2686"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obligations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 to right-of-use assets and lease liabilities from lease modifications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 to right-of-use assets and lease liabilities from lease terminations and assignments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(42,515)</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activity:</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 accounts payable</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PENNANT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 and operational senior living units)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BUSINESS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Pennant Group, Inc. (herein referred to as “Pennant,” the “Company,” “it,” or “its”), is a holding company with no direct operating assets, employees or revenue. The Company, through its independent operating subsidiaries, provides healthcare services across the post-acute care continuum. As of June 30, 2023, the Company’s subsidiaries operated 101 home health, hospice and home care agencies and 51 senior living communities located in Arizona, California, Colorado, Idaho, Iowa, Montana, Nevada, Oklahoma, Oregon, Texas, Utah, Washington, Wisconsin and Wyoming.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subsidiaries, collectively referred to as the Service Center, provide accounting, payroll, human resources, information technology, legal, risk management, and other services to the operations through contractual relationships.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2. BASIS OF PRESENTATION AND SUMMARY OF SIGNIFICANT ACCOUNTING POLICIES</w:t>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Basis of Presentation - </w:t>
      </w:r>
      <w:r>
        <w:rPr>
          <w:rFonts w:ascii="Times New Roman;sans-serif" w:hAnsi="Times New Roman;sans-serif"/>
          <w:b w:val="false"/>
          <w:color w:val="000000"/>
          <w:sz w:val="20"/>
        </w:rPr>
        <w:t xml:space="preserve">The accompanying unaudited condensed consolidated financial statements of the Company (the “Interim Financial 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December 31, 2022 is derived from the Company’s annual audited Consolidated Financial Statements for the fiscal year ended December 31, 2022,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significant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Estimates and Assumptions -</w:t>
      </w:r>
      <w:r>
        <w:rPr>
          <w:color w:val="000000"/>
        </w:rPr>
        <w:t xml:space="preserve"> </w:t>
      </w:r>
      <w:r>
        <w:rPr>
          <w:rFonts w:ascii="Times New Roman;sans-serif" w:hAnsi="Times New Roman;sans-serif"/>
          <w:b w:val="false"/>
          <w:color w:val="000000"/>
          <w:sz w:val="20"/>
        </w:rPr>
        <w:t>The preparation of the Interim Financial Statements in conformity with GAAP requires management to make certain 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revenue, intangible assets and goodwill, right-of-use assets and lease liabilities for leases greater than 12 months, self-insurance reserves, and income taxes.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CARES Act</w:t>
      </w:r>
      <w:r>
        <w:rPr>
          <w:rFonts w:ascii="Times New Roman;sans-serif" w:hAnsi="Times New Roman;sans-serif"/>
          <w:b w:val="false"/>
          <w:color w:val="000000"/>
          <w:sz w:val="20"/>
        </w:rPr>
        <w:t xml:space="preserve">: The Coronavirus Aid, Relief, and Economic Security Act (the “CARES Act”) was enacted on March 27, 2020 in the United States. The CARES Act allowed for deferred payment of the employer-paid portion of social security taxes through the end of 2020, with 50% due on December 31, 2021 and the remainder due on December 31, 2022. The Company deferred approximately $7,836 of the employer-paid portion of social security taxes, all of which was repaid by December 31, 2022. The CARES Act also expanded the Centers for Medicare &amp; Medicaid Services’ (“CMS”) ability to provide accelerated/advance payments intended to increase the cash flow of healthcare providers and suppliers impacted by COVID-19. During 2020, the Company applied for and received $27,997 in funds under the Accelerated and Advance Payment (“AAP”) Program, all of which was recouped as of June 23,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State relief funding. </w:t>
      </w:r>
      <w:r>
        <w:rPr>
          <w:rFonts w:ascii="Times New Roman;sans-serif" w:hAnsi="Times New Roman;sans-serif"/>
          <w:b w:val="false"/>
          <w:color w:val="000000"/>
          <w:sz w:val="20"/>
        </w:rPr>
        <w:t>The Company receives state relief funding through programs from various states, including healthcare relief funding under the American Rescue Plan Act (ARPA), and other state specific relief programs. The funding generally incorporates specific use requirements primarily for direct patient care including labor related expenses that are attributable to the COVID-19 pandemic or are associated with providing patient care.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funds are recognized as a reduction of cost of services expenses when related expenses are incurred. As of June 30, 2023 and December 31, 2022, the Company had $1,469 and $1,479 in unapplied state relief funds, respectively. The unapplied state relief funds received are recorded in other accrued liabilities. The Company recognized state relief funding totaling $1,397 and $2,082 for the three and six months ended June 30, 2023, respectively, and $584 and $1,246 for the three and six months ended June 30, 2022, respectively, which the Company recognized as a reduction of cost of services expense. </w:t>
      </w:r>
    </w:p>
    <w:p>
      <w:pPr>
        <w:pStyle w:val="TextBody"/>
        <w:bidi w:val="0"/>
        <w:spacing w:before="0" w:after="0"/>
        <w:ind w:left="0" w:right="0" w:firstLine="81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3. TRANSACTIONS WITH ENSIGN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2019, The Ensign Group, Inc. (“Ensign”) completed the separation of Pennant (the “Spin-Off”). Pennant and Ensign continue to partner in the provision of services along the healthcare continuum.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costs of $192 and $465 for the three and six months ended June 30, 2023, and $458 and $1,101 for the three and six months ended June 30, 2022, respectively, that related primarily to shared services at proximate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Expenses related to room and board charges at Ensign skilled nursing facilities for hospice patients were $1,014 and $1,954 for the three and six months ended June 30, 2023, respectively, and $648 and $1,223 for the three and six months ended June 30, 2022, respectively, and are included in cost of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independent operating subsidiaries leased 29 communities from subsidiaries of Ensign under a master lease arrangement as of June 30, 2023 and June 30, 2022. See further discussion below at Note 8,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27, 2022, affiliates of the Company entered into certain operations transfer agreements (collectively, the “Transfer Agreements”) with affiliates of Ensign, providing for the transfer of the operations of five senior living communities (the “Transaction”). The Transfer Agreements required one of the transferors to place $6,500 in escrow to cover post-closing capital expenditures and operating losses related to one of the communities, and such escrow was funded by an initial payment by the transferor at closing followed by eight equal monthly installments. The Company recorded the amount in loss on asset dispositions and impairment, net during the three months ended June 2022. The Transaction closed in April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4. NET INCOME (LOSS) PER COMMON SHARE</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is computed by dividing net income (loss) attributable to stockholders of the Company by the weighted average number of outstanding common shares for the period. The computation of diluted net income (loss) per share is similar to the computation of basic net income (loss) per share except that the denominator is increased to include the number of additional common shares that would have been outstanding if the dilutive potential common shares had been issued.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The following table sets forth the computation of basic and diluted net income (loss) per share for the periods presented: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915"/>
        <w:gridCol w:w="1602"/>
        <w:gridCol w:w="1611"/>
        <w:gridCol w:w="226"/>
        <w:gridCol w:w="661"/>
        <w:gridCol w:w="116"/>
        <w:gridCol w:w="116"/>
        <w:gridCol w:w="116"/>
        <w:gridCol w:w="116"/>
        <w:gridCol w:w="226"/>
        <w:gridCol w:w="710"/>
        <w:gridCol w:w="116"/>
        <w:gridCol w:w="109"/>
        <w:gridCol w:w="109"/>
        <w:gridCol w:w="109"/>
        <w:gridCol w:w="215"/>
        <w:gridCol w:w="629"/>
        <w:gridCol w:w="111"/>
        <w:gridCol w:w="111"/>
        <w:gridCol w:w="111"/>
        <w:gridCol w:w="111"/>
        <w:gridCol w:w="215"/>
        <w:gridCol w:w="675"/>
        <w:gridCol w:w="169"/>
      </w:tblGrid>
      <w:tr>
        <w:trPr/>
        <w:tc>
          <w:tcPr>
            <w:tcW w:w="191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1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512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Pennant Group, Inc.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for basic net income per share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Plus: assumed incremental shares from exercise of options and assumed conversion or vesting of restricted stock</w:t>
            </w:r>
            <w:r>
              <w:rPr>
                <w:rFonts w:ascii="Times New Roman;sans-serif" w:hAnsi="Times New Roman;sans-serif"/>
                <w:b w:val="false"/>
                <w:color w:val="000000"/>
                <w:sz w:val="13"/>
              </w:rPr>
              <w:t>(a)</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 average common shares outstanding for diluted income per share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common share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common share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The diluted per share amounts do not reflect common equivalent shares outstanding of 2,312 and 2,158 for the three and six months ended June 30, 2023, respectively, and 3,832 and 3,806 for the three and six months ended June 30, 2022, respectively, because of their anti-dilutive effect.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5. REVENUE AND ACCOUNTS RECEIVABLE</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services are provided to the patients at the amount that reflects the consideration to which the Company expects to be entitled from patients and third-party payors, including Medicare, Medicaid, Commercial and managed care programs (Medicare Advantage and Managed Medicaid plans), in exchange for providing patient care.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from healthcare services are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Combined revenue from the Medicare and Medicaid programs accounted for 62.8% and 62.4% of the Company’s revenue for the three and six months ended June 30, 2023, respectively, and 62.8% and 62.4% for the three and six months ended June 30, 2022, respectively. 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revenue from contracts with its patients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service specific revenue recognition policies are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Home Health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Episodic Based Revenue -</w:t>
      </w:r>
      <w:r>
        <w:rPr>
          <w:color w:val="000000"/>
        </w:rPr>
        <w:t xml:space="preserve"> </w:t>
      </w:r>
      <w:r>
        <w:rPr>
          <w:rFonts w:ascii="Times New Roman;sans-serif" w:hAnsi="Times New Roman;sans-serif"/>
          <w:b w:val="false"/>
          <w:color w:val="000000"/>
          <w:sz w:val="20"/>
        </w:rPr>
        <w:t>The Company recognizes revenue in a similar manner as it recognizes Medicare revenue for episodic-based rates that are paid by other insurance carriers, including Medicare Advantage programs. These rates can vary based upon the negotiated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Non-episodic Based Revenue -</w:t>
      </w:r>
      <w:r>
        <w:rPr>
          <w:color w:val="000000"/>
        </w:rPr>
        <w:t xml:space="preserve"> </w:t>
      </w:r>
      <w:r>
        <w:rPr>
          <w:rFonts w:ascii="Times New Roman;sans-serif" w:hAnsi="Times New Roman;sans-serif"/>
          <w:b w:val="false"/>
          <w:color w:val="000000"/>
          <w:sz w:val="20"/>
        </w:rPr>
        <w:t>Revenue is recognized on an accrual basis based upon the date of service at amounts equal to its established or estimated per visit rates, as applicable.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Hospice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Living Revenue</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has elected the lessor practical expedient within ASC Topic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for its senior residency agreements, for which it has determined that the non-lease components of such residency agreements are the predominant component of each such contract.</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senior living revenue consists of fees for basic housing and assisted living care. Accordingly, the Company records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By Payor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payor for the three months ended June 30, 2023 and 2022,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132,281 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and hospice services segment includes revenue from all payors generated in the Company’s home care operations.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2022</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23,464 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57,698 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and hospice services segment includes revenue from all payors generated in the Company’s home care operations.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payor for the six months ended June 30, 2023 and 2022,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86,954 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161,532 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96,248 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258,745 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and hospice services segment includes revenue from all payors generated in the Company’s home care operations.</w:t>
            </w:r>
          </w:p>
        </w:tc>
      </w:tr>
    </w:tbl>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2022</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112,776 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143,513 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88,637 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64,407 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and hospice services segment includes revenue from all payors generated in the Company’s home care operations.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 Sheet Impact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as of June 30, 2023 and December 31, 2022 is summarized in the following table: </w:t>
      </w:r>
    </w:p>
    <w:p>
      <w:pPr>
        <w:pStyle w:val="TextBody"/>
        <w:bidi w:val="0"/>
        <w:spacing w:before="0" w:after="0"/>
        <w:ind w:left="0" w:right="0" w:firstLine="720"/>
        <w:jc w:val="both"/>
        <w:rPr/>
      </w:pPr>
      <w:r>
        <w:rPr/>
      </w:r>
    </w:p>
    <w:tbl>
      <w:tblPr>
        <w:tblW w:w="6565" w:type="dxa"/>
        <w:jc w:val="left"/>
        <w:tblInd w:w="0" w:type="dxa"/>
        <w:tblLayout w:type="fixed"/>
        <w:tblCellMar>
          <w:top w:w="28" w:type="dxa"/>
          <w:left w:w="28" w:type="dxa"/>
          <w:bottom w:w="28" w:type="dxa"/>
          <w:right w:w="28" w:type="dxa"/>
        </w:tblCellMar>
      </w:tblPr>
      <w:tblGrid>
        <w:gridCol w:w="1156"/>
        <w:gridCol w:w="1013"/>
        <w:gridCol w:w="1025"/>
        <w:gridCol w:w="258"/>
        <w:gridCol w:w="883"/>
        <w:gridCol w:w="133"/>
        <w:gridCol w:w="109"/>
        <w:gridCol w:w="109"/>
        <w:gridCol w:w="109"/>
        <w:gridCol w:w="344"/>
        <w:gridCol w:w="1175"/>
        <w:gridCol w:w="251"/>
      </w:tblGrid>
      <w:tr>
        <w:trPr/>
        <w:tc>
          <w:tcPr>
            <w:tcW w:w="115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and 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Concentrations -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significant accounts receivable balances, the collectability of which is dependent on the availability of funds from 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78.6% and 77.8% of its total gross accounts receivable as of June 30, 2023 and December 31, 2022, respectively. Combined revenue from reimbursement under the Medicare and Medicaid programs accounted for 62.8% and 62.4% for the three and six months ended June 30, 2023, respectively, and 62.8% and 62.4% of the Company’s revenue for the three and six months ended June 30, 2022, respectively.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Practical Expedients and Exemptions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Times New Roman;sans-serif" w:hAnsi="Times New Roman;sans-serif"/>
          <w:b w:val="false"/>
          <w:i/>
          <w:color w:val="000000"/>
          <w:sz w:val="20"/>
        </w:rPr>
        <w:t>Other Assets and Deferred Costs</w:t>
      </w:r>
      <w:r>
        <w:rPr>
          <w:rFonts w:ascii="Times New Roman;sans-serif" w:hAnsi="Times New Roman;sans-serif"/>
          <w:b w:val="false"/>
          <w:color w:val="000000"/>
          <w:sz w:val="20"/>
        </w:rPr>
        <w:t>, and all incremental customer contract acquisition costs are expensed as they are incurred because the amortization period would have been one year or less.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6. BUSINESS SEGMENTS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The Company also reports an “all other” category that includes general and administrative expense from the Company’s Service Center.</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provided services through 101 affiliated home health, hospice and home care agencies, and 51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uses Segment Adjusted EBITDAR from Operations as the primary measure of profit and loss for the Company's reportable segments and to compare the performance of its operations with those of its competitors. 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the costs associated with transitioning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(5) unusual, non-recurring or redundant charges, and (6) net income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financial information regarding the Company’s reportable segments, general and administrative expenses are not allocated to the reportable segments and are included in “All Other” for the three and six months ended June 30, 2023 and 2022:</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063"/>
        <w:gridCol w:w="850"/>
        <w:gridCol w:w="853"/>
        <w:gridCol w:w="109"/>
        <w:gridCol w:w="109"/>
        <w:gridCol w:w="109"/>
        <w:gridCol w:w="465"/>
        <w:gridCol w:w="1591"/>
        <w:gridCol w:w="240"/>
        <w:gridCol w:w="109"/>
        <w:gridCol w:w="109"/>
        <w:gridCol w:w="109"/>
        <w:gridCol w:w="334"/>
        <w:gridCol w:w="1145"/>
        <w:gridCol w:w="173"/>
        <w:gridCol w:w="109"/>
        <w:gridCol w:w="109"/>
        <w:gridCol w:w="109"/>
        <w:gridCol w:w="211"/>
        <w:gridCol w:w="668"/>
        <w:gridCol w:w="109"/>
        <w:gridCol w:w="109"/>
        <w:gridCol w:w="109"/>
        <w:gridCol w:w="109"/>
        <w:gridCol w:w="211"/>
        <w:gridCol w:w="826"/>
        <w:gridCol w:w="158"/>
      </w:tblGrid>
      <w:tr>
        <w:trPr/>
        <w:tc>
          <w:tcPr>
            <w:tcW w:w="106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42"/>
        <w:gridCol w:w="825"/>
        <w:gridCol w:w="828"/>
        <w:gridCol w:w="109"/>
        <w:gridCol w:w="109"/>
        <w:gridCol w:w="109"/>
        <w:gridCol w:w="421"/>
        <w:gridCol w:w="1649"/>
        <w:gridCol w:w="217"/>
        <w:gridCol w:w="109"/>
        <w:gridCol w:w="109"/>
        <w:gridCol w:w="109"/>
        <w:gridCol w:w="329"/>
        <w:gridCol w:w="1128"/>
        <w:gridCol w:w="170"/>
        <w:gridCol w:w="109"/>
        <w:gridCol w:w="109"/>
        <w:gridCol w:w="109"/>
        <w:gridCol w:w="211"/>
        <w:gridCol w:w="771"/>
        <w:gridCol w:w="109"/>
        <w:gridCol w:w="109"/>
        <w:gridCol w:w="109"/>
        <w:gridCol w:w="109"/>
        <w:gridCol w:w="211"/>
        <w:gridCol w:w="826"/>
        <w:gridCol w:w="160"/>
      </w:tblGrid>
      <w:tr>
        <w:trPr/>
        <w:tc>
          <w:tcPr>
            <w:tcW w:w="104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186,099 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165,819 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a reconciliation of Segment Adjusted EBITDAR from Operations to income from operations:</w:t>
      </w:r>
    </w:p>
    <w:p>
      <w:pPr>
        <w:pStyle w:val="TextBody"/>
        <w:bidi w:val="0"/>
        <w:spacing w:before="0" w:after="0"/>
        <w:ind w:left="0" w:right="0" w:firstLine="720"/>
        <w:jc w:val="both"/>
        <w:rPr/>
      </w:pPr>
      <w:r>
        <w:rPr/>
      </w:r>
    </w:p>
    <w:tbl>
      <w:tblPr>
        <w:tblW w:w="10110" w:type="dxa"/>
        <w:jc w:val="left"/>
        <w:tblInd w:w="0" w:type="dxa"/>
        <w:tblLayout w:type="fixed"/>
        <w:tblCellMar>
          <w:top w:w="28" w:type="dxa"/>
          <w:left w:w="28" w:type="dxa"/>
          <w:bottom w:w="28" w:type="dxa"/>
          <w:right w:w="28" w:type="dxa"/>
        </w:tblCellMar>
      </w:tblPr>
      <w:tblGrid>
        <w:gridCol w:w="1704"/>
        <w:gridCol w:w="1497"/>
        <w:gridCol w:w="1508"/>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Segment EBITDAR from Operations: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Costs at start-up operations</w:t>
            </w:r>
            <w:r>
              <w:rPr>
                <w:rFonts w:ascii="Times New Roman;sans-serif" w:hAnsi="Times New Roman;sans-serif"/>
                <w:b w:val="false"/>
                <w:color w:val="000000"/>
                <w:sz w:val="13"/>
              </w:rPr>
              <w:t>(a)</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 and related taxes</w:t>
            </w:r>
            <w:r>
              <w:rPr>
                <w:rFonts w:ascii="Times New Roman;sans-serif" w:hAnsi="Times New Roman;sans-serif"/>
                <w:b w:val="false"/>
                <w:color w:val="000000"/>
                <w:sz w:val="13"/>
              </w:rPr>
              <w:t>(b)</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(c)</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transitioning operations</w:t>
            </w:r>
            <w:r>
              <w:rPr>
                <w:rFonts w:ascii="Times New Roman;sans-serif" w:hAnsi="Times New Roman;sans-serif"/>
                <w:b w:val="false"/>
                <w:color w:val="000000"/>
                <w:sz w:val="13"/>
              </w:rPr>
              <w:t>(d)</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attributable to noncontrolling interest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Income (Loss) from Operations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24"/>
        <w:gridCol w:w="2729"/>
        <w:gridCol w:w="38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and credit allowances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six months ended June 30,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 </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unusual or non-recurring charges for legal services, implementation costs, integration costs, and consulting fees in general and administrative expenses.</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Costs identified as redundant or non-recurring incurred by the Company for additional services provided by Ensign. All amounts are included in general and administrative expense. Fees incurred were $192 and $465 for the three and six months ended June 30, 2023, respectively, and $458 and $1,101 for the three and six months ended June 30, 2022, respectively.</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7. ACQUISITIONS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focused on acquiring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expanded its operations with the addition of three home health agencies, one hospice agency, two home care agencies, and two senior living communities. In connection with the addition of the two senior living communities, the Company entered into a new long-term “triple-net” lease. A subsidiary of the Company entered into a separate operations transfer agreement with the prior operator of each acquired operation as part of each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fair value of assets for two home health agencies , two home care agencies, and one hospice agency acquired were mostly concentrated in goodwill and intangible assets and as such, these transactions were classified as business combinations in accordance with ASC Topic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(“ASC 805”). The purchase price for the business combinations was $7,261, which consisted of equipment and other assets of $1,027, goodwill of $4,117, and indefinite-lived intangible assets of $2,012 related to Medicare and Medicaid licenses, and other intangible assets of $186 less assumed liabilities of $81. The Company anticipates that the total goodwill recognized will be fully deductible for tax purposes.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home health agency acquired was a Medicare license and is considered an asset acquisition. The fair value of the home health license acquired was $210 and was allocated to indefinite-lived intangible assets.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acquisition costs that were expensed related to the business combinations during the six months ended June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2022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2022, the Company expanded its operations with the addition of one home health agency. The purchase price for this home health acquisition was $775.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assets for home health acquisitions was mostly concentrated in goodwill and intangible assets and as such, these transactions were classified as business combinations in accordance with ASC Topic 805. The purchase price for the business combinations was $775, which consisted of equipment and other assets of $11, goodwill of $520, and indefinite-lived intangible assets of $244 related to Medicare and Medicaid licenses. The Company anticipates that the total goodwill recognized will be fully deductible for tax purposes. There were no material acquisition costs that were expensed related to the business combinations during the six months ended June 30, 2022.</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60" w:after="283"/>
        <w:jc w:val="left"/>
        <w:rPr>
          <w:rFonts w:ascii="Times New Roman;sans-serif" w:hAnsi="Times New Roman;sans-serif"/>
          <w:b/>
          <w:color w:val="000000"/>
          <w:sz w:val="20"/>
        </w:rPr>
      </w:pPr>
      <w:r>
        <w:rPr>
          <w:rFonts w:ascii="Times New Roman;sans-serif" w:hAnsi="Times New Roman;sans-serif"/>
          <w:b/>
          <w:color w:val="000000"/>
          <w:sz w:val="20"/>
        </w:rPr>
        <w:t>8. PROPERTY AND EQUIPMENT—NET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p>
      <w:pPr>
        <w:pStyle w:val="TextBody"/>
        <w:bidi w:val="0"/>
        <w:spacing w:before="0" w:after="0"/>
        <w:ind w:left="0" w:right="0" w:firstLine="720"/>
        <w:jc w:val="both"/>
        <w:rPr/>
      </w:pPr>
      <w:r>
        <w:rPr/>
      </w:r>
    </w:p>
    <w:tbl>
      <w:tblPr>
        <w:tblW w:w="6055" w:type="dxa"/>
        <w:jc w:val="left"/>
        <w:tblInd w:w="0" w:type="dxa"/>
        <w:tblLayout w:type="fixed"/>
        <w:tblCellMar>
          <w:top w:w="28" w:type="dxa"/>
          <w:left w:w="28" w:type="dxa"/>
          <w:bottom w:w="28" w:type="dxa"/>
          <w:right w:w="28" w:type="dxa"/>
        </w:tblCellMar>
      </w:tblPr>
      <w:tblGrid>
        <w:gridCol w:w="972"/>
        <w:gridCol w:w="852"/>
        <w:gridCol w:w="860"/>
        <w:gridCol w:w="258"/>
        <w:gridCol w:w="883"/>
        <w:gridCol w:w="133"/>
        <w:gridCol w:w="109"/>
        <w:gridCol w:w="109"/>
        <w:gridCol w:w="109"/>
        <w:gridCol w:w="344"/>
        <w:gridCol w:w="1175"/>
        <w:gridCol w:w="251"/>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$1,211 and $2,486 for the three and six months ended June 30, 2023, respectively, and $1,264 and $2,396 for the three and six months ended June 30, 2022,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in the impairment analysis are considered Level 3 measurements due to their subjective nature. Management has evaluated its long-lived assets and determined there was no impairment recorded during the three and six months ended June 30, 2023 and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9. GOODWILL AND OTHER INDEFINITE-LIVED INTANGIBLE ASSETS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activity in goodwill by segment for the six months ended June 30, 2023:</w:t>
      </w:r>
    </w:p>
    <w:p>
      <w:pPr>
        <w:pStyle w:val="TextBody"/>
        <w:bidi w:val="0"/>
        <w:spacing w:before="0" w:after="0"/>
        <w:ind w:left="0" w:right="0" w:firstLine="720"/>
        <w:jc w:val="both"/>
        <w:rPr/>
      </w:pPr>
      <w:r>
        <w:rPr/>
      </w:r>
    </w:p>
    <w:tbl>
      <w:tblPr>
        <w:tblW w:w="8518" w:type="dxa"/>
        <w:jc w:val="left"/>
        <w:tblInd w:w="0" w:type="dxa"/>
        <w:tblLayout w:type="fixed"/>
        <w:tblCellMar>
          <w:top w:w="28" w:type="dxa"/>
          <w:left w:w="28" w:type="dxa"/>
          <w:bottom w:w="28" w:type="dxa"/>
          <w:right w:w="28" w:type="dxa"/>
        </w:tblCellMar>
      </w:tblPr>
      <w:tblGrid>
        <w:gridCol w:w="613"/>
        <w:gridCol w:w="539"/>
        <w:gridCol w:w="542"/>
        <w:gridCol w:w="620"/>
        <w:gridCol w:w="2120"/>
        <w:gridCol w:w="320"/>
        <w:gridCol w:w="109"/>
        <w:gridCol w:w="109"/>
        <w:gridCol w:w="109"/>
        <w:gridCol w:w="456"/>
        <w:gridCol w:w="1333"/>
        <w:gridCol w:w="235"/>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75,855 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2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79,972 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 assets consist of the following:</w:t>
      </w:r>
    </w:p>
    <w:p>
      <w:pPr>
        <w:pStyle w:val="TextBody"/>
        <w:bidi w:val="0"/>
        <w:spacing w:before="0" w:after="0"/>
        <w:ind w:left="0" w:right="0" w:firstLine="720"/>
        <w:jc w:val="both"/>
        <w:rPr/>
      </w:pPr>
      <w:r>
        <w:rPr/>
      </w:r>
    </w:p>
    <w:tbl>
      <w:tblPr>
        <w:tblW w:w="6116" w:type="dxa"/>
        <w:jc w:val="left"/>
        <w:tblInd w:w="0" w:type="dxa"/>
        <w:tblLayout w:type="fixed"/>
        <w:tblCellMar>
          <w:top w:w="28" w:type="dxa"/>
          <w:left w:w="28" w:type="dxa"/>
          <w:bottom w:w="28" w:type="dxa"/>
          <w:right w:w="28" w:type="dxa"/>
        </w:tblCellMar>
      </w:tblPr>
      <w:tblGrid>
        <w:gridCol w:w="993"/>
        <w:gridCol w:w="872"/>
        <w:gridCol w:w="880"/>
        <w:gridCol w:w="258"/>
        <w:gridCol w:w="883"/>
        <w:gridCol w:w="133"/>
        <w:gridCol w:w="109"/>
        <w:gridCol w:w="109"/>
        <w:gridCol w:w="109"/>
        <w:gridCol w:w="344"/>
        <w:gridCol w:w="1175"/>
        <w:gridCol w:w="251"/>
      </w:tblGrid>
      <w:tr>
        <w:trPr/>
        <w:tc>
          <w:tcPr>
            <w:tcW w:w="9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 and Medicaid licenses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goodwill or intangible asset impairments were recorded during the three and six months ended June 30, 2023 and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10. OTHER ACCRUED LIABILITIES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consist of the following:</w:t>
      </w:r>
    </w:p>
    <w:p>
      <w:pPr>
        <w:pStyle w:val="TextBody"/>
        <w:bidi w:val="0"/>
        <w:spacing w:before="0" w:after="0"/>
        <w:ind w:left="0" w:right="0" w:firstLine="720"/>
        <w:jc w:val="both"/>
        <w:rPr/>
      </w:pPr>
      <w:r>
        <w:rPr/>
      </w:r>
    </w:p>
    <w:tbl>
      <w:tblPr>
        <w:tblW w:w="6161" w:type="dxa"/>
        <w:jc w:val="left"/>
        <w:tblInd w:w="0" w:type="dxa"/>
        <w:tblLayout w:type="fixed"/>
        <w:tblCellMar>
          <w:top w:w="28" w:type="dxa"/>
          <w:left w:w="28" w:type="dxa"/>
          <w:bottom w:w="28" w:type="dxa"/>
          <w:right w:w="28" w:type="dxa"/>
        </w:tblCellMar>
      </w:tblPr>
      <w:tblGrid>
        <w:gridCol w:w="1009"/>
        <w:gridCol w:w="887"/>
        <w:gridCol w:w="894"/>
        <w:gridCol w:w="258"/>
        <w:gridCol w:w="883"/>
        <w:gridCol w:w="133"/>
        <w:gridCol w:w="109"/>
        <w:gridCol w:w="109"/>
        <w:gridCol w:w="109"/>
        <w:gridCol w:w="344"/>
        <w:gridCol w:w="1175"/>
        <w:gridCol w:w="251"/>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Refunds payable</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 deposits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state relief funds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self-insurance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Refunds payable includes payables related to overpayments, duplicate payments and credit balances from various payor sources. Deferred revenue occurs when the Company receives payments in advance of services provided. Resident deposits include refundable deposits to residents.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11. DEBT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consists of the following:</w:t>
      </w:r>
    </w:p>
    <w:tbl>
      <w:tblPr>
        <w:tblW w:w="6716" w:type="dxa"/>
        <w:jc w:val="left"/>
        <w:tblInd w:w="0" w:type="dxa"/>
        <w:tblLayout w:type="fixed"/>
        <w:tblCellMar>
          <w:top w:w="28" w:type="dxa"/>
          <w:left w:w="28" w:type="dxa"/>
          <w:bottom w:w="28" w:type="dxa"/>
          <w:right w:w="28" w:type="dxa"/>
        </w:tblCellMar>
      </w:tblPr>
      <w:tblGrid>
        <w:gridCol w:w="1212"/>
        <w:gridCol w:w="1063"/>
        <w:gridCol w:w="1070"/>
        <w:gridCol w:w="258"/>
        <w:gridCol w:w="883"/>
        <w:gridCol w:w="133"/>
        <w:gridCol w:w="109"/>
        <w:gridCol w:w="109"/>
        <w:gridCol w:w="109"/>
        <w:gridCol w:w="344"/>
        <w:gridCol w:w="1175"/>
        <w:gridCol w:w="251"/>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unamortized debt issuance costs</w:t>
            </w:r>
            <w:r>
              <w:rPr>
                <w:rFonts w:ascii="Times New Roman;sans-serif" w:hAnsi="Times New Roman;sans-serif"/>
                <w:b w:val="false"/>
                <w:color w:val="000000"/>
                <w:sz w:val="13"/>
              </w:rPr>
              <w:t>(a)</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Amortization expense for debt issuance costs was $130 and $261 for the three and six months ended June 30, 2023, respectively, and $130 and $260 for the three and six months ended June 30, 2022, respectively, and is recorded in interest expense, net on the Condensed Consolidated Statements of Income.</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2021, Pennant entered into an amendment to its existing credit agreement (as amended, the “Credit Agreement”), which provides for an increased revolving credit facility with a syndicate of banks with a borrowing capacity of $150,000 (the “Revolving Credit Facility”). On June 12, 2023, Pennant entered into a second amendment to the Credit Agreement that modified the reference rate from LIBOR to Standard Overnight Financing Rate (“SOFR”). The interest rates applicable to loans under the Revolving Credit Facility are, at the Company’s election, either (i) Adjusted Term SOFR (as defined in the Credit Agreement) plus a margin ranging from 2.25% to 3.25% per annum or (ii) Base Rate plus a margin ranging from 1.25% to 2.25%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exceed the aggregate commitments under the Credit Agreement. As of June 30, 2023, the Company’s weighted average interest rate on its outstanding debt was 7.97%. As of June 30, 2023, the Company had available borrowing on the Revolving Credit Facility of $85,314, which is net of outstanding letters of credit of $4,186.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the Revolving Credit Facility approximates carrying value, due to the short-term natur</w:t>
      </w:r>
      <w:r>
        <w:rPr>
          <w:rFonts w:ascii="Times New Roman;sans-serif" w:hAnsi="Times New Roman;sans-serif"/>
          <w:b w:val="false"/>
          <w:color w:val="000000"/>
          <w:sz w:val="20"/>
          <w:shd w:fill="FFFFFF" w:val="clear"/>
        </w:rPr>
        <w:t xml:space="preserve">e and variable interest rates. </w:t>
      </w:r>
      <w:r>
        <w:rPr>
          <w:rFonts w:ascii="Times New Roman;sans-serif" w:hAnsi="Times New Roman;sans-serif"/>
          <w:b w:val="false"/>
          <w:color w:val="000000"/>
          <w:sz w:val="20"/>
        </w:rPr>
        <w:t>The fair value of this debt is categorized within Level 2 of the fair value hierarchy based on the observable market borrowing 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mergers or consolidations, amend certain material agreements and pay certain dividends and other restricted payments. Financial covenants require compliance with certain levels of leverage ratios that impact the amount of interest. As of June 30, 2023, the Company was compliant with all such financial covenants.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12. OPTIONS AND AWARDS</w:t>
      </w:r>
    </w:p>
    <w:p>
      <w:pPr>
        <w:pStyle w:val="TextBody"/>
        <w:bidi w:val="0"/>
        <w:spacing w:lineRule="auto" w:line="288" w:before="0" w:after="0"/>
        <w:ind w:left="0" w:right="0" w:firstLine="720"/>
        <w:jc w:val="both"/>
        <w:rPr/>
      </w:pPr>
      <w:r>
        <w:rPr>
          <w:rFonts w:ascii="Times New Roman;sans-serif" w:hAnsi="Times New Roman;sans-serif"/>
          <w:b w:val="false"/>
          <w:color w:val="212529"/>
          <w:sz w:val="20"/>
        </w:rPr>
        <w:t xml:space="preserve">Outstanding options and restricted stock awards of the Company were granted under the 2019 Omnibus Incentive Plan (the </w:t>
      </w:r>
      <w:r>
        <w:rPr>
          <w:color w:val="000000"/>
        </w:rPr>
        <w:t>“</w:t>
      </w:r>
      <w:r>
        <w:rPr>
          <w:rFonts w:ascii="Times New Roman;sans-serif" w:hAnsi="Times New Roman;sans-serif"/>
          <w:b w:val="false"/>
          <w:color w:val="212529"/>
          <w:sz w:val="20"/>
        </w:rPr>
        <w:t>OIP</w:t>
      </w:r>
      <w:r>
        <w:rPr>
          <w:color w:val="000000"/>
        </w:rPr>
        <w:t>”</w:t>
      </w:r>
      <w:r>
        <w:rPr>
          <w:rFonts w:ascii="Times New Roman;sans-serif" w:hAnsi="Times New Roman;sans-serif"/>
          <w:b w:val="false"/>
          <w:color w:val="212529"/>
          <w:sz w:val="20"/>
        </w:rPr>
        <w:t xml:space="preserve">) and Long-Term Incentive Plan (the </w:t>
      </w:r>
      <w:r>
        <w:rPr>
          <w:color w:val="000000"/>
        </w:rPr>
        <w:t>“</w:t>
      </w:r>
      <w:r>
        <w:rPr>
          <w:rFonts w:ascii="Times New Roman;sans-serif" w:hAnsi="Times New Roman;sans-serif"/>
          <w:b w:val="false"/>
          <w:color w:val="212529"/>
          <w:sz w:val="20"/>
        </w:rPr>
        <w:t>LTIP</w:t>
      </w:r>
      <w:r>
        <w:rPr>
          <w:color w:val="000000"/>
        </w:rPr>
        <w:t>”</w:t>
      </w:r>
      <w:r>
        <w:rPr>
          <w:rFonts w:ascii="Times New Roman;sans-serif" w:hAnsi="Times New Roman;sans-serif"/>
          <w:b w:val="false"/>
          <w:color w:val="000000"/>
          <w:sz w:val="20"/>
        </w:rPr>
        <w:t>, and together with the OIP, the “Pennant Plans”</w:t>
      </w:r>
      <w:r>
        <w:rPr>
          <w:rFonts w:ascii="Times New Roman;sans-serif" w:hAnsi="Times New Roman;sans-serif"/>
          <w:b w:val="false"/>
          <w:color w:val="212529"/>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for all Plans for the three and six months ended June 30, 2023 and 2022 was: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839"/>
        <w:gridCol w:w="1604"/>
        <w:gridCol w:w="1612"/>
        <w:gridCol w:w="235"/>
        <w:gridCol w:w="689"/>
        <w:gridCol w:w="122"/>
        <w:gridCol w:w="122"/>
        <w:gridCol w:w="122"/>
        <w:gridCol w:w="122"/>
        <w:gridCol w:w="235"/>
        <w:gridCol w:w="689"/>
        <w:gridCol w:w="122"/>
        <w:gridCol w:w="109"/>
        <w:gridCol w:w="109"/>
        <w:gridCol w:w="109"/>
        <w:gridCol w:w="221"/>
        <w:gridCol w:w="647"/>
        <w:gridCol w:w="114"/>
        <w:gridCol w:w="114"/>
        <w:gridCol w:w="114"/>
        <w:gridCol w:w="114"/>
        <w:gridCol w:w="221"/>
        <w:gridCol w:w="647"/>
        <w:gridCol w:w="173"/>
      </w:tblGrid>
      <w:tr>
        <w:trPr/>
        <w:tc>
          <w:tcPr>
            <w:tcW w:w="183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stock options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Restricted Stock</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Restricted Stock to non-employee directors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future periods, the Company estimates it will recognize the following share-based compensation expense for unvested stock options and unvested Restricted Stock as of June 30, 2023: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77"/>
        <w:gridCol w:w="1235"/>
        <w:gridCol w:w="1241"/>
        <w:gridCol w:w="588"/>
        <w:gridCol w:w="2013"/>
        <w:gridCol w:w="308"/>
        <w:gridCol w:w="109"/>
        <w:gridCol w:w="109"/>
        <w:gridCol w:w="109"/>
        <w:gridCol w:w="882"/>
        <w:gridCol w:w="882"/>
        <w:gridCol w:w="1252"/>
      </w:tblGrid>
      <w:tr>
        <w:trPr/>
        <w:tc>
          <w:tcPr>
            <w:tcW w:w="147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Recognition Period </w:t>
              <w:br/>
              <w:t>(in years)</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Stock Options</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12,296 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w:t>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share-based compensation expense</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15,047 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2022 the Company modified certain outstanding RSUs granted to the former chief executive officer of the Company in connection with the Spin-off. All the RSUs had an original vesting date of October 1, 2022. The modification resulted in the forfeiture of 250 outstanding RSUs and accelerated the vesting on the remaining 943 RSUs from October 1, 2022 to July 31, 2022. The modification of the award resulted in a net reduction of share-based compensation expense related to the awards of $3,812 recorded in general and administrative expense in the third quarter of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Pennant Plans, options granted to employees of the subsidiaries of Pennant generally vest over five years at 20% per year on the anniversary of the grant date. Options expire ten years after the date of grant.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option-pricing model to recognize the value of stock-based compensation expense for share-based payment awards under the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is estimated on the grant date using a Black-Scholes option-pricing model with the following weighted average assumptions for stock options granted as of June 30:</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341"/>
        <w:gridCol w:w="341"/>
        <w:gridCol w:w="343"/>
        <w:gridCol w:w="109"/>
        <w:gridCol w:w="109"/>
        <w:gridCol w:w="109"/>
        <w:gridCol w:w="283"/>
        <w:gridCol w:w="283"/>
        <w:gridCol w:w="708"/>
        <w:gridCol w:w="109"/>
        <w:gridCol w:w="109"/>
        <w:gridCol w:w="109"/>
        <w:gridCol w:w="351"/>
        <w:gridCol w:w="351"/>
        <w:gridCol w:w="352"/>
        <w:gridCol w:w="109"/>
        <w:gridCol w:w="109"/>
        <w:gridCol w:w="109"/>
        <w:gridCol w:w="335"/>
        <w:gridCol w:w="278"/>
        <w:gridCol w:w="693"/>
        <w:gridCol w:w="109"/>
        <w:gridCol w:w="109"/>
        <w:gridCol w:w="109"/>
        <w:gridCol w:w="240"/>
        <w:gridCol w:w="227"/>
        <w:gridCol w:w="566"/>
        <w:gridCol w:w="109"/>
        <w:gridCol w:w="109"/>
        <w:gridCol w:w="109"/>
        <w:gridCol w:w="425"/>
        <w:gridCol w:w="1031"/>
        <w:gridCol w:w="323"/>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Expected Life</w:t>
            </w:r>
            <w:r>
              <w:rPr>
                <w:rFonts w:ascii="Times New Roman;sans-serif" w:hAnsi="Times New Roman;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Expected Volatility</w:t>
            </w:r>
            <w:r>
              <w:rPr>
                <w:rFonts w:ascii="Times New Roman;sans-serif" w:hAnsi="Times New Roman;sans-serif"/>
                <w:b/>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Fair Value of Options</w:t>
            </w:r>
          </w:p>
        </w:tc>
      </w:tr>
      <w:tr>
        <w:trPr/>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9"/>
        <w:gridCol w:w="2785"/>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Under the midpoint method, the expected option life is the midpoint between the contractual option life and the average vesting period for the options being granted. This resulted in an expected option life of 6.5 years for the options granted.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Because the Company’s equity shares have been traded for a relatively short period of time, expected volatility assumption was based on the volatility of related industry stocks.</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employee stock option activity during the six months ended June 30, 2023:</w:t>
      </w:r>
    </w:p>
    <w:p>
      <w:pPr>
        <w:pStyle w:val="TextBody"/>
        <w:bidi w:val="0"/>
        <w:spacing w:before="0" w:after="0"/>
        <w:ind w:left="0" w:right="0" w:firstLine="720"/>
        <w:jc w:val="left"/>
        <w:rPr/>
      </w:pPr>
      <w:r>
        <w:rPr/>
      </w:r>
    </w:p>
    <w:tbl>
      <w:tblPr>
        <w:tblW w:w="7444" w:type="dxa"/>
        <w:jc w:val="left"/>
        <w:tblInd w:w="0" w:type="dxa"/>
        <w:tblLayout w:type="fixed"/>
        <w:tblCellMar>
          <w:top w:w="28" w:type="dxa"/>
          <w:left w:w="28" w:type="dxa"/>
          <w:bottom w:w="28" w:type="dxa"/>
          <w:right w:w="28" w:type="dxa"/>
        </w:tblCellMar>
      </w:tblPr>
      <w:tblGrid>
        <w:gridCol w:w="629"/>
        <w:gridCol w:w="554"/>
        <w:gridCol w:w="556"/>
        <w:gridCol w:w="360"/>
        <w:gridCol w:w="360"/>
        <w:gridCol w:w="361"/>
        <w:gridCol w:w="109"/>
        <w:gridCol w:w="109"/>
        <w:gridCol w:w="109"/>
        <w:gridCol w:w="260"/>
        <w:gridCol w:w="760"/>
        <w:gridCol w:w="134"/>
        <w:gridCol w:w="109"/>
        <w:gridCol w:w="109"/>
        <w:gridCol w:w="109"/>
        <w:gridCol w:w="429"/>
        <w:gridCol w:w="429"/>
        <w:gridCol w:w="431"/>
        <w:gridCol w:w="109"/>
        <w:gridCol w:w="109"/>
        <w:gridCol w:w="109"/>
        <w:gridCol w:w="258"/>
        <w:gridCol w:w="754"/>
        <w:gridCol w:w="18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Average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Exercise Price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of Options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Vested</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7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status of Pennant’s non-vested Restricted Stock, and changes during the six months ended June 30, 2023, is presented below: </w:t>
      </w:r>
    </w:p>
    <w:p>
      <w:pPr>
        <w:pStyle w:val="TextBody"/>
        <w:bidi w:val="0"/>
        <w:spacing w:before="0" w:after="0"/>
        <w:ind w:left="0" w:right="0" w:firstLine="720"/>
        <w:jc w:val="both"/>
        <w:rPr/>
      </w:pPr>
      <w:r>
        <w:rPr/>
      </w:r>
    </w:p>
    <w:tbl>
      <w:tblPr>
        <w:tblW w:w="7719" w:type="dxa"/>
        <w:jc w:val="left"/>
        <w:tblInd w:w="0" w:type="dxa"/>
        <w:tblLayout w:type="fixed"/>
        <w:tblCellMar>
          <w:top w:w="28" w:type="dxa"/>
          <w:left w:w="28" w:type="dxa"/>
          <w:bottom w:w="28" w:type="dxa"/>
          <w:right w:w="28" w:type="dxa"/>
        </w:tblCellMar>
      </w:tblPr>
      <w:tblGrid>
        <w:gridCol w:w="629"/>
        <w:gridCol w:w="554"/>
        <w:gridCol w:w="556"/>
        <w:gridCol w:w="774"/>
        <w:gridCol w:w="774"/>
        <w:gridCol w:w="776"/>
        <w:gridCol w:w="109"/>
        <w:gridCol w:w="109"/>
        <w:gridCol w:w="109"/>
        <w:gridCol w:w="716"/>
        <w:gridCol w:w="2091"/>
        <w:gridCol w:w="52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Non-Vested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15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independent operating subsidiaries lease 51 senior living communities and its administrative offices under non-cancelable operating leases, most of which have initial lease terms ranging from 15 to 25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Company’s independent operating subsidiaries leased 29 communities from subsidiaries of Ensign (the “Ensign Leases”) under a master lease arrangement as of June 30, 2023 and June 30, 2022. Each of the leases have an initial term of between 14 and 20 years from the lease commencement date. The total amount of rent expense included in rent - cost of services paid to subsidiaries of Ensign was $3,333 and $6,749 for the three and six months ended June 30, 2023, respectively, and $3,006 and $6,490 for the three and six months ended June 30, 2022, respectively. In addition to rent, each of the operating companies are required to pay the following: (1)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Fourteen of the Company’s affiliated senior living communities, excluding the communities that are operated under the Ensign Leases (as defined herein),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further described in Note 3, on January 27, 2022, affiliates of the Company entered into Transfer Agreements with affiliates of Ensign, providing for the transfer of the operations of five senior living communities. The closing of the Transaction was completed in two phases with the transfer of two operations on March 1, 2022 and the remainder transferred on April 1, 2022. As a result of the lease terminations, the Company reduced both the right of use assets and the lease liabilities by $42,515. Four of the terminated leases were part of a master lease agreement. As a result of the transferred leases being removed from the master lease arrangement, the remaining lease components under the master lease arrangement were modified which resulted in a net increase to the lease liability and ROU asset balance of $6,522 for the six months ended June 30,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7, 2023 the Company modified one of its master leases, which included nine locations, with an unrelated party to extend the term of the master lease from September 30, 2035 to March 31, 2038.</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cost, are as follows:</w:t>
      </w:r>
    </w:p>
    <w:p>
      <w:pPr>
        <w:pStyle w:val="TextBody"/>
        <w:bidi w:val="0"/>
        <w:spacing w:before="0" w:after="0"/>
        <w:ind w:left="0" w:right="0" w:firstLine="720"/>
        <w:jc w:val="left"/>
        <w:rPr/>
      </w:pPr>
      <w:r>
        <w:rPr/>
      </w:r>
    </w:p>
    <w:tbl>
      <w:tblPr>
        <w:tblW w:w="8417" w:type="dxa"/>
        <w:jc w:val="left"/>
        <w:tblInd w:w="0" w:type="dxa"/>
        <w:tblLayout w:type="fixed"/>
        <w:tblCellMar>
          <w:top w:w="28" w:type="dxa"/>
          <w:left w:w="28" w:type="dxa"/>
          <w:bottom w:w="28" w:type="dxa"/>
          <w:right w:w="28" w:type="dxa"/>
        </w:tblCellMar>
      </w:tblPr>
      <w:tblGrid>
        <w:gridCol w:w="1092"/>
        <w:gridCol w:w="958"/>
        <w:gridCol w:w="964"/>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Community Rent—cost of services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Rent—cost of services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Variable lease cost </w:t>
            </w:r>
            <w:r>
              <w:rPr>
                <w:rFonts w:ascii="Times New Roman;sans-serif" w:hAnsi="Times New Roman;sans-serif"/>
                <w:b w:val="false"/>
                <w:color w:val="000000"/>
                <w:sz w:val="13"/>
              </w:rPr>
              <w:t>(a)</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variable lease cost for operating leases, which costs include property taxes and insurance, common area maintenance, and consumer price index increases, incurred as part of the Company’s triple net lease, and which is included in cost of services for the three and six months ended June 30, 2023 and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lease maturity analysis for all leases as of June 30, 2023, for the years ended December 31:</w:t>
      </w:r>
    </w:p>
    <w:p>
      <w:pPr>
        <w:pStyle w:val="TextBody"/>
        <w:bidi w:val="0"/>
        <w:spacing w:before="0" w:after="0"/>
        <w:ind w:left="0" w:right="0" w:firstLine="720"/>
        <w:jc w:val="both"/>
        <w:rPr/>
      </w:pPr>
      <w:r>
        <w:rPr/>
      </w:r>
    </w:p>
    <w:tbl>
      <w:tblPr>
        <w:tblW w:w="4296" w:type="dxa"/>
        <w:jc w:val="left"/>
        <w:tblInd w:w="0" w:type="dxa"/>
        <w:tblLayout w:type="fixed"/>
        <w:tblCellMar>
          <w:top w:w="28" w:type="dxa"/>
          <w:left w:w="28" w:type="dxa"/>
          <w:bottom w:w="28" w:type="dxa"/>
          <w:right w:w="28" w:type="dxa"/>
        </w:tblCellMar>
      </w:tblPr>
      <w:tblGrid>
        <w:gridCol w:w="1125"/>
        <w:gridCol w:w="984"/>
        <w:gridCol w:w="996"/>
        <w:gridCol w:w="211"/>
        <w:gridCol w:w="82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total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June 30, 2023, the weighted average remaining lease term is 12.3 years and the weighted average discount rate is 7.6%.</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14.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income tax expense (benefit) of $1,921 and $(1,375) or 39.7% and 34.6% of earnings before income taxes for the three months ended June 30, 2023 and 2022, respectively. The increase in effective tax is primarily due to a change in the deductibility of equity compensation of certain executives.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income tax expense (benefit) of $2,828 and $(833), or 36.5% and 36.7% of earnings before income taxes for the six months ended June 30, 2023 and 2022, respectively. The decrease in effective tax is primarily due to a changes in the deductibility of equity compensation of certain executives.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Regulatory Matters - </w:t>
      </w:r>
      <w:r>
        <w:rPr>
          <w:rFonts w:ascii="Times New Roman;sans-serif" w:hAnsi="Times New Roman;sans-serif"/>
          <w:b w:val="false"/>
          <w:color w:val="000000"/>
          <w:sz w:val="20"/>
        </w:rPr>
        <w:t>The Company provides services in complex and highly regulated industries. The Company’s compliance with applicable 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which may include suspension, termination, or revocation of participation in governmental programs for the payment of the services the Company provides. The Department of Justice, CMS, or other federal and state enforcement and regulatory agencies may conduct additional investigations related to the Company's businesses. The Company believes it is presently in compliance in all material respects with all applicable laws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Cost-Containment Measures - </w:t>
      </w:r>
      <w:r>
        <w:rPr>
          <w:rFonts w:ascii="Times New Roman;sans-serif" w:hAnsi="Times New Roman;sans-serif"/>
          <w:b w:val="false"/>
          <w:color w:val="000000"/>
          <w:sz w:val="20"/>
        </w:rPr>
        <w:t>Government and third-party payors have instituted cost-containment measures designed to limit payments made to providers of healthcare services, may propose future cost-containment measures, and there can be no assurance that future measures designed to limit payments made to providers will not adversely affect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Indemnities - </w:t>
      </w:r>
      <w:r>
        <w:rPr>
          <w:rFonts w:ascii="Times New Roman;sans-serif" w:hAnsi="Times New Roman;sans-serif"/>
          <w:b w:val="false"/>
          <w:color w:val="000000"/>
          <w:sz w:val="20"/>
        </w:rPr>
        <w:t xml:space="preserve">From time to time, the Company enters into certain types of contracts that contingently require the Company to indemnify parties 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Litigation - </w:t>
      </w:r>
      <w:r>
        <w:rPr>
          <w:rFonts w:ascii="Times New Roman;sans-serif" w:hAnsi="Times New Roman;sans-serif"/>
          <w:b w:val="false"/>
          <w:color w:val="000000"/>
          <w:sz w:val="20"/>
        </w:rPr>
        <w:t>The Company’s businesses involve a significant risk of liability given the age and health of the patients and residents served by its 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employment-related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potential lawsuits and claims described above, the Company also is subject to potential lawsuits under the False Claims Act (the “FCA”) and comparable state laws alleging submission of fraudulent claims for services to any governmental healthcare program (such as Medicare) or commercial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scrutiny, potential liability and legal expenses and costs based on claims under state false claims acts in markets in which it conducts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Medicare Revenue Recoupments - </w:t>
      </w:r>
      <w:r>
        <w:rPr>
          <w:rFonts w:ascii="Times New Roman;sans-serif" w:hAnsi="Times New Roman;sans-serif"/>
          <w:b w:val="false"/>
          <w:color w:val="000000"/>
          <w:sz w:val="20"/>
        </w:rPr>
        <w:t xml:space="preserve">The Company is subject to probe reviews relating to Medicare services, billings and potential overpayments by 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ten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previously paid claims. The Company has appealed substantially all denials arising from these Reviews using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appeals process. As of June 30, 2023,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June 2021 to May 2022, one hospice provider number was subject to a Medicare payment suspension imposed by a UPIC. As of June 30, 2023, the total amount due from the government payor impacted by the suspension was $5,105 and was recorded in long-term other assets. The amounts suspended represent all Medicare payments due to the provider number during the suspension.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the Company received communication that the Medicare payment suspension, for the above-referenced hospice provider number, was terminated and the UPIC’s review was complete. The UPIC reviewed 107 patient records covering a 10-month period to determine whether, in its view, a Medicare overpayment was made. Based on the results of the review, the UPIC has alleged sampled and extrapolated overpayments of $5,105, and has withheld that amount through continued recoupment of Medicare payments. The Company is pursuing its appeal rights through the administrative appeals process, including contesting the methodology used by the UPIC to perform statistical extrapolation. To date the Company has been successful in appealing some of the previously denied claims and expects to receive refunds related to the successful appeals. The Company continues to work through the appeals process for the remaining denied claims. Based on the information currently available to the Company, the Company cannot predict the timing or the ultimate outcome of this review including refunds to be received. As of June 30, 2023, the Company has an accrued liability that is immaterial for this review which was recorded as an offset to revenue.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Insurance</w:t>
      </w:r>
      <w:r>
        <w:rPr>
          <w:color w:val="000000"/>
        </w:rPr>
        <w:t xml:space="preserve"> </w:t>
      </w:r>
      <w:r>
        <w:rPr>
          <w:rFonts w:ascii="Times New Roman;sans-serif" w:hAnsi="Times New Roman;sans-serif"/>
          <w:b w:val="false"/>
          <w:color w:val="000000"/>
          <w:sz w:val="20"/>
        </w:rPr>
        <w:t xml:space="preserve">- The Company retains risk for a substantial portion of potential claims for general and professional liability, workers’ compensation and 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2023 and fiscal year 2022.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16. COMMON STOCK REPURCHASE PROGRAM</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2022, the Board of Directors of the Company approved a share repurchase program under which the Company may repurchase up to $1,000 of its common stock. Under the share repurchase program, the Company may repurchase shares from time to time through open market purchases, including through the use of trading plans intended to comply with Rule 10b5-1 under the Securities Exchange Act of 1934. The timing and total amount of stock repurchases will depend upon business, economic and market conditions, corporate and regulatory requirements, prevailing stock prices, and other considerations. The authorization expires on December 12, 2023, and may be suspended or discontinued at any time and does not obligate the Company to acquire any amount of common stock. No shares were repurchased during the three and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2.     </w:t>
      </w:r>
      <w:r>
        <w:rPr>
          <w:rFonts w:ascii="Times New Roman;sans-serif" w:hAnsi="Times New Roman;sans-serif"/>
          <w:b/>
          <w:i/>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2022 (the “2022 Annual Report”), which discusses our business and related risks in greater detail, as well as subsequent reports we may file from time to time on Form 10-K, Form 10-Q and Form 8-K, for additional information. The section entitled “Risk Factors” filed within our 2022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Special Note About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risk factors discussed in this Quarterly Report and the 2022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federal and state changes to, or delays receiving, reimbursement and other aspects of Medicaid and Medicare;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and compliance with, the laws and regulations affecting the U.S. healthcare industry;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proposed changes to payment models and reimbursement amounts within the Medicare and Medicaid fee schedules for future calendar years;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future cost containment measures undertaken by payors;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government reviews, audits and investigations of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potential additional regulation affecting the transparency, ownership, operating standards, and staffing of businesses in our industry;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increased competition and increased cost of acquisition or retention for, or a shortage of, skilled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achievement and maintenance of competitive quality of care ratings and referrals from referral sources;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and compliance with, state and federal employment, fair housing, safety, licensing and other laws;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competition from other healthcare providers, state efforts to regulate or deregulate the healthcare services industry, or the construction or expansion of the number of home health, hospice or senior living operations;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actions of labor unions;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costs associated with litigation or any future litigation settlements;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leases of our affiliated senior living communities;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inability to complete future acquisitions at attractive prices or at all, and failure to successfully or efficiently new acquisitions into our existing operations and operating subsidiaries;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general economic conditions, including a housing downturn, which could affect seniors’ ability to afford resident fees, or inflation and increasing interest rates, which raise the costs of goods and borrowing capital, which may affect the delivery and affordability of our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security breaches and other cyber security incidents;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performance of the financial and credit markets and uncertainties related to our ability to obtain financing or the terms of such financing;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uncertainties related to the lingering effect of the COVID-19 pandemic, including new regulatory risks impacting our operations, potential litigation, and vaccination mandates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high-quality healthcare services to patients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Iowa, Montana, Nevada, Oklahoma, Oregon, Texas, Utah, Washington, Wisconsin and Wyoming. As of June 30, 2023, our home health and hospice business provided home health, hospice and home care services from 101 agencies operating across these 14 states, and our senior living business operated 51 senior living communities throughout six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affiliated home health and hospice agencies and senior living communities as of:</w:t>
      </w:r>
    </w:p>
    <w:p>
      <w:pPr>
        <w:pStyle w:val="TextBody"/>
        <w:bidi w:val="0"/>
        <w:spacing w:before="0" w:after="0"/>
        <w:ind w:left="0" w:right="0" w:firstLine="720"/>
        <w:jc w:val="left"/>
        <w:rPr/>
      </w:pPr>
      <w:r>
        <w:rPr/>
      </w:r>
    </w:p>
    <w:tbl>
      <w:tblPr>
        <w:tblW w:w="10971" w:type="dxa"/>
        <w:jc w:val="left"/>
        <w:tblInd w:w="0" w:type="dxa"/>
        <w:tblLayout w:type="fixed"/>
        <w:tblCellMar>
          <w:top w:w="28" w:type="dxa"/>
          <w:left w:w="28" w:type="dxa"/>
          <w:bottom w:w="28" w:type="dxa"/>
          <w:right w:w="28" w:type="dxa"/>
        </w:tblCellMar>
      </w:tblPr>
      <w:tblGrid>
        <w:gridCol w:w="644"/>
        <w:gridCol w:w="263"/>
        <w:gridCol w:w="264"/>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29"/>
        <w:gridCol w:w="287"/>
        <w:gridCol w:w="232"/>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agencies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communities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home health, hospice, and senior living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3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Recent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Acquisitions. </w:t>
      </w:r>
      <w:r>
        <w:rPr>
          <w:rFonts w:ascii="Times New Roman;sans-serif" w:hAnsi="Times New Roman;sans-serif"/>
          <w:b w:val="false"/>
          <w:color w:val="000000"/>
          <w:sz w:val="20"/>
        </w:rPr>
        <w:t>During the six months ended June 30, 2023, we expanded our operations with the addition of three home health agencies, one hospice agency, two home care agencies, as well as two senior living communities. A subsidiary of the Company entered into a separate operations transfer agreement with the prior operator of each acquired operation as part of each transaction.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modest senior living occupancy improvement through the first half of 2023, partly as a result of improving COVID-19 case trends and renewed consideration of senior living communities as a home-based care setting. Though we have seen steady improvements in occupancy throughout 2022 and the first half of 2023, we cannot be sure when the occupancy levels in our senior living communities will return to pre-pandemic levels.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disclosed under the heading “Government Regulation” in the 2022 Annual Report a summary of regulations that we believe materially affect our business, financial condition or results of operations. Since the time of the filing of the 2022 Annual Report, the following regulations have been updated. </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28, 2023, CMS issued the 2024 Hospice Payment Rate Update final rule (the “Hospice Payment Final Rule”). The Hospice Payment Final Rule’s hospice payment update percentage is 3.1%, which is an estimated increase of $780 million in payments from fiscal year 2023. The payment update percentage of 3.1% is based on a 3.3% market basket percentage increase, which is reduced by a 0.2% productivity adjustment. The Hospice Payment Final Rule makes permanent the Hospice Quality Reporting program (“HQRP”) data submission threshold policy adopted in the 2016 Hospice Payment Rule Update final rule, which is that hospices must submit at least 90 percent of required data within 30 days of the relevant reporting event. Hospices that fail to meet quality reporting requirements will receive a 4% reduction to the annual hospice payment update percentage increase for that year, which would more than negate the payment update percentage for fiscal year 2024 contained in the Hospice Payment Final Rule for hospices that fail to submit required quality reporting data to CMS.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CMS proposed rules regarding the administration of a Hospice Special Focus Program (“HSFP”) beginning in 2024. Under this proposed rule, CMS proposes the data sources that will be used in identifying hospices for inclusion in the HSFP, how those hospices will be scored, and the criteria for selecting hospices to be included within the HSFP. This proposed rule also proposes the survey frequency for hospices within the HSFP and potential criteria for hospices to successfully complete and exit the HSFP or face termination from the Medicare program. The proposed rule also sets forth a mechanism for the informal resolution of disputes between CMS and hospice providers, including disputes arising from hospice providers’ condition-level deficiencies, and would resemble the existing informal dispute resolution mechanism for Medicare-participating home health agencies, These provisions are part of a proposed rule that is still open for public comment through August 29, 2023. A final rule is expected prior to January 1, 2024, so that the HSFP may begin in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CMS issued the calendar year (“CY”) 2024 Home Health Prospective Payment System Proposed Rule (“Home Health Payment Proposed Rule”). The Home Health Payment Proposed Rule proposes a 5.653% decrease to the home health 30-day period standard payment rate in CY 2024, which includes the remaining half (3.925%) of the 7.9% permanent decrease that CMS proposed to fully implement by 2024, and an additional decrease based on assumed behavior changes resulting from implementation of the Patient Driven Grouping Model (“PDGM”). Aside from these adjustments, CMS finalized a proposed 3.0% basket increase for the home health payment update in CY 2024, less a productivity adjustment of 0.3%, resulting in a net 2.7% cost inflation update. CMS also proposed recalibrated PDGM case-mix weights and low utilization payment adjustment thresholds using 2022 data. Overall, the Home Health Payment Proposed Rule estimates that Medicare payments to all home health agencies will decrease in the aggregate by 2.2%, or $375.0 million, based on its contents. The comment period for this proposed rule ends on August 29, 2023. The final rule setting the 2024 Home Health Prospective Payment System schedule is expected later in 2023; this final rule may contain significant changes, or even remove, the provisions contained within the Home Health Payment Proposed Rule. The Home Health Prospective Payment System Proposed Rule is the subject of legal action by home healthcare industry groups challenging its contents and methodology, seeking to withhold applying the 2024 Proposed Rule and the reimbursement rate cuts it will require if made final. Among the arguments raised by plaintiffs suing to vacate the Home Health Payment Proposed Rule, they have argued that this proposed rule violates Congress’ instruction for the reimbursement adjustments to be “budget-neutral,” which requires the new payment rules to neither increase or decrease, on net, total Medicare payments. The plaintiffs suing CMS also contend that the proposed rule, if finalized, would penalize home health agencies for following Congress’s directives and reduce the scope of services available to beneficiaries.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two reportable segments: (1) home health and hospice services, which includes our home health, home care and hospice businesses; and (2) senior living services, which includes the operation of assisted living, independent living and memory care communities. Our Chief Executive Officer, who is our Chief Operating Decision Maker (“CODM”), reviews financial information at the operating segment level. We also report an “all other” category that includes general and administrative expense from our Service Center.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Common Stock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2022, the Board of Directors of the Company approved a share repurchase program under which the Company may repurchase up to $1.0 million of its common stock. Under the share repurchase program, the Company may repurchase shares from time to time through open market purchases, including through the use of trading plans intended to comply with Rule 10b5-1 under the Securities Exchange Act of 1934, as amended. The timing and total amount of stock repurchases will depend upon business, economic and market conditions, corporate and regulatory requirements, prevailing stock prices, and other considerations. The authorization expires on December 12, 2023, and may be suspended or discontinued at any time and does not obligate the Company to acquire any amount of common stock. No shares were repurchased during the three and six months ended June 30,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manage the fiscal aspects of our business by monitoring key performance indicators that affect our financial performance. These indicators and their definitions include the following: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Home Health and Hospice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Total home health admissions</w:t>
      </w:r>
      <w:r>
        <w:rPr>
          <w:rFonts w:ascii="Times New Roman;sans-serif" w:hAnsi="Times New Roman;sans-serif"/>
          <w:b w:val="false"/>
          <w:color w:val="000000"/>
          <w:sz w:val="20"/>
        </w:rPr>
        <w:t>. Total admissions of home health patients,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Total Medicare home health admissions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Total admissions of home health patients, who are receiving care under Medicare reimbursement programs,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Average Medicare revenue per completed 60-day home health episode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average amount of revenue for each completed 60-day home health episode generated from patients who are receiving care under Medicare reimbursement programs.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Total hospice admissions</w:t>
      </w:r>
      <w:r>
        <w:rPr>
          <w:rFonts w:ascii="Times New Roman;sans-serif" w:hAnsi="Times New Roman;sans-serif"/>
          <w:b w:val="false"/>
          <w:color w:val="000000"/>
          <w:sz w:val="20"/>
        </w:rPr>
        <w:t>. Total admissions of hospice patients, including new acquisitions, new admissions and recertifications.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Average hospice daily census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average number of patients who are receiving hospice care during any measurement period divided by the number of days during such measurement period. </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Hospice Medicare revenue per day</w:t>
      </w:r>
      <w:r>
        <w:rPr>
          <w:rFonts w:ascii="Times New Roman;sans-serif" w:hAnsi="Times New Roman;sans-serif"/>
          <w:b w:val="false"/>
          <w:color w:val="000000"/>
          <w:sz w:val="20"/>
        </w:rPr>
        <w:t>. The average daily Medicare revenue recorded during any measurement period for services provided to hospice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overall home health and hospice statistics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55"/>
        <w:gridCol w:w="1540"/>
        <w:gridCol w:w="1546"/>
        <w:gridCol w:w="250"/>
        <w:gridCol w:w="732"/>
        <w:gridCol w:w="129"/>
        <w:gridCol w:w="129"/>
        <w:gridCol w:w="129"/>
        <w:gridCol w:w="129"/>
        <w:gridCol w:w="250"/>
        <w:gridCol w:w="732"/>
        <w:gridCol w:w="129"/>
        <w:gridCol w:w="109"/>
        <w:gridCol w:w="109"/>
        <w:gridCol w:w="109"/>
        <w:gridCol w:w="227"/>
        <w:gridCol w:w="665"/>
        <w:gridCol w:w="117"/>
        <w:gridCol w:w="117"/>
        <w:gridCol w:w="117"/>
        <w:gridCol w:w="117"/>
        <w:gridCol w:w="227"/>
        <w:gridCol w:w="665"/>
        <w:gridCol w:w="176"/>
      </w:tblGrid>
      <w:tr>
        <w:trPr/>
        <w:tc>
          <w:tcPr>
            <w:tcW w:w="175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admissions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Medicare home health admissions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Medicare revenue per 60-day completed episode</w:t>
            </w:r>
            <w:r>
              <w:rPr>
                <w:rFonts w:ascii="Times New Roman;sans-serif" w:hAnsi="Times New Roman;sans-serif"/>
                <w:b w:val="false"/>
                <w:color w:val="000000"/>
                <w:sz w:val="13"/>
              </w:rPr>
              <w:t>(a)</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hospice admissions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hospice daily census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Medicare revenue per day</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3"/>
        <w:gridCol w:w="2743"/>
        <w:gridCol w:w="3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year-to-date average Medicare revenue per 60-day completed episode includes post period claim adjustments for prior quarters.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Living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Occupancy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ratio of actual number of days our units are occupied during any measurement period to the number of days units are available for occupancy during such measurement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Average monthly revenue per occupied unit</w:t>
      </w:r>
      <w:r>
        <w:rPr>
          <w:rFonts w:ascii="Times New Roman;sans-serif" w:hAnsi="Times New Roman;sans-serif"/>
          <w:b w:val="false"/>
          <w:color w:val="000000"/>
          <w:sz w:val="20"/>
        </w:rPr>
        <w:t>. The room and board revenue for senior living services during any measurement period divided by actual occupied senior living units for such measurement period divided by the number of months for such measurement period.</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senior living statistics for the periods indicated:</w:t>
      </w:r>
    </w:p>
    <w:p>
      <w:pPr>
        <w:pStyle w:val="TextBody"/>
        <w:bidi w:val="0"/>
        <w:spacing w:before="0" w:after="0"/>
        <w:ind w:left="0" w:right="0" w:firstLine="720"/>
        <w:jc w:val="left"/>
        <w:rPr/>
      </w:pPr>
      <w:r>
        <w:rPr/>
      </w:r>
    </w:p>
    <w:tbl>
      <w:tblPr>
        <w:tblW w:w="9208" w:type="dxa"/>
        <w:jc w:val="left"/>
        <w:tblInd w:w="0" w:type="dxa"/>
        <w:tblLayout w:type="fixed"/>
        <w:tblCellMar>
          <w:top w:w="28" w:type="dxa"/>
          <w:left w:w="28" w:type="dxa"/>
          <w:bottom w:w="28" w:type="dxa"/>
          <w:right w:w="28" w:type="dxa"/>
        </w:tblCellMar>
      </w:tblPr>
      <w:tblGrid>
        <w:gridCol w:w="1336"/>
        <w:gridCol w:w="1175"/>
        <w:gridCol w:w="1179"/>
        <w:gridCol w:w="219"/>
        <w:gridCol w:w="641"/>
        <w:gridCol w:w="282"/>
        <w:gridCol w:w="113"/>
        <w:gridCol w:w="113"/>
        <w:gridCol w:w="113"/>
        <w:gridCol w:w="219"/>
        <w:gridCol w:w="641"/>
        <w:gridCol w:w="282"/>
        <w:gridCol w:w="109"/>
        <w:gridCol w:w="109"/>
        <w:gridCol w:w="109"/>
        <w:gridCol w:w="211"/>
        <w:gridCol w:w="616"/>
        <w:gridCol w:w="271"/>
        <w:gridCol w:w="109"/>
        <w:gridCol w:w="109"/>
        <w:gridCol w:w="109"/>
        <w:gridCol w:w="211"/>
        <w:gridCol w:w="616"/>
        <w:gridCol w:w="316"/>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occupied unit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 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Home Health and Hospice Services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Home Health.</w:t>
      </w:r>
      <w:r>
        <w:rPr>
          <w:color w:val="000000"/>
        </w:rPr>
        <w:t xml:space="preserve"> </w:t>
      </w:r>
      <w:r>
        <w:rPr>
          <w:rFonts w:ascii="Times New Roman;sans-serif" w:hAnsi="Times New Roman;sans-serif"/>
          <w:b w:val="false"/>
          <w:color w:val="000000"/>
          <w:sz w:val="20"/>
        </w:rPr>
        <w:t xml:space="preserve">We derive the majority of our home health revenue from Medicare and managed care. The Medicare payment is adjusted for differences 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(g) adjustments to the base payments for case mix and geographic wages; and (h) recoveries of overpayments. For further detail regarding PDGM see the </w:t>
      </w:r>
      <w:r>
        <w:rPr>
          <w:rFonts w:ascii="Times New Roman;sans-serif" w:hAnsi="Times New Roman;sans-serif"/>
          <w:b w:val="false"/>
          <w:i/>
          <w:color w:val="000000"/>
          <w:sz w:val="20"/>
        </w:rPr>
        <w:t>Government Regulation</w:t>
      </w:r>
      <w:r>
        <w:rPr>
          <w:color w:val="000000"/>
        </w:rPr>
        <w:t xml:space="preserve"> </w:t>
      </w:r>
      <w:r>
        <w:rPr>
          <w:rFonts w:ascii="Times New Roman;sans-serif" w:hAnsi="Times New Roman;sans-serif"/>
          <w:b w:val="false"/>
          <w:color w:val="000000"/>
          <w:sz w:val="20"/>
        </w:rPr>
        <w:t>section of our 2022 Annual Report.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Hospice.</w:t>
      </w:r>
      <w:r>
        <w:rPr>
          <w:color w:val="000000"/>
        </w:rPr>
        <w:t xml:space="preserve"> </w:t>
      </w:r>
      <w:r>
        <w:rPr>
          <w:rFonts w:ascii="Times New Roman;sans-serif" w:hAnsi="Times New Roman;sans-serif"/>
          <w:b w:val="false"/>
          <w:color w:val="000000"/>
          <w:sz w:val="20"/>
        </w:rPr>
        <w:t>We derive the majority of our hospice business revenue from Medicare reimbursement. The estimated payment rates are calculated as 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Routine Home Care (“RHC”). </w:t>
      </w:r>
      <w:r>
        <w:rPr>
          <w:rFonts w:ascii="Times New Roman;sans-serif" w:hAnsi="Times New Roman;sans-serif"/>
          <w:b w:val="false"/>
          <w:color w:val="000000"/>
          <w:sz w:val="20"/>
        </w:rPr>
        <w:t>Care that is not classified under any of the other levels of care, such as the work of nurses, social workers or home health aides.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General Inpatient Care. </w:t>
      </w:r>
      <w:r>
        <w:rPr>
          <w:rFonts w:ascii="Times New Roman;sans-serif" w:hAnsi="Times New Roman;sans-serif"/>
          <w:b w:val="false"/>
          <w:color w:val="000000"/>
          <w:sz w:val="20"/>
        </w:rPr>
        <w:t>Pain control or acute or chronic symptom management that cannot be managed in a setting other than an inpatient Medicare-certified facility, such as a hospital, skilled nursing facility or hospice inpatient facility.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Continuous Home Care. </w:t>
      </w:r>
      <w:r>
        <w:rPr>
          <w:rFonts w:ascii="Times New Roman;sans-serif" w:hAnsi="Times New Roman;sans-serif"/>
          <w:b w:val="false"/>
          <w:color w:val="000000"/>
          <w:sz w:val="20"/>
        </w:rPr>
        <w:t>Care for patients experiencing a medical crisis that requires nursing services to achieve palliation and symptom control, if the agency provides a minimum of eight hours of care within a 24-hour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Inpatient Respite Care.</w:t>
      </w:r>
      <w:r>
        <w:rPr>
          <w:color w:val="000000"/>
        </w:rPr>
        <w:t xml:space="preserve"> </w:t>
      </w:r>
      <w:r>
        <w:rPr>
          <w:rFonts w:ascii="Times New Roman;sans-serif" w:hAnsi="Times New Roman;sans-serif"/>
          <w:b w:val="false"/>
          <w:color w:val="000000"/>
          <w:sz w:val="20"/>
        </w:rPr>
        <w:t>Short-term, inpatient care to give temporary relief to the caregiver who regularly provides care to the patient.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CMS has established a two-tiered payment system for RHC. Hospices are reimbursed at a higher rate for RHC services provided from days of service one through 60 and a lower rate for all subsequent days of service. CMS also provides for a Service Intensity Add-On, which increases payments for certain RHC services provided by registered nurses and social workers to hospice patients during the final seven days of life.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estimate amounts due back to Medicare to the extent that the cap has been exceeded.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Senior Living Services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As of June 30, 2023, we provided assisted living, independent living and memory care services in 51 communities. Within our senior living operations, we generate revenue primarily from private pay sources, with a portion earned from Medicaid or other state-specific programs.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Primary Components of Expense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Cost of Services (excluding rent, general and administrative expense and depreciation and amortization)</w:t>
      </w:r>
      <w:r>
        <w:rPr>
          <w:rFonts w:ascii="Times New Roman;sans-serif" w:hAnsi="Times New Roman;sans-serif"/>
          <w:b w:val="false"/>
          <w:color w:val="000000"/>
          <w:sz w:val="20"/>
        </w:rPr>
        <w:t xml:space="preserve">. Our cost of services represents the costs of operating our independent operating subsidiaries, which primarily consists of payroll and related benefits, supplies, purchased services, and ancillary expenses such as the cost of pharmacy and therapy services provided to patients. Cost of services also includes the cost of general and professional liability insurance and other general cost of services specifically attributable to our operations.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i/>
          <w:color w:val="000000"/>
          <w:sz w:val="20"/>
        </w:rPr>
        <w:t>Rent—Cost of Services</w:t>
      </w:r>
      <w:r>
        <w:rPr>
          <w:rFonts w:ascii="Times New Roman;sans-serif" w:hAnsi="Times New Roman;sans-serif"/>
          <w:b w:val="false"/>
          <w:color w:val="000000"/>
          <w:sz w:val="20"/>
        </w:rPr>
        <w:t xml:space="preserve">. Rent—cost of services consists solely of base minimum rent amounts payable under lease agreements to our landlords. Our subsidiaries lease and operate but do not own the underlying real estate at our operations, and these amounts do not include taxes, insurance, impounds, capital reserves or other charges payable under the applicable lease agreements.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w:t>
      </w:r>
      <w:r>
        <w:rPr>
          <w:rFonts w:ascii="Times New Roman;sans-serif" w:hAnsi="Times New Roman;sans-serif"/>
          <w:b w:val="false"/>
          <w:color w:val="000000"/>
          <w:sz w:val="20"/>
        </w:rPr>
        <w:t>. General and administrative expense consists primarily of payroll and related benefits and travel expenses for our Service Center personnel, including training and other operational support. General and administrative expense also includes professional fees (including accounting and legal fees), costs relating to information systems, stock-based compensation and rent for our Service Center offices.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and Amortization</w:t>
      </w:r>
      <w:r>
        <w:rPr>
          <w:rFonts w:ascii="Times New Roman;sans-serif" w:hAnsi="Times New Roman;sans-serif"/>
          <w:b w:val="false"/>
          <w:color w:val="000000"/>
          <w:sz w:val="20"/>
        </w:rPr>
        <w:t>. Property and equipment are recorded at their original historical cost. Depreciation is computed using the straight-line method over the estimated useful lives of the depreciable assets (ranging from one to 40 years). Leasehold improvements are amortized on a straight-line basis over the shorter of their estimated useful lives or the remaining lease term.</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self-insurance reserves, revenue, leases, intangible assets, goodwill, and income taxes.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sans-serif" w:hAnsi="Times New Roman;sans-serif"/>
          <w:b w:val="false"/>
          <w:i/>
          <w:color w:val="000000"/>
          <w:sz w:val="20"/>
        </w:rPr>
        <w:t>Basis of Presentation and Summary of Significant Accounting Policies</w:t>
      </w:r>
      <w:r>
        <w:rPr>
          <w:rFonts w:ascii="Times New Roman;sans-serif" w:hAnsi="Times New Roman;sans-serif"/>
          <w:b w:val="false"/>
          <w:color w:val="000000"/>
          <w:sz w:val="20"/>
        </w:rPr>
        <w:t>, within the 2022 Annual Report for further information on our critical accounting estimates and policies, which are as follows: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i/>
          <w:color w:val="000000"/>
          <w:sz w:val="20"/>
        </w:rPr>
        <w:t>Self-insurance reserves</w:t>
      </w:r>
      <w:r>
        <w:rPr>
          <w:color w:val="000000"/>
        </w:rPr>
        <w:t xml:space="preserve"> </w:t>
      </w:r>
      <w:r>
        <w:rPr>
          <w:rFonts w:ascii="Times New Roman;sans-serif" w:hAnsi="Times New Roman;sans-serif"/>
          <w:b w:val="false"/>
          <w:color w:val="000000"/>
          <w:sz w:val="20"/>
        </w:rPr>
        <w:t>- The valuation methods and assumptions used in estimating costs up to retention amounts to settle open claims of insureds and an estimate of the cost of insured claims up to retention amounts that have been incurred but not reported;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i/>
          <w:color w:val="000000"/>
          <w:sz w:val="20"/>
        </w:rPr>
        <w:t>Revenue recognition</w:t>
      </w:r>
      <w:r>
        <w:rPr>
          <w:color w:val="000000"/>
        </w:rPr>
        <w:t xml:space="preserve"> </w:t>
      </w:r>
      <w:r>
        <w:rPr>
          <w:rFonts w:ascii="Times New Roman;sans-serif" w:hAnsi="Times New Roman;sans-serif"/>
          <w:b w:val="false"/>
          <w:color w:val="000000"/>
          <w:sz w:val="20"/>
        </w:rPr>
        <w:t>- The estimate of variable considerations to arrive at the transaction price, including methods and assumptions used to determine settlements with Medicare and Medicaid payors or retroactive adjustments due to audits and reviews;</w:t>
      </w:r>
    </w:p>
    <w:p>
      <w:pPr>
        <w:pStyle w:val="TextBody"/>
        <w:bidi w:val="0"/>
        <w:spacing w:lineRule="auto" w:line="288" w:before="0" w:after="120"/>
        <w:ind w:left="0" w:right="0" w:hanging="360"/>
        <w:jc w:val="left"/>
        <w:rPr/>
      </w:pPr>
      <w:r>
        <w:rPr>
          <w:color w:val="000000"/>
        </w:rPr>
        <w:t>•</w:t>
      </w:r>
      <w:r>
        <w:rPr>
          <w:rFonts w:ascii="Times New Roman;sans-serif" w:hAnsi="Times New Roman;sans-serif"/>
          <w:b/>
          <w:i/>
          <w:color w:val="000000"/>
          <w:sz w:val="20"/>
        </w:rPr>
        <w:t>Leases</w:t>
      </w:r>
      <w:r>
        <w:rPr>
          <w:color w:val="000000"/>
        </w:rPr>
        <w:t xml:space="preserve"> </w:t>
      </w:r>
      <w:r>
        <w:rPr>
          <w:rFonts w:ascii="Times New Roman;sans-serif" w:hAnsi="Times New Roman;sans-serif"/>
          <w:b w:val="false"/>
          <w:color w:val="000000"/>
          <w:sz w:val="20"/>
        </w:rPr>
        <w:t>- We use our estimated incremental borrowing rate based on the information available at lease commencement date in determining the present value of future lease payments;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i/>
          <w:color w:val="000000"/>
          <w:sz w:val="20"/>
        </w:rPr>
        <w:t>Acquisition accountin</w:t>
      </w:r>
      <w:r>
        <w:rPr>
          <w:rFonts w:ascii="Times New Roman;sans-serif" w:hAnsi="Times New Roman;sans-serif"/>
          <w:b/>
          <w:color w:val="000000"/>
          <w:sz w:val="20"/>
        </w:rPr>
        <w:t>g</w:t>
      </w:r>
      <w:r>
        <w:rPr>
          <w:color w:val="000000"/>
        </w:rPr>
        <w:t xml:space="preserve"> </w:t>
      </w:r>
      <w:r>
        <w:rPr>
          <w:rFonts w:ascii="Times New Roman;sans-serif" w:hAnsi="Times New Roman;sans-serif"/>
          <w:b w:val="false"/>
          <w:color w:val="000000"/>
          <w:sz w:val="20"/>
        </w:rPr>
        <w:t>- The assumptions used to allocate the purchase price paid for assets acquired and liabilities assumed in connection with our acquisitions;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Income taxes</w:t>
      </w:r>
      <w:r>
        <w:rPr>
          <w:color w:val="000000"/>
        </w:rPr>
        <w:t xml:space="preserve"> </w:t>
      </w:r>
      <w:r>
        <w:rPr>
          <w:rFonts w:ascii="Times New Roman;sans-serif" w:hAnsi="Times New Roman;sans-serif"/>
          <w:b w:val="false"/>
          <w:color w:val="000000"/>
          <w:sz w:val="20"/>
        </w:rPr>
        <w:t>- The estimation of valuation allowance or the need for and magnitude of liabilities for uncertain tax position.</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Pronouncements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 xml:space="preserve">Information concerning recently issued accounting pronouncements, if applicable, are included in Note 2, </w:t>
      </w:r>
      <w:r>
        <w:rPr>
          <w:rFonts w:ascii="Times New Roman;sans-serif" w:hAnsi="Times New Roman;sans-serif"/>
          <w:b w:val="false"/>
          <w:i/>
          <w:color w:val="000000"/>
          <w:sz w:val="20"/>
          <w:shd w:fill="FFFFFF" w:val="clear"/>
        </w:rPr>
        <w:t>Basis of Presentation and Summary of Significant Accounting Policies</w:t>
      </w:r>
      <w:r>
        <w:rPr>
          <w:color w:val="000000"/>
          <w:shd w:fill="FFFFFF" w:val="clear"/>
        </w:rPr>
        <w:t xml:space="preserve"> </w:t>
      </w:r>
      <w:r>
        <w:rPr>
          <w:rFonts w:ascii="Times New Roman;sans-serif" w:hAnsi="Times New Roman;sans-serif"/>
          <w:b w:val="false"/>
          <w:color w:val="000000"/>
          <w:sz w:val="20"/>
        </w:rPr>
        <w:t>in the Interim Financial Statements</w:t>
      </w:r>
      <w:r>
        <w:rPr>
          <w:rFonts w:ascii="Times New Roman;sans-serif" w:hAnsi="Times New Roman;sans-serif"/>
          <w:b w:val="false"/>
          <w:color w:val="000000"/>
          <w:sz w:val="20"/>
          <w:shd w:fill="FFFFFF" w:val="clear"/>
        </w:rPr>
        <w:t>. We determined that there were no applicable recently issued accounting pronouncements for the current reporting period</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details of our revenue, expenses and earnings as a percentage of total revenue for the periods indicated: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516"/>
        <w:gridCol w:w="1285"/>
        <w:gridCol w:w="1274"/>
        <w:gridCol w:w="352"/>
        <w:gridCol w:w="264"/>
        <w:gridCol w:w="500"/>
        <w:gridCol w:w="201"/>
        <w:gridCol w:w="201"/>
        <w:gridCol w:w="201"/>
        <w:gridCol w:w="352"/>
        <w:gridCol w:w="264"/>
        <w:gridCol w:w="500"/>
        <w:gridCol w:w="109"/>
        <w:gridCol w:w="109"/>
        <w:gridCol w:w="109"/>
        <w:gridCol w:w="352"/>
        <w:gridCol w:w="264"/>
        <w:gridCol w:w="458"/>
        <w:gridCol w:w="184"/>
        <w:gridCol w:w="184"/>
        <w:gridCol w:w="184"/>
        <w:gridCol w:w="352"/>
        <w:gridCol w:w="264"/>
        <w:gridCol w:w="458"/>
        <w:gridCol w:w="109"/>
        <w:gridCol w:w="159"/>
      </w:tblGrid>
      <w:tr>
        <w:trPr/>
        <w:tc>
          <w:tcPr>
            <w:tcW w:w="151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268" w:type="dxa"/>
            <w:gridSpan w:val="2"/>
            <w:tcBorders/>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asset dispositions and impairment,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Pennant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consolidated GAAP Financial measures for the three and six months ended June 30, 2023 and 2022: </w:t>
      </w:r>
    </w:p>
    <w:tbl>
      <w:tblPr>
        <w:tblW w:w="9634" w:type="dxa"/>
        <w:jc w:val="center"/>
        <w:tblInd w:w="0" w:type="dxa"/>
        <w:tblLayout w:type="fixed"/>
        <w:tblCellMar>
          <w:top w:w="28" w:type="dxa"/>
          <w:left w:w="28" w:type="dxa"/>
          <w:bottom w:w="28" w:type="dxa"/>
          <w:right w:w="28" w:type="dxa"/>
        </w:tblCellMar>
      </w:tblPr>
      <w:tblGrid>
        <w:gridCol w:w="1299"/>
        <w:gridCol w:w="1141"/>
        <w:gridCol w:w="1144"/>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GAAP Financial Measures: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financial information regarding our reportable segments. General and administrative expenses are not allocated to the reportable segments and are included in “All Other”:</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20"/>
        <w:gridCol w:w="871"/>
        <w:gridCol w:w="876"/>
        <w:gridCol w:w="109"/>
        <w:gridCol w:w="109"/>
        <w:gridCol w:w="109"/>
        <w:gridCol w:w="465"/>
        <w:gridCol w:w="1590"/>
        <w:gridCol w:w="240"/>
        <w:gridCol w:w="109"/>
        <w:gridCol w:w="109"/>
        <w:gridCol w:w="109"/>
        <w:gridCol w:w="334"/>
        <w:gridCol w:w="1145"/>
        <w:gridCol w:w="173"/>
        <w:gridCol w:w="109"/>
        <w:gridCol w:w="109"/>
        <w:gridCol w:w="109"/>
        <w:gridCol w:w="211"/>
        <w:gridCol w:w="668"/>
        <w:gridCol w:w="109"/>
        <w:gridCol w:w="109"/>
        <w:gridCol w:w="109"/>
        <w:gridCol w:w="109"/>
        <w:gridCol w:w="211"/>
        <w:gridCol w:w="826"/>
        <w:gridCol w:w="158"/>
      </w:tblGrid>
      <w:tr>
        <w:trPr/>
        <w:tc>
          <w:tcPr>
            <w:tcW w:w="102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5"/>
        <w:gridCol w:w="848"/>
        <w:gridCol w:w="853"/>
        <w:gridCol w:w="109"/>
        <w:gridCol w:w="109"/>
        <w:gridCol w:w="109"/>
        <w:gridCol w:w="421"/>
        <w:gridCol w:w="1649"/>
        <w:gridCol w:w="217"/>
        <w:gridCol w:w="109"/>
        <w:gridCol w:w="109"/>
        <w:gridCol w:w="109"/>
        <w:gridCol w:w="329"/>
        <w:gridCol w:w="1128"/>
        <w:gridCol w:w="170"/>
        <w:gridCol w:w="109"/>
        <w:gridCol w:w="109"/>
        <w:gridCol w:w="109"/>
        <w:gridCol w:w="211"/>
        <w:gridCol w:w="771"/>
        <w:gridCol w:w="109"/>
        <w:gridCol w:w="109"/>
        <w:gridCol w:w="109"/>
        <w:gridCol w:w="109"/>
        <w:gridCol w:w="211"/>
        <w:gridCol w:w="826"/>
        <w:gridCol w:w="159"/>
      </w:tblGrid>
      <w:tr>
        <w:trPr/>
        <w:tc>
          <w:tcPr>
            <w:tcW w:w="99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2"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186,099 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165,819 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provides a reconciliation of Segment Adjusted EBITDAR from Operations to Condensed Consolidated Income from operations:</w:t>
      </w:r>
    </w:p>
    <w:p>
      <w:pPr>
        <w:pStyle w:val="TextBody"/>
        <w:bidi w:val="0"/>
        <w:spacing w:before="0" w:after="0"/>
        <w:ind w:left="0" w:right="0" w:firstLine="720"/>
        <w:jc w:val="both"/>
        <w:rPr/>
      </w:pPr>
      <w:r>
        <w:rPr/>
      </w:r>
    </w:p>
    <w:tbl>
      <w:tblPr>
        <w:tblW w:w="10111" w:type="dxa"/>
        <w:jc w:val="left"/>
        <w:tblInd w:w="0" w:type="dxa"/>
        <w:tblLayout w:type="fixed"/>
        <w:tblCellMar>
          <w:top w:w="28" w:type="dxa"/>
          <w:left w:w="28" w:type="dxa"/>
          <w:bottom w:w="28" w:type="dxa"/>
          <w:right w:w="28" w:type="dxa"/>
        </w:tblCellMar>
      </w:tblPr>
      <w:tblGrid>
        <w:gridCol w:w="1707"/>
        <w:gridCol w:w="1497"/>
        <w:gridCol w:w="1506"/>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Segment Adjusted EBITDAR from Operations</w:t>
            </w:r>
            <w:r>
              <w:rPr>
                <w:rFonts w:ascii="Times New Roman;sans-serif" w:hAnsi="Times New Roman;sans-serif"/>
                <w:b w:val="false"/>
                <w:color w:val="000000"/>
                <w:sz w:val="13"/>
              </w:rPr>
              <w:t>(a)</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Segment EBITDAR from Operations: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Costs at start-up operations</w:t>
            </w:r>
            <w:r>
              <w:rPr>
                <w:rFonts w:ascii="Times New Roman;sans-serif" w:hAnsi="Times New Roman;sans-serif"/>
                <w:b w:val="false"/>
                <w:color w:val="000000"/>
                <w:sz w:val="13"/>
              </w:rPr>
              <w:t>(b)</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(c)</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(d)</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transitioning operations</w:t>
            </w:r>
            <w:r>
              <w:rPr>
                <w:rFonts w:ascii="Times New Roman;sans-serif" w:hAnsi="Times New Roman;sans-serif"/>
                <w:b w:val="false"/>
                <w:color w:val="000000"/>
                <w:sz w:val="13"/>
              </w:rPr>
              <w:t>(e)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(f)</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attributable to noncontrolling interest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Income (Loss) from Operations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2"/>
        <w:gridCol w:w="2743"/>
        <w:gridCol w:w="3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the costs associated with transitioning operations, (5) unusual, non-recurring or redundant charges, and (6) net income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and credit allowances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six months ended June 30,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 </w:t>
              <w:br/>
              <w:b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pPr>
            <w:r>
              <w:rPr>
                <w:rFonts w:ascii="Times New Roman;sans-serif" w:hAnsi="Times New Roman;sans-serif"/>
                <w:b w:val="false"/>
                <w:color w:val="000000"/>
                <w:sz w:val="16"/>
              </w:rPr>
              <w:t>Represents unusual or non-recurring charges for legal services, implementation costs, integration costs, and consulting fees in general and administrative expenses.</w:t>
              <w:br/>
            </w:r>
            <w:r>
              <w:rPr>
                <w:rFonts w:ascii="Times New Roman;sans-serif" w:hAnsi="Times New Roman;sans-serif"/>
                <w:b w:val="false"/>
                <w:sz w:val="16"/>
              </w:rPr>
              <w:br/>
            </w:r>
            <w:r>
              <w:rPr>
                <w:rFonts w:ascii="Times New Roman;sans-serif" w:hAnsi="Times New Roman;sans-serif"/>
                <w:b w:val="false"/>
                <w:color w:val="000000"/>
                <w:sz w:val="16"/>
              </w:rPr>
              <w:t>Costs identified as redundant or non-recurring incurred by the Company for additional services provided by Ensign. All amounts are included in general and administrative expense. Fees incurred were $192 and $465 for the three and six months ended June 30, 2023, respectively, and $458 and $1,101 for the three and six months ended June 30, 2022, respectively.</w:t>
            </w:r>
          </w:p>
        </w:tc>
      </w:tr>
    </w:tbl>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and Valuation Measures:</w:t>
      </w:r>
    </w:p>
    <w:p>
      <w:pPr>
        <w:pStyle w:val="TextBody"/>
        <w:bidi w:val="0"/>
        <w:spacing w:before="0" w:after="0"/>
        <w:ind w:left="0" w:right="0" w:firstLine="720"/>
        <w:jc w:val="left"/>
        <w:rPr/>
      </w:pPr>
      <w:r>
        <w:rPr/>
      </w:r>
    </w:p>
    <w:tbl>
      <w:tblPr>
        <w:tblW w:w="9391" w:type="dxa"/>
        <w:jc w:val="left"/>
        <w:tblInd w:w="0" w:type="dxa"/>
        <w:tblLayout w:type="fixed"/>
        <w:tblCellMar>
          <w:top w:w="28" w:type="dxa"/>
          <w:left w:w="28" w:type="dxa"/>
          <w:bottom w:w="28" w:type="dxa"/>
          <w:right w:w="28" w:type="dxa"/>
        </w:tblCellMar>
      </w:tblPr>
      <w:tblGrid>
        <w:gridCol w:w="1445"/>
        <w:gridCol w:w="1270"/>
        <w:gridCol w:w="1274"/>
        <w:gridCol w:w="232"/>
        <w:gridCol w:w="795"/>
        <w:gridCol w:w="120"/>
        <w:gridCol w:w="120"/>
        <w:gridCol w:w="120"/>
        <w:gridCol w:w="120"/>
        <w:gridCol w:w="232"/>
        <w:gridCol w:w="762"/>
        <w:gridCol w:w="120"/>
        <w:gridCol w:w="109"/>
        <w:gridCol w:w="109"/>
        <w:gridCol w:w="109"/>
        <w:gridCol w:w="211"/>
        <w:gridCol w:w="721"/>
        <w:gridCol w:w="109"/>
        <w:gridCol w:w="109"/>
        <w:gridCol w:w="109"/>
        <w:gridCol w:w="109"/>
        <w:gridCol w:w="211"/>
        <w:gridCol w:w="72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Non-GAAP Financial Measures: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Metrics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Metric</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EBITDAR</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06" w:type="dxa"/>
        <w:jc w:val="left"/>
        <w:tblInd w:w="0" w:type="dxa"/>
        <w:tblLayout w:type="fixed"/>
        <w:tblCellMar>
          <w:top w:w="28" w:type="dxa"/>
          <w:left w:w="28" w:type="dxa"/>
          <w:bottom w:w="28" w:type="dxa"/>
          <w:right w:w="28" w:type="dxa"/>
        </w:tblCellMar>
      </w:tblPr>
      <w:tblGrid>
        <w:gridCol w:w="1342"/>
        <w:gridCol w:w="1178"/>
        <w:gridCol w:w="1185"/>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Segment Non-GAAP Measures:</w:t>
            </w:r>
            <w:r>
              <w:rPr>
                <w:rFonts w:ascii="Times New Roman;sans-serif" w:hAnsi="Times New Roman;sans-serif"/>
                <w:b/>
                <w:color w:val="000000"/>
                <w:sz w:val="13"/>
              </w:rPr>
              <w:t>(a)</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from Operations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services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services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7"/>
        <w:gridCol w:w="2507"/>
        <w:gridCol w:w="3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expenses are not allocated to any segment for purposes of determining segment profit or loss.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reconcile Consolidated Net Income (loss) to the consolidated Non-GAAP financial measures, Consolidated EBITDA and Consolidated Adjusted EBITDA, and to the Non-GAAP valuation measure, Consolidated Adjusted EBITDAR, for the periods presented:</w:t>
      </w:r>
    </w:p>
    <w:tbl>
      <w:tblPr>
        <w:tblW w:w="10205" w:type="dxa"/>
        <w:jc w:val="left"/>
        <w:tblInd w:w="0" w:type="dxa"/>
        <w:tblLayout w:type="fixed"/>
        <w:tblCellMar>
          <w:top w:w="28" w:type="dxa"/>
          <w:left w:w="28" w:type="dxa"/>
          <w:bottom w:w="28" w:type="dxa"/>
          <w:right w:w="28" w:type="dxa"/>
        </w:tblCellMar>
      </w:tblPr>
      <w:tblGrid>
        <w:gridCol w:w="1604"/>
        <w:gridCol w:w="1403"/>
        <w:gridCol w:w="1409"/>
        <w:gridCol w:w="230"/>
        <w:gridCol w:w="790"/>
        <w:gridCol w:w="119"/>
        <w:gridCol w:w="119"/>
        <w:gridCol w:w="119"/>
        <w:gridCol w:w="119"/>
        <w:gridCol w:w="230"/>
        <w:gridCol w:w="753"/>
        <w:gridCol w:w="119"/>
        <w:gridCol w:w="109"/>
        <w:gridCol w:w="109"/>
        <w:gridCol w:w="109"/>
        <w:gridCol w:w="211"/>
        <w:gridCol w:w="722"/>
        <w:gridCol w:w="109"/>
        <w:gridCol w:w="109"/>
        <w:gridCol w:w="109"/>
        <w:gridCol w:w="109"/>
        <w:gridCol w:w="211"/>
        <w:gridCol w:w="688"/>
        <w:gridCol w:w="109"/>
        <w:gridCol w:w="109"/>
        <w:gridCol w:w="109"/>
        <w:gridCol w:w="109"/>
        <w:gridCol w:w="160"/>
      </w:tblGrid>
      <w:tr>
        <w:trPr/>
        <w:tc>
          <w:tcPr>
            <w:tcW w:w="160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87" w:type="dxa"/>
            <w:gridSpan w:val="4"/>
            <w:tcBorders/>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 (loss)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Provision for income taxes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Consolidated EBITDA</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 Costs at start-up operations</w:t>
            </w:r>
            <w:r>
              <w:rPr>
                <w:rFonts w:ascii="Times New Roman;sans-serif" w:hAnsi="Times New Roman;sans-serif"/>
                <w:b w:val="false"/>
                <w:color w:val="000000"/>
                <w:sz w:val="13"/>
              </w:rPr>
              <w:t>(a)</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(b)</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(c)</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transitioning operations</w:t>
            </w:r>
            <w:r>
              <w:rPr>
                <w:rFonts w:ascii="Times New Roman;sans-serif" w:hAnsi="Times New Roman;sans-serif"/>
                <w:b w:val="false"/>
                <w:color w:val="000000"/>
                <w:sz w:val="13"/>
              </w:rPr>
              <w:t>(d)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items (a) and (d) above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items (a) and (d) above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rent—cost of services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EBITDAR</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90"/>
        <w:gridCol w:w="2709"/>
        <w:gridCol w:w="38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38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and credit allowances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six months ended June 30,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 </w:t>
              <w:br/>
              <w:b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unusual or non-recurring charges for legal services, implementation costs, integration costs, and consulting fees in general and administrative expenses.</w:t>
              <w:br/>
              <w:br/>
              <w:t>Costs identified as redundant or non-recurring incurred by the Company for additional services provided by Ensign. All amounts are included in general and administrative expense. Fees incurred were $192 and $465 for the three and six months ended June 30, 2023, respectively, and $458 and $1,101 for the three and six months ended June 30, 2022, respectively.</w:t>
            </w:r>
          </w:p>
        </w:tc>
      </w:tr>
    </w:tbl>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reconciles Segment Adjusted EBITDAR from Operations to Segment Adjusted EBITDA from Operations for the periods presented:</w:t>
      </w:r>
    </w:p>
    <w:tbl>
      <w:tblPr>
        <w:tblW w:w="9405"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w:t>
      </w:r>
      <w:r>
        <w:rPr>
          <w:color w:val="000000"/>
        </w:rPr>
        <w:t> </w:t>
      </w:r>
      <w:r>
        <w:rPr>
          <w:rFonts w:ascii="Times New Roman;sans-serif" w:hAnsi="Times New Roman;sans-serif"/>
          <w:b w:val="false"/>
          <w:color w:val="000000"/>
          <w:sz w:val="20"/>
        </w:rPr>
        <w:t>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Non-GAAP Financial Measures are useful to investors and other external users of our financial statements regarding our results of operations because: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help investors evaluate and compare the results of our operations from period to period by removing the impact of our asset base and capital structure from our operating results;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Consolidated Adjusted EBITDAR is used by investors and analysts in our industry to value the companies in our industry without regard to capital structures.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Non-GAAP Financial Measures:</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as measurements of our operating performance to assist us in comparing our operating performance on a consistent basis from period to period;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to allocate resources to enhance the financial performance of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to assess the value of a potential acquisition;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to assess the value of a transformed operation’s performance;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to evaluate the effectiveness of our operational strategies;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to compare our operating performance to that of our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establish compensation programs and bonuses for our leaders that are partially based upon the achievement of Consolidated Adjusted EBITDAR targets.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our current or future cash requirements for capital expenditures or contractual commitments;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changes in, or cash requirements for, our working capital needs;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the net interest expense, or the cash requirements necessary to service interest or principal payments, on our debt;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 the case of Consolidated Adjusted EBITDAR, it does not reflect rent expenses, which are normal and recurring operating expenses that are necessary to operate our leased operations;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any income tax payments we may be required to make;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do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 our industry may calculate the same Non-GAAP Financial Measures differently than we do, which may limit their usefulness as comparative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compensate for these limitations by using Non-GAAP Financial Measures only to supplement net income on a basis prepared in accordance with GAAP in order to provide a more complete understanding of the factors and trends affecting our business. Our use of Non-GAAP Financial Measures should not be construed as an inference that our future results will be unaffected by unusual or unexpected items.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Consolidated Net Income to the Non-GAAP Financial Measures in the table presented above, along with the Interim Financial Statements and related notes included elsewhere in this Quarterly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Non-GAAP Financial Measures are useful to investors as key operating performance measures and valuation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Performance Measures: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Consolidated EBITDA as net income, before (a) interest expense (b) provision for income taxes and (c) depreciation and amortization.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adjust Consolidated EBITDA when evaluating our performance because we believe that the exclusion of the additional items described below provides useful supplemental information to investors regarding our ongoing operating performance. We believe that the presentation of Consolidated Adjusted EBITDA, when considered with Consolidated EBITDA and GAAP Consolidated Net Income is beneficial to an investor’s complete understanding of our operating performance.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Consolidated Adjusted EBITDA by adjusting Consolidated EBITDA to exclude the effects of non-core business items, which for the reported periods includes, to the extent applicable: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costs at start-up operations;</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share-based compensation expense;</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acquisition related costs and credit allowances;</w:t>
      </w:r>
      <w:r>
        <w:rPr>
          <w:color w:val="000000"/>
          <w:shd w:fill="FFFFFF" w:val="clear"/>
        </w:rPr>
        <w:t xml:space="preserve"> </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rPr>
        <w:t xml:space="preserve">costs associated with transitioning operations; </w:t>
      </w:r>
      <w:r>
        <w:rPr>
          <w:rFonts w:ascii="Times New Roman;sans-serif" w:hAnsi="Times New Roman;sans-serif"/>
          <w:b w:val="false"/>
          <w:color w:val="000000"/>
          <w:sz w:val="20"/>
          <w:shd w:fill="FFFFFF" w:val="clear"/>
        </w:rPr>
        <w:t>and</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unusual, non-recurring, or redundant charges.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 from Operations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Valuation Measure</w:t>
      </w:r>
      <w:r>
        <w:rPr>
          <w:rFonts w:ascii="Times New Roman;sans-serif" w:hAnsi="Times New Roman;sans-serif"/>
          <w:b/>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Adjusted EBITDAR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Three Months Ended June 30, 2023 Compared to the Three Months Ended June 30, 2022 </w:t>
      </w:r>
    </w:p>
    <w:p>
      <w:pPr>
        <w:pStyle w:val="TextBody"/>
        <w:bidi w:val="0"/>
        <w:spacing w:lineRule="auto" w:line="288" w:before="0" w:after="120"/>
        <w:jc w:val="left"/>
        <w:rPr/>
      </w:pPr>
      <w:r>
        <w:rPr>
          <w:rFonts w:ascii="Times New Roman;sans-serif" w:hAnsi="Times New Roman;sans-serif"/>
          <w:b/>
          <w:i/>
          <w:color w:val="000000"/>
          <w:sz w:val="20"/>
        </w:rPr>
        <w:t>Revenue</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Home care and other</w:t>
            </w:r>
            <w:r>
              <w:rPr>
                <w:rFonts w:ascii="Times New Roman;sans-serif" w:hAnsi="Times New Roman;sans-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132,281 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Home care and other revenue is included with home health revenue in other disclosures in this Quarterly Report.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revenue increased $16.0 million, or 13.7% during the three months ended June 30, 2023. We experienced growth of $9.7 million from increased operational performance in our Home Health and Hospice segment from increased admissions and rates in both lines of business when compared to the three months ended June 30, 2022. The growth in our Senior Living segment resulted in an increase in revenue of $6.3 million driven primarily by the combination of increased occupancy of 150 basis points and improved average rate per occupied room of $469.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764"/>
        <w:gridCol w:w="1548"/>
        <w:gridCol w:w="1557"/>
        <w:gridCol w:w="229"/>
        <w:gridCol w:w="785"/>
        <w:gridCol w:w="117"/>
        <w:gridCol w:w="117"/>
        <w:gridCol w:w="117"/>
        <w:gridCol w:w="117"/>
        <w:gridCol w:w="229"/>
        <w:gridCol w:w="785"/>
        <w:gridCol w:w="117"/>
        <w:gridCol w:w="109"/>
        <w:gridCol w:w="109"/>
        <w:gridCol w:w="109"/>
        <w:gridCol w:w="211"/>
        <w:gridCol w:w="616"/>
        <w:gridCol w:w="109"/>
        <w:gridCol w:w="109"/>
        <w:gridCol w:w="109"/>
        <w:gridCol w:w="109"/>
        <w:gridCol w:w="255"/>
        <w:gridCol w:w="256"/>
        <w:gridCol w:w="622"/>
      </w:tblGrid>
      <w:tr>
        <w:trPr/>
        <w:tc>
          <w:tcPr>
            <w:tcW w:w="176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revenue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care and 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admissions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Medicare home health admissions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Medicare revenue per 60-day completed episode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hospice admissions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hospice census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Medicare revenue per day</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home health and hospice agencies at period end</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Home health and hospice revenue increased $9.7 million, or 11.3%. Revenue grew due to an increase in certain key performance indicators including, an increase of 3.8% in total home health admissions, an increase in total hospice admissions of 9.6%, an increase in average daily hospice census of 9.1%, and an increase of 7.4% in hospice Medicare revenue per day,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compared to the prior year quarter. Growth was also driven by the addition of twelve home health and hospice operations between June 30, 2022 and June 30, 2023, resulting in an increase of $2.9 million or 3.4%.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Living Services</w:t>
      </w:r>
    </w:p>
    <w:tbl>
      <w:tblPr>
        <w:tblW w:w="9299" w:type="dxa"/>
        <w:jc w:val="left"/>
        <w:tblInd w:w="0" w:type="dxa"/>
        <w:tblLayout w:type="fixed"/>
        <w:tblCellMar>
          <w:top w:w="28" w:type="dxa"/>
          <w:left w:w="28" w:type="dxa"/>
          <w:bottom w:w="28" w:type="dxa"/>
          <w:right w:w="28" w:type="dxa"/>
        </w:tblCellMar>
      </w:tblPr>
      <w:tblGrid>
        <w:gridCol w:w="1334"/>
        <w:gridCol w:w="1174"/>
        <w:gridCol w:w="1181"/>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communities at period 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Senior living revenue increased $6.3 million, or 20.3%, for the three months ended June 30, 2023 compared to the prior year quarter. Revenue grew primarily due to a 13.5% increase in average monthly revenue per occupied unit and an increase of 150 basis points in occupancy between June 30, 2022</w:t>
      </w:r>
      <w:r>
        <w:rPr>
          <w:color w:val="000000"/>
          <w:shd w:fill="FFFFFF" w:val="clear"/>
        </w:rPr>
        <w:t xml:space="preserve"> </w:t>
      </w:r>
      <w:r>
        <w:rPr>
          <w:rFonts w:ascii="Times New Roman;sans-serif" w:hAnsi="Times New Roman;sans-serif"/>
          <w:b w:val="false"/>
          <w:color w:val="000000"/>
          <w:sz w:val="20"/>
          <w:shd w:fill="FFFFFF" w:val="clear"/>
        </w:rPr>
        <w:t xml:space="preserve">and June 30, 2023. </w:t>
      </w:r>
      <w:r>
        <w:rPr>
          <w:rFonts w:ascii="Times New Roman;sans-serif" w:hAnsi="Times New Roman;sans-serif"/>
          <w:b w:val="false"/>
          <w:color w:val="000000"/>
          <w:sz w:val="20"/>
        </w:rPr>
        <w:t xml:space="preserve">Growth was also driven by the addition of three senior living communities between June 30, 2022 and June 30, 2023, resulting in an increase of $1.3 million or 4.2% overall.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Cost of Services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total cost of services by each of our reportable segments for the periods indicated: </w:t>
      </w:r>
    </w:p>
    <w:p>
      <w:pPr>
        <w:pStyle w:val="TextBody"/>
        <w:bidi w:val="0"/>
        <w:spacing w:before="0" w:after="0"/>
        <w:ind w:left="0" w:right="0" w:firstLine="720"/>
        <w:jc w:val="left"/>
        <w:rPr/>
      </w:pPr>
      <w:r>
        <w:rPr/>
      </w:r>
    </w:p>
    <w:tbl>
      <w:tblPr>
        <w:tblW w:w="7675" w:type="dxa"/>
        <w:jc w:val="left"/>
        <w:tblInd w:w="0" w:type="dxa"/>
        <w:tblLayout w:type="fixed"/>
        <w:tblCellMar>
          <w:top w:w="28" w:type="dxa"/>
          <w:left w:w="28" w:type="dxa"/>
          <w:bottom w:w="28" w:type="dxa"/>
          <w:right w:w="28" w:type="dxa"/>
        </w:tblCellMar>
      </w:tblPr>
      <w:tblGrid>
        <w:gridCol w:w="810"/>
        <w:gridCol w:w="710"/>
        <w:gridCol w:w="715"/>
        <w:gridCol w:w="220"/>
        <w:gridCol w:w="862"/>
        <w:gridCol w:w="113"/>
        <w:gridCol w:w="113"/>
        <w:gridCol w:w="113"/>
        <w:gridCol w:w="113"/>
        <w:gridCol w:w="220"/>
        <w:gridCol w:w="753"/>
        <w:gridCol w:w="113"/>
        <w:gridCol w:w="109"/>
        <w:gridCol w:w="109"/>
        <w:gridCol w:w="109"/>
        <w:gridCol w:w="211"/>
        <w:gridCol w:w="721"/>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services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consolidated cost of services increased $13.5 million, or 14.5%, for the three months ended June 30, 2023 when compared to the three months ended June 30, 2022. Cost of services as a percentage of revenue increased by 70 basis points from 79.7% to 80.4% for the three months ended June 30, 2023 when compared to the three months ended June 30, 2022.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p>
      <w:pPr>
        <w:pStyle w:val="TextBody"/>
        <w:bidi w:val="0"/>
        <w:spacing w:before="0" w:after="0"/>
        <w:jc w:val="both"/>
        <w:rPr/>
      </w:pPr>
      <w:r>
        <w:rPr/>
      </w:r>
    </w:p>
    <w:tbl>
      <w:tblPr>
        <w:tblW w:w="9180" w:type="dxa"/>
        <w:jc w:val="left"/>
        <w:tblInd w:w="0" w:type="dxa"/>
        <w:tblLayout w:type="fixed"/>
        <w:tblCellMar>
          <w:top w:w="28" w:type="dxa"/>
          <w:left w:w="28" w:type="dxa"/>
          <w:bottom w:w="28" w:type="dxa"/>
          <w:right w:w="28" w:type="dxa"/>
        </w:tblCellMar>
      </w:tblPr>
      <w:tblGrid>
        <w:gridCol w:w="1293"/>
        <w:gridCol w:w="1136"/>
        <w:gridCol w:w="1141"/>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55"/>
        <w:gridCol w:w="256"/>
        <w:gridCol w:w="61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related to our Home Health and Hospice Services segment increased $9.8 million, or 13.9%, primarily due to increased volume of services provided. Cost of services as a percentage of revenue for the three months ended June 30, 2023 increased 190 basis points from 82.4% to 84.3% for the three months ended June 30, 2023 when compared to the three months ended June 30, 2022, primarily due to increased wages and benefits offset by a reduced insurance costs.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Living Services </w:t>
      </w:r>
    </w:p>
    <w:p>
      <w:pPr>
        <w:pStyle w:val="TextBody"/>
        <w:bidi w:val="0"/>
        <w:spacing w:before="0" w:after="0"/>
        <w:jc w:val="both"/>
        <w:rPr/>
      </w:pPr>
      <w:r>
        <w:rPr/>
      </w:r>
    </w:p>
    <w:tbl>
      <w:tblPr>
        <w:tblW w:w="9180" w:type="dxa"/>
        <w:jc w:val="left"/>
        <w:tblInd w:w="0" w:type="dxa"/>
        <w:tblLayout w:type="fixed"/>
        <w:tblCellMar>
          <w:top w:w="28" w:type="dxa"/>
          <w:left w:w="28" w:type="dxa"/>
          <w:bottom w:w="28" w:type="dxa"/>
          <w:right w:w="28" w:type="dxa"/>
        </w:tblCellMar>
      </w:tblPr>
      <w:tblGrid>
        <w:gridCol w:w="1293"/>
        <w:gridCol w:w="1136"/>
        <w:gridCol w:w="1141"/>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55"/>
        <w:gridCol w:w="256"/>
        <w:gridCol w:w="61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related to our Senior Living Services segment increased $3.7 million, or 16.4%. As a percentage of revenue, costs of service decreased by 240 basis points from 72.4% to 70.0% for the three months ended June 30, 2023 when compared to the three months ended June 30, 2022, due to primarily to reduced insurance costs and increased state relief funds received.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Rent—Cost of Services</w:t>
      </w:r>
      <w:r>
        <w:rPr>
          <w:rFonts w:ascii="Times New Roman;sans-serif" w:hAnsi="Times New Roman;sans-serif"/>
          <w:b w:val="false"/>
          <w:color w:val="000000"/>
          <w:sz w:val="20"/>
        </w:rPr>
        <w:t>. Rent expense increased 8.3% from $9.1 million to $9.8 million in the three months ended June 30, 2023 compared to the three months ended June 30, 2022, primarily as a result of the newly acquired senior living communities. Rent as a percentage of total revenue decreased 40 basis points from 7.8% to 7.4% for the three months ended June 30, 2023 compared to the three months ended June 30,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General and Administrative Expense. </w:t>
      </w:r>
      <w:r>
        <w:rPr>
          <w:rFonts w:ascii="Times New Roman;sans-serif" w:hAnsi="Times New Roman;sans-serif"/>
          <w:b w:val="false"/>
          <w:color w:val="000000"/>
          <w:sz w:val="20"/>
        </w:rPr>
        <w:t xml:space="preserve">Our general and administrative expense decreased $0.9 million or 9.7% from $9.7 million to $8.8 million for the three months ended June 30, 2023 when compared to the three months ended June 30, 2022. General and administrative expense as a percentage of revenue decreased 180 basis points from 8.4% to 6.6%. The primary driver of the decrease in general and administrative expense was the decrease in share-based compensation of $1.3 million due primarily to the vesting of certain outstanding RSUs granted in connection with the Spin-Off as described above in Note 12, </w:t>
      </w:r>
      <w:r>
        <w:rPr>
          <w:rFonts w:ascii="Times New Roman;sans-serif" w:hAnsi="Times New Roman;sans-serif"/>
          <w:b w:val="false"/>
          <w:i/>
          <w:color w:val="000000"/>
          <w:sz w:val="20"/>
        </w:rPr>
        <w:t xml:space="preserve">Options and Awards </w:t>
      </w:r>
      <w:r>
        <w:rPr>
          <w:rFonts w:ascii="Times New Roman;sans-serif" w:hAnsi="Times New Roman;sans-serif"/>
          <w:b w:val="false"/>
          <w:color w:val="000000"/>
          <w:sz w:val="20"/>
        </w:rPr>
        <w:t>to the Interim Financial Statements included elsewhere in this Quarterly Report, during the three months ended June 30, 2023 when compared to the three months ended June 30, 2022. Increases in wages and information systems costs offset the decrease from share-based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 xml:space="preserve">Depreciation and amortization expense was essentially flat as a percentage of total revenue. The impact of increased capital expenditures on depreciation was offset by the prior year impairment of assets that were transferred to Ensign during the current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We recorded income tax expense (benefit) of $1.9 million and $(1.4) million or 39.7% and 34.6% of earnings before income taxes for the three months ended June 30, 2023 and 2022, respectively. The increase in the effective tax rate is primarily due to change in the deductibility of equity compensation for certain executives.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Six Months Ended June 30, 2023 Compared to the Six Months Ended June 30, 2022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Revenue</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Home care and other</w:t>
            </w:r>
            <w:r>
              <w:rPr>
                <w:rFonts w:ascii="Times New Roman;sans-serif" w:hAnsi="Times New Roman;sans-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186,099 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165,819 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258,745 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Home care and other revenue is included with home health revenue in other disclosures in this Quarterly Report.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revenue increased $28.5 million, or 12.4%, during the six months ended June 30, 2023. The increase in revenue was driven by increases in key metrics for home health and hospice and senior living, including hospice admissions, hospice revenue per day, hospice average daily census, senior living occupancy, and senior living revenue per occupied room.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1"/>
        <w:gridCol w:w="1512"/>
        <w:gridCol w:w="152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616"/>
      </w:tblGrid>
      <w:tr>
        <w:trPr/>
        <w:tc>
          <w:tcPr>
            <w:tcW w:w="173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care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Medicare home health admissions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Medicare revenue per 60-day completed episode</w:t>
            </w:r>
            <w:r>
              <w:rPr>
                <w:rFonts w:ascii="Times New Roman;sans-serif" w:hAnsi="Times New Roman;sans-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hospice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census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home health and hospice agencies at period end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year-to-date average for Medicare revenue per 60-day completed episode includes post period claim adjustments for prior periods.</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Home health and hospice revenue increased $20.3 million, or 12.2% during the six months ended June 30, 2023. Segment revenue grew primarily due an increase in hospice average daily census of 9.2%, an increase of 5.5% in home health admissions, inclusive of an increase in total Medicare home health admissions of 5.2%, and an increase of 5.4% in hospice admissions. The addition of twelve home health and hospice operations between June 30, 2022 and June 30, 2023, added revenue of $4.6 million or 2.8%.</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Living Services</w:t>
      </w:r>
    </w:p>
    <w:p>
      <w:pPr>
        <w:pStyle w:val="TextBody"/>
        <w:bidi w:val="0"/>
        <w:spacing w:before="0" w:after="0"/>
        <w:jc w:val="left"/>
        <w:rPr/>
      </w:pPr>
      <w:r>
        <w:rPr/>
      </w:r>
    </w:p>
    <w:tbl>
      <w:tblPr>
        <w:tblW w:w="9299" w:type="dxa"/>
        <w:jc w:val="left"/>
        <w:tblInd w:w="0" w:type="dxa"/>
        <w:tblLayout w:type="fixed"/>
        <w:tblCellMar>
          <w:top w:w="28" w:type="dxa"/>
          <w:left w:w="28" w:type="dxa"/>
          <w:bottom w:w="28" w:type="dxa"/>
          <w:right w:w="28" w:type="dxa"/>
        </w:tblCellMar>
      </w:tblPr>
      <w:tblGrid>
        <w:gridCol w:w="1334"/>
        <w:gridCol w:w="1174"/>
        <w:gridCol w:w="1181"/>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communities at period 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Senior living revenue increased $8.2 million, or 12.8%, for the six months ended June 30, 2023 compared to the same period in the prior year primarily due to an increase of 13.9% in average monthly revenue per occupied unit and an increase of 370 basis points in the occupancy rate between June 30, 2022 and June 30, 2023. The acquisition of three senior living communities between June 30, 2022 and June 30, 2023, added $2.1 million or 3.2% in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Cost of Services</w:t>
      </w:r>
      <w:r>
        <w:rPr>
          <w:color w:val="000000"/>
        </w:rPr>
        <w:t xml:space="preserve"> </w:t>
      </w:r>
    </w:p>
    <w:tbl>
      <w:tblPr>
        <w:tblW w:w="7674" w:type="dxa"/>
        <w:jc w:val="left"/>
        <w:tblInd w:w="0" w:type="dxa"/>
        <w:tblLayout w:type="fixed"/>
        <w:tblCellMar>
          <w:top w:w="28" w:type="dxa"/>
          <w:left w:w="28" w:type="dxa"/>
          <w:bottom w:w="28" w:type="dxa"/>
          <w:right w:w="28" w:type="dxa"/>
        </w:tblCellMar>
      </w:tblPr>
      <w:tblGrid>
        <w:gridCol w:w="810"/>
        <w:gridCol w:w="710"/>
        <w:gridCol w:w="71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services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cost of services increased $25.8 million, or 14.1%, during the six months ended June 30, 2023. Cost of services as a percentage of revenue for the six months ended June 30, 2023 increased by 120 basis points to 80.7% from 79.5% compared to the six months ended June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tbl>
      <w:tblPr>
        <w:tblW w:w="9494" w:type="dxa"/>
        <w:jc w:val="left"/>
        <w:tblInd w:w="0" w:type="dxa"/>
        <w:tblLayout w:type="fixed"/>
        <w:tblCellMar>
          <w:top w:w="28" w:type="dxa"/>
          <w:left w:w="28" w:type="dxa"/>
          <w:bottom w:w="28" w:type="dxa"/>
          <w:right w:w="28" w:type="dxa"/>
        </w:tblCellMar>
      </w:tblPr>
      <w:tblGrid>
        <w:gridCol w:w="1290"/>
        <w:gridCol w:w="1136"/>
        <w:gridCol w:w="1143"/>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55"/>
        <w:gridCol w:w="256"/>
        <w:gridCol w:w="61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related to our Home Health and Hospice services segment increased $20.3 million, or 14.8%, primarily due to the increased volume of services from growth in admissions and census. Cost of services as a percentage of revenue for the six months ended June 30, 2023 increased by 180 basis points compared to the six months ended June 30, 2022 primarily due to increased wages and benefits.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Living Services </w:t>
      </w:r>
    </w:p>
    <w:p>
      <w:pPr>
        <w:pStyle w:val="TextBody"/>
        <w:bidi w:val="0"/>
        <w:spacing w:before="0" w:after="0"/>
        <w:jc w:val="both"/>
        <w:rPr/>
      </w:pPr>
      <w:r>
        <w:rPr/>
      </w:r>
    </w:p>
    <w:tbl>
      <w:tblPr>
        <w:tblW w:w="9179" w:type="dxa"/>
        <w:jc w:val="left"/>
        <w:tblInd w:w="0" w:type="dxa"/>
        <w:tblLayout w:type="fixed"/>
        <w:tblCellMar>
          <w:top w:w="28" w:type="dxa"/>
          <w:left w:w="28" w:type="dxa"/>
          <w:bottom w:w="28" w:type="dxa"/>
          <w:right w:w="28" w:type="dxa"/>
        </w:tblCellMar>
      </w:tblPr>
      <w:tblGrid>
        <w:gridCol w:w="1290"/>
        <w:gridCol w:w="1136"/>
        <w:gridCol w:w="1143"/>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55"/>
        <w:gridCol w:w="256"/>
        <w:gridCol w:w="61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related to our Senior Living services segment increased $5.5 million, or 12.1%, during the six months ended June 30, 2023 in response to higher occupancy and wage rate increases. As a percentage of revenue, costs of service decreased by 40 basis points from 71.0% to 70.6% during the six months ended June 30, 2023 when compared to the six months ended June 30, 2022, due primarily to reduction in contract labor, decline in property taxes and receipt of state relief funds.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Rent—Cost of Services</w:t>
      </w:r>
      <w:r>
        <w:rPr>
          <w:rFonts w:ascii="Times New Roman;sans-serif" w:hAnsi="Times New Roman;sans-serif"/>
          <w:b w:val="false"/>
          <w:color w:val="000000"/>
          <w:sz w:val="20"/>
        </w:rPr>
        <w:t>. Rent increased 1.6% from $19.1 million to $19.4 million during the six months ended June 30, 2023 compared to the same period in the prior year, primarily as a result of the newly acquired senior living communities. As a percentage of revenue, rent</w:t>
      </w:r>
      <w:r>
        <w:rPr>
          <w:color w:val="000000"/>
        </w:rPr>
        <w:t>—</w:t>
      </w:r>
      <w:r>
        <w:rPr>
          <w:rFonts w:ascii="Times New Roman;sans-serif" w:hAnsi="Times New Roman;sans-serif"/>
          <w:b w:val="false"/>
          <w:color w:val="000000"/>
          <w:sz w:val="20"/>
        </w:rPr>
        <w:t>cost of services decreased 80 basis points when compared to the six months ended June 30,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General and Administrative Expense. </w:t>
      </w:r>
      <w:r>
        <w:rPr>
          <w:rFonts w:ascii="Times New Roman;sans-serif" w:hAnsi="Times New Roman;sans-serif"/>
          <w:b w:val="false"/>
          <w:color w:val="000000"/>
          <w:sz w:val="20"/>
        </w:rPr>
        <w:t xml:space="preserve">Our general and administrative expense decreased $2.3 million, or 11.5%, from $19.8 million to $17.5 million for the six months ended June 30, 2023 when compared to the six months ended June 30, 2022. The decrease in general and administrative expense was due to a decrease of $2.4 million in share-based compensation, for the six months ended June 30, 2023 when compared to the six months ended June 30,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 xml:space="preserve">Depreciation and amortization expense was essentially flat as a percentage of total revenue.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Loss on asset dispositions and impairment, net. </w:t>
      </w:r>
      <w:r>
        <w:rPr>
          <w:rFonts w:ascii="Times New Roman;sans-serif" w:hAnsi="Times New Roman;sans-serif"/>
          <w:b w:val="false"/>
          <w:color w:val="000000"/>
          <w:sz w:val="20"/>
        </w:rPr>
        <w:t xml:space="preserve">Loss on asset dispositions and impairment, net decreased $6.7 million for the six months ended June 30, 2023 when compared to the six months ended June 30, 2022 due to senior living communities transferred to Ensign in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We recorded income tax expense (benefit) of $2.8 million and $(0.8) million, or 36.5% and 36.7% of earnings (loss) before income taxes, for the six months ended June 30, 2023 and 2022, respectively. The decrease in the effective tax rate is primarily due to changes in the deductibility of equity compensation for certain executives.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net cash provided by operating activities and borrowings under our revolving credit facility.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Revolving Credit Facility</w:t>
      </w:r>
      <w:r>
        <w:rPr>
          <w:color w:val="000000"/>
        </w:rPr>
        <w: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2021, Pennant entered into an amendment to its existing credit agreement (as amended, the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On June 12, 2023, Pennant entered into a second amendment to the Credit Agreement that modified the reference rate from LIBOR to Standard Overnight Financing Rate (“SOFR”). The Company is permitted to prepay all or any portion of the loans under the Revolving Credit Facility prior to maturity without premium or penalty, subject to reimbursement of any SOFR breakage costs of the lenders.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June 30, 2023, the Company was compliant with all such financial covenants.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252525"/>
          <w:sz w:val="20"/>
        </w:rPr>
        <w:t>As of</w:t>
      </w:r>
      <w:r>
        <w:rPr>
          <w:color w:val="000000"/>
        </w:rPr>
        <w:t xml:space="preserve"> </w:t>
      </w:r>
      <w:r>
        <w:rPr>
          <w:rFonts w:ascii="Times New Roman;sans-serif" w:hAnsi="Times New Roman;sans-serif"/>
          <w:b w:val="false"/>
          <w:color w:val="000000"/>
          <w:sz w:val="20"/>
        </w:rPr>
        <w:t>June 30, 2023, we had $2.8 million of cash and $85.3 million of available borrowing capacity on our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cash generated through operations, and access to available borrowing capacity under our existing Credit Agreement, will be sufficient to provide adequate liquidity for the next twelve months for our operating activities and for opportunities of acquisition growth.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selected data from our Condensed Consolidated Statement of Cash Flows for the periods presented: </w:t>
      </w:r>
    </w:p>
    <w:tbl>
      <w:tblPr>
        <w:tblW w:w="6640" w:type="dxa"/>
        <w:jc w:val="left"/>
        <w:tblInd w:w="0" w:type="dxa"/>
        <w:tblLayout w:type="fixed"/>
        <w:tblCellMar>
          <w:top w:w="28" w:type="dxa"/>
          <w:left w:w="28" w:type="dxa"/>
          <w:bottom w:w="28" w:type="dxa"/>
          <w:right w:w="28" w:type="dxa"/>
        </w:tblCellMar>
      </w:tblPr>
      <w:tblGrid>
        <w:gridCol w:w="1525"/>
        <w:gridCol w:w="1343"/>
        <w:gridCol w:w="1346"/>
        <w:gridCol w:w="218"/>
        <w:gridCol w:w="746"/>
        <w:gridCol w:w="112"/>
        <w:gridCol w:w="112"/>
        <w:gridCol w:w="112"/>
        <w:gridCol w:w="112"/>
        <w:gridCol w:w="218"/>
        <w:gridCol w:w="637"/>
        <w:gridCol w:w="159"/>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cash </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period</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period</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Six Months Ended June 30, 2023 Compared to the Six Months Ended June 30, 2022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flow from operating activities for the six months ended June 30, 2023 increased by $10.6 million when compared to the six months ended June 30, 2022. The primary driver of this difference was a $6.3 million increase in Net income, and a $5.3 million net increase in cash flows from the change in operating assets and liabilities, partially offset by a decrease of $1.0 million in non-cash expenses, net of the impact of acquisitions.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used in investing activities for the six months ended June 30, 2023 increased by $2.5 million compared to the six months ended June 30, 2022, primarily driven by a $6.5 million increase in business acquisitions offset by a $3.9 million decrease in purchases of property and equipment during the six months ended June 30, 2023 compared to the six months ended June 30,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used in financing activities increased by approximately $5.4 million for the six months ended June 30, 2023 compared to the six months ended June 30, 2022. The increase was primarily due to a net reduction in the balance on our line of credit during the six months ended June 30, 2023 compared to the six months ended June 30, 2022.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Contractual Obligations, Commitments and Contingencies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continue to make draws and payments on our Revolving Credit Facility, as described in Note 11,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to the Interim Financial Statements in Part I of this Quarterly Report. Additionally, we have right-of-use assets obtained in exchange for new operating lease obligations, as described in the supplemental disclosures of cash flow information in the Condensed Consolidated Statement of Cash Flows and in Note 13,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to the Interim Financial Statements in Part I of this Quarterly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Besides those transactions there have been no other material changes to our total obligations during the period covered by this Quarterly Report outside of the normal course of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Interest Rate Risk</w:t>
      </w:r>
      <w:r>
        <w:rPr>
          <w:rFonts w:ascii="Times New Roman;sans-serif" w:hAnsi="Times New Roman;sans-serif"/>
          <w:b w:val="false"/>
          <w:color w:val="000000"/>
          <w:sz w:val="20"/>
        </w:rPr>
        <w:t xml:space="preserve">. We are exposed to risks associated with market changes in interest rates. On June 12, 2023, Pennant entered into a second amendment to the Credit Agreement that modified the reference rate from LIBOR to SOFR. A 1.0% interest rate change would cause interest expense to change by approximately $0.6 million annually based upon our outstanding long-term debt as of June 30, 2023. We manage our exposure to this market risk by monitoring available financing alternatives.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to the Interim Financial Statements for a description of claims and legal actions arising in the ordinary course of our business.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We have disclosed under the heading “Risk Factors” in the 2022 Annual Report risk factors that materially affect our business, financial condition or results of operations. You should carefully consider the risk factors set forth in the 2022 Annual Report and the other information set forth elsewhere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Since the filing of our 2022 Annual Report on February 23, 2023, the following additions have been made to the risk factors previously disclosed.</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i/>
          <w:color w:val="212529"/>
          <w:sz w:val="20"/>
        </w:rPr>
        <w:t>Any economic downturn, deepening of an economic downturn, continued deficit spending by the Federal Government or state budget pressures may result in a reduction in payments and covered services.</w:t>
      </w:r>
      <w:r>
        <w:rPr>
          <w:color w:val="212529"/>
        </w:rPr>
        <w:t xml:space="preserve"> </w:t>
      </w:r>
      <w:r>
        <w:rPr>
          <w:rFonts w:ascii="Times New Roman;sans-serif" w:hAnsi="Times New Roman;sans-serif"/>
          <w:b w:val="false"/>
          <w:color w:val="212529"/>
          <w:sz w:val="20"/>
        </w:rPr>
        <w:t>Adverse developments in the United States could lead to a reduction in Federal Government expenditures, including governmentally funded programs in which we participate, such as Medicare and Medicaid. In addition, if at any time the Federal Government is not able to meet its debt payments unless the federal debt ceiling is raised, and legislation increasing the debt ceiling is not enacted, the Federal Government may stop or delay making payments on its obligations, including funding for government programs in which we participate, such as Medicare and Medicaid. Failure of the government to make payments under these programs could have a material adverse effect on our business and consolidated financial condition, results of operations and cash flows. Further, any failure by the United States Congress to complete the federal budget process and fund government operations may result in a Federal Government shutdown, potentially causing us to incur substantial costs without reimbursement under the Medicare program, which could have a material adverse effect on our business and consolidated financial condition, results of operations and cash flows. As an example, the failure of the 2011 Joint Select Committee to meet its Deficit Reduction goal resulted in an automatic reduction in Medicare home health and hospice payments of 2% beginning April 1, 2013 ("sequestration" - suspended from May 1, 2020 through March 31, 2022; reinstated at 1% for the period April 1, 2022 through June 30, 2022 and at 2%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83"/>
        <w:gridCol w:w="249"/>
        <w:gridCol w:w="251"/>
        <w:gridCol w:w="109"/>
        <w:gridCol w:w="109"/>
        <w:gridCol w:w="109"/>
        <w:gridCol w:w="2735"/>
        <w:gridCol w:w="2630"/>
        <w:gridCol w:w="3730"/>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The Pennant Group, Inc., effective as of September 27, 2019 (incorporated by reference to Exhibit 3.1 to The Pennant Group, Inc.’s Current Report on Form 8-K (File No. 001-38900) filed with the SEC on October 3, 2019).</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Bylaws of The Pennant Group, Inc., effective as of February 21, 2022 (incorporated by reference to Exhibit 3.1 to The Pennant Group, Inc.’s Current Report on Form 8-K (File No. 001-38900) filed with the SEC February 22, 2022).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Agreement, dated June 12, 2023, by and among The Pennant Group, Inc. and certain of its subsidiaries, the lenders named therein, and Truist Bank (successor by merger to SunTrust Bank), as administrative agent for the lenders.</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11q22023.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12q22023.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21q22023.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22q22023.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923e21d19b34bf5bbe16e9faf03025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607" w:type="dxa"/>
        <w:jc w:val="left"/>
        <w:tblInd w:w="0" w:type="dxa"/>
        <w:tblLayout w:type="fixed"/>
        <w:tblCellMar>
          <w:top w:w="28" w:type="dxa"/>
          <w:left w:w="28" w:type="dxa"/>
          <w:bottom w:w="28" w:type="dxa"/>
          <w:right w:w="28" w:type="dxa"/>
        </w:tblCellMar>
      </w:tblPr>
      <w:tblGrid>
        <w:gridCol w:w="705"/>
        <w:gridCol w:w="619"/>
        <w:gridCol w:w="625"/>
        <w:gridCol w:w="328"/>
        <w:gridCol w:w="328"/>
        <w:gridCol w:w="328"/>
        <w:gridCol w:w="1940"/>
        <w:gridCol w:w="1940"/>
        <w:gridCol w:w="279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Pennant Group,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2023</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LYNETTE B. WALBOM  </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Duly Authorized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Brent J. Guerisoli,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10-Q of The Pennant Group,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bl>
      <w:tblPr>
        <w:tblW w:w="5853" w:type="dxa"/>
        <w:jc w:val="left"/>
        <w:tblInd w:w="0" w:type="dxa"/>
        <w:tblLayout w:type="fixed"/>
        <w:tblCellMar>
          <w:top w:w="28" w:type="dxa"/>
          <w:left w:w="28" w:type="dxa"/>
          <w:bottom w:w="28" w:type="dxa"/>
          <w:right w:w="28" w:type="dxa"/>
        </w:tblCellMar>
      </w:tblPr>
      <w:tblGrid>
        <w:gridCol w:w="124"/>
        <w:gridCol w:w="109"/>
        <w:gridCol w:w="109"/>
        <w:gridCol w:w="249"/>
        <w:gridCol w:w="249"/>
        <w:gridCol w:w="249"/>
        <w:gridCol w:w="728"/>
        <w:gridCol w:w="728"/>
        <w:gridCol w:w="728"/>
        <w:gridCol w:w="728"/>
        <w:gridCol w:w="728"/>
        <w:gridCol w:w="7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BRENT J. GUERISOLI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43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J. Guerisoli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43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Lynette B. Walbom,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10-Q of The Pennant Group,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63"/>
        <w:gridCol w:w="246"/>
        <w:gridCol w:w="223"/>
        <w:gridCol w:w="1213"/>
        <w:gridCol w:w="1213"/>
        <w:gridCol w:w="1180"/>
        <w:gridCol w:w="1168"/>
        <w:gridCol w:w="1168"/>
        <w:gridCol w:w="117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71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71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 Principal Accounting Officer and Duly Authorized Officer)</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The Pennant Group, Inc. (the Company) on Form 10-Q for the period ended June 30, 2023, as filed with the Securities and Exchange Commission on the date hereof (the Report), I, Brent J. Guerisoli, Chief Executive Officer of the Company, certify, pursuant to 18 U.S.C. § 1350, as adopted pursuant to Section 906 of the Sarbanes-Oxley Act of 2002, that to my knowledge: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8"/>
        <w:gridCol w:w="588"/>
        <w:gridCol w:w="588"/>
        <w:gridCol w:w="655"/>
        <w:gridCol w:w="588"/>
        <w:gridCol w:w="588"/>
        <w:gridCol w:w="664"/>
        <w:gridCol w:w="588"/>
        <w:gridCol w:w="588"/>
        <w:gridCol w:w="588"/>
        <w:gridCol w:w="588"/>
        <w:gridCol w:w="588"/>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BRENT J. GUERISOLI</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6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J. Guerisoli</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6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The Pennant Group, Inc. (the Company) on Form 10-Q for the period ended June 30, 2023, as filed with the Securities and Exchange Commission on the date hereof (the Report), I, Lynette B. Walbom, Chief Financial Officer of the Company, certify, pursuant to 18 U.S.C. § 1350, as adopted pursuant to Section 906 of the Sarbanes-Oxley Act of 2002, that to my knowledge: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29"/>
        <w:gridCol w:w="429"/>
        <w:gridCol w:w="429"/>
        <w:gridCol w:w="555"/>
        <w:gridCol w:w="429"/>
        <w:gridCol w:w="429"/>
        <w:gridCol w:w="1009"/>
        <w:gridCol w:w="805"/>
        <w:gridCol w:w="805"/>
        <w:gridCol w:w="805"/>
        <w:gridCol w:w="805"/>
        <w:gridCol w:w="805"/>
        <w:gridCol w:w="429"/>
        <w:gridCol w:w="429"/>
        <w:gridCol w:w="6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50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5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 Principal Accounting Officer and Duly Authorized Officer)</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6400/000119312519260914/d812063dex31.htm" TargetMode="External"/><Relationship Id="rId3" Type="http://schemas.openxmlformats.org/officeDocument/2006/relationships/hyperlink" Target="https://www.sec.gov/Archives/edgar/data/1766400/000176640022000027/pntg2ndarbylaws.htm" TargetMode="External"/><Relationship Id="rId4" Type="http://schemas.openxmlformats.org/officeDocument/2006/relationships/hyperlink" Target="https://www.sec.gov/Archives/edgar/data/1766400/000176640023000073/ex101conformedamendedcredi.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24244</Words>
  <Characters>133904</Characters>
  <CharactersWithSpaces>156505</CharactersWithSpaces>
  <Paragraphs>3356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